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6CC77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highlight w:val="none"/>
          <w:lang w:val="en-US" w:eastAsia="zh-CN"/>
        </w:rPr>
      </w:pPr>
      <w:r>
        <w:rPr>
          <w:rFonts w:hint="eastAsia" w:ascii="方正小标宋简体" w:hAnsi="方正小标宋简体" w:eastAsia="方正小标宋简体" w:cs="方正小标宋简体"/>
          <w:sz w:val="44"/>
          <w:szCs w:val="44"/>
          <w:highlight w:val="none"/>
          <w:lang w:val="en-US" w:eastAsia="zh-CN"/>
        </w:rPr>
        <w:t>康巴什区推进集团化办学高质量发展长效举措</w:t>
      </w:r>
    </w:p>
    <w:p w14:paraId="773207FD">
      <w:pPr>
        <w:keepNext w:val="0"/>
        <w:keepLines w:val="0"/>
        <w:pageBreakBefore w:val="0"/>
        <w:kinsoku/>
        <w:wordWrap/>
        <w:overflowPunct/>
        <w:topLinePunct w:val="0"/>
        <w:autoSpaceDE w:val="0"/>
        <w:autoSpaceDN w:val="0"/>
        <w:bidi w:val="0"/>
        <w:adjustRightInd/>
        <w:snapToGrid/>
        <w:spacing w:line="560" w:lineRule="exact"/>
        <w:jc w:val="center"/>
        <w:textAlignment w:val="auto"/>
        <w:rPr>
          <w:rFonts w:hint="eastAsia" w:ascii="楷体_GB2312" w:hAnsi="楷体_GB2312" w:eastAsia="楷体_GB2312" w:cs="楷体_GB2312"/>
          <w:color w:val="auto"/>
          <w:sz w:val="32"/>
          <w:szCs w:val="32"/>
          <w:lang w:eastAsia="zh-CN"/>
        </w:rPr>
      </w:pPr>
      <w:r>
        <w:rPr>
          <w:rFonts w:hint="eastAsia" w:ascii="楷体_GB2312" w:hAnsi="楷体_GB2312" w:eastAsia="楷体_GB2312" w:cs="楷体_GB2312"/>
          <w:color w:val="auto"/>
          <w:sz w:val="32"/>
          <w:szCs w:val="32"/>
          <w:lang w:eastAsia="zh-CN"/>
        </w:rPr>
        <w:t>（</w:t>
      </w:r>
      <w:r>
        <w:rPr>
          <w:rFonts w:hint="eastAsia" w:ascii="楷体_GB2312" w:hAnsi="楷体_GB2312" w:eastAsia="楷体_GB2312" w:cs="楷体_GB2312"/>
          <w:color w:val="auto"/>
          <w:sz w:val="32"/>
          <w:szCs w:val="32"/>
          <w:lang w:val="en-US" w:eastAsia="zh-CN"/>
        </w:rPr>
        <w:t>征求意见稿</w:t>
      </w:r>
      <w:r>
        <w:rPr>
          <w:rFonts w:hint="eastAsia" w:ascii="楷体_GB2312" w:hAnsi="楷体_GB2312" w:eastAsia="楷体_GB2312" w:cs="楷体_GB2312"/>
          <w:color w:val="auto"/>
          <w:sz w:val="32"/>
          <w:szCs w:val="32"/>
          <w:lang w:eastAsia="zh-CN"/>
        </w:rPr>
        <w:t>）</w:t>
      </w:r>
    </w:p>
    <w:p w14:paraId="7875AD3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lang w:val="en-US" w:eastAsia="zh-CN"/>
        </w:rPr>
      </w:pPr>
    </w:p>
    <w:p w14:paraId="66F0540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highlight w:val="none"/>
          <w:lang w:val="en-US" w:eastAsia="zh-CN"/>
        </w:rPr>
      </w:pPr>
      <w:bookmarkStart w:id="0" w:name="_GoBack"/>
      <w:r>
        <w:rPr>
          <w:rFonts w:hint="eastAsia" w:ascii="仿宋" w:hAnsi="仿宋" w:eastAsia="仿宋" w:cs="仿宋"/>
          <w:sz w:val="32"/>
          <w:szCs w:val="32"/>
          <w:highlight w:val="none"/>
          <w:lang w:val="en-US" w:eastAsia="zh-CN"/>
        </w:rPr>
        <w:t>为深入贯彻中共中央办公厅、国务院办公厅印发的《关于构建优质均衡的基本公共教育服务体系的意见》、内蒙古自治区教育厅印发的《内蒙古自治区义务教育集团化办学指导意见》、鄂尔多斯市教育体育局印发的《鄂尔多斯市教育体育局关于深入推进义务教育集团化办学的实施意见》、康巴什区人民政府关于印发《推动建设教育强区十条政策举措》等文件精神，进一步深化我区集团化办学改革，支持集团化办学长远发展，促进优质均衡发展，提升教育质量，创新办学模式，构建公平优质的基础教育体系，让每个孩子都能在家门口上好学，特制定《康巴什区推进集团化办学高质量发展长效举措》。</w:t>
      </w:r>
    </w:p>
    <w:bookmarkEnd w:id="0"/>
    <w:p w14:paraId="6AB3D015">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一、锚定办学定位，明晰长期发展目标</w:t>
      </w:r>
    </w:p>
    <w:p w14:paraId="01A3DCC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聚焦义务教育优质均衡发展核心任务，牢牢把握集团化办学公益性、普惠性定位，将集团办学作为推进基础教育优质均衡的关键抓手，全面提升教育教学质量、稳步扩充区域优质教育资源总量。着力破解区域南北发展不均、东西差距较大、校际间办学质量不均衡、品牌辐射不足等深层次问题，有效化解“上学难”“择校热”及大班额、大校额等民生痛点，确立全域统筹、校际协同、特色共生、整体跃升的长期发展目标。坚持“办一所成一所、办一所优一所”，推动每所学校提质增效、优质发展，保障每个孩子享有教育起点与过程公平，切实满足群众“有学上、上好学”的美好期盼。</w:t>
      </w:r>
    </w:p>
    <w:p w14:paraId="17195014">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二、强化顶层设计，完善长远发展规划</w:t>
      </w:r>
    </w:p>
    <w:p w14:paraId="055E14E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立足区域教育发展全局，将集团化办学专项纳入康巴什区教育体育事业“十五五”发展规划，统筹做好资源配置、财政投入等顶层布局与落地保障。制定集团化办学中长期发展规划和专项实施方案，深入落实既有办学推进文件，持续完善评价激励方案，细化制定各项管理办法与配套保障制度，明晰阶段任务、实施路径、责任分工，统筹布局集团架构、资源调配、特色培育等核心事项，构建科学系统、权责清晰、可落地可评估的顶层设计体系。</w:t>
      </w:r>
    </w:p>
    <w:p w14:paraId="2B3CD18C">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三、创新办学模式，健全协同运行机制</w:t>
      </w:r>
    </w:p>
    <w:p w14:paraId="0BE476B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持续深化名校带动效应，重点推动优质名校带动薄弱校、新建校及城郊校提质发展。严格落实集团办学布局要求，原则上所有新建学校全部纳入集团化办学体系，推行“一校带一校”精准带动模式，由一所优质名校对口带动一所薄弱学校，不采用多校捆绑式办学路径。积极探索幼小初高不同学段纵向贯通集团化办学模式，深化学段衔接、课程一体化建设；稳步扩大横向集团办学覆盖面，持续做实名校带弱校帮扶举措。健全集团成员校动态管理机制，建立新优质学校有序退出、薄弱校精准重组的动态调整制度，提升集团办学整体效能。</w:t>
      </w:r>
    </w:p>
    <w:p w14:paraId="4CD9D7CE">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textAlignment w:val="auto"/>
        <w:rPr>
          <w:rFonts w:hint="default"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四、凝聚部门合力，优化统筹联动机制</w:t>
      </w:r>
    </w:p>
    <w:p w14:paraId="496E4FE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建立区委教育工作领导小组牵头抓总，教育、编办、人社、财政、发改等部门协同联动的工作机制，健全定期会商、联合研判、专班推进、督办落实制度，打通人事编制调配、经费保障拨付、考核激励兑现等关键环节堵点难点，构建上下联动、齐抓共管、高效运转的工作格局。设立集团编制“周转池”，教师编制可以在集团内动态调整，统筹职称评聘及岗位设置，实行集团校内部职称、岗位统一调配、统筹使用。</w:t>
      </w:r>
    </w:p>
    <w:p w14:paraId="5055C325">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五、加大经费投入，强化办学资金保障</w:t>
      </w:r>
    </w:p>
    <w:p w14:paraId="0DB388A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建立稳定且可持续的集团化办学专项经费投入机制。按每个集团校每年拨付50万元作为专项发展资金；同时，每年从教育基金中列支100万元作为专项奖励资金，并根据集团办学规模逐年递增投入额度；此外，积极争取社会资金赞助，专项用于集团学校发展。持续加大硬件资源倾斜力度，优先为集团校配齐高品质教育教学设施；规范资金使用范围、审批流程和监管办法，重点保障集团教研、师资培育、资源建设、名师引进、数字赋能、薄弱校提升等核心工作，筑牢提质增效资金底线，确保各项举措落地见效。</w:t>
      </w:r>
    </w:p>
    <w:p w14:paraId="64DEE78E">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六、创新人事管理，激发队伍管理活力</w:t>
      </w:r>
    </w:p>
    <w:p w14:paraId="453013B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深化集团人事管理制度改革，打破校际人事管理壁垒，推行干部教师统筹调配、竞聘上岗、交流轮岗、双向选择机制，健全人员考核、激励奖惩、职称晋升、荣誉评定联动办法，充分盘活管理干部、专任教师、教辅人员等各类人力资源，实现人尽其才、才尽其用、人事相宜。</w:t>
      </w:r>
    </w:p>
    <w:p w14:paraId="165F819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推动教师由“学校人”向“集团人”转变。统筹人力资源配置，推行“县管校聘+集团统筹”模式，集团分校校长及领导班子由集团总校校长提名，由教体局考核，教体局党组会研究聘任。新建集团分校办学首年，由集团总校选派成熟教师占比不低于三分之一；自次年起至建校第五年，由全区教师交流轮岗统筹保障，确保集团分校成熟教师配备占比不低于教师总数的三分之一。同时，增加干部的集团内多岗位历练，紧缺学科教师可在集团内共享、走教。优化教师队伍激励政策，对为集团化办学做出突出贡献的教师在评优评先、岗位晋升、公寓分配等方面予以优先保障。完善名师、名班主任、骨干教师评选办法，交流轮岗到集团分校的名师、骨干教师荣誉待遇保留至一个管理期结束，不占用学校名额。交流轮岗到集团分校的教师，任教满3年且符合评选条件的，可不受名额限制参评骨干教师；骨干教师任教满3年且符合评选条件的，可不受名额限制参评名师；交流轮岗到集团分校任班主任的老师，任教满3年且符合评选条件的，可不受学校名额限制参评名班主任。以上荣誉原则上只可选择一项申报，三年管理周期满后，须与学校其他教师共同重新参与评审。交流到集团分校的教师，须在分校服务满六年，如不满六年提出调出的，不再享受各类政策激励待遇。</w:t>
      </w:r>
    </w:p>
    <w:p w14:paraId="296F2BBE">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七、建强师资梯队，锻造优质育人队伍</w:t>
      </w:r>
    </w:p>
    <w:p w14:paraId="19DB369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坚持全域统筹、分层培育、精准赋能，构建常态化、制度化队伍建设长效体系，为集团化办学高质量发展提供人才保障。抓实后备干部培养，健全跨校遴选、轮岗历练、定向带教机制，常态化开展管理研修，储备复合型管理人才，均衡集团校管理力量；激活名师引领作用，深挖集团内部名师骨干资源，搭建名师工作室、师徒结对等培育平台，完善帮带激励机制，推动优质师资全域辐射、带动整体师资提质；强化区域专家教研赋能，由区级统筹组建学科专家团，下沉指导集团学科教研中心组标准化建设，牵头制定统一教研规范，开展联合教研、课例研磨，夯实集团教研根基、提升教研实效；深化蹲点帮扶机制，落实集团教学总监蹲校督导、教研员蹲点帮扶制度，精准补齐薄弱校办学短板，构建集团师资共建共培、协同共进的长效格局。</w:t>
      </w:r>
    </w:p>
    <w:p w14:paraId="486BD80C">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八、借力高端资源，引优开展长效帮扶</w:t>
      </w:r>
    </w:p>
    <w:p w14:paraId="151BDAA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坚持开放办学、借势提质，以高端资源赋能集团化办学提档升级。由政府牵头统筹对接，精准引进北京十一学校教育集团、重庆谢家湾学校、鄂尔多斯市第一中学等国内名优教育品牌，搭建常态化合作对接、资源共享、协同育人框架，签订长期帮扶合作协议，聚焦办学理念输出、管理模式嫁接、师资跟岗研修、课程体系共建、教学改革指导等核心领域，开展定向帮扶、深度研学、线上线下联动教研，建立定期会商、成效评估、动态优化闭环，借力名优校先进经验和优质资源，破解本地集团化办学发展瓶颈，构建高位引领、内外联动、长效赋能的办学提升新格局。</w:t>
      </w:r>
    </w:p>
    <w:p w14:paraId="258CE590">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九、赋能数字转型，推进智慧办学建设</w:t>
      </w:r>
    </w:p>
    <w:p w14:paraId="3E5424B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坚持资源保障向集团校倾斜，全力推动优质数字化教育资源全域共享。统筹推进所有集团校同频互动教室建设，打造一体化学生共享学习空间，构建“学校—集团—区域”三级共建共享教育生态。优先实施集团办学数字化专项行动，搭建全域数字化办学平台，强化教职工数字化技能培训，常态化开展教师跨校线上教研，建立健全集团数字化办学评估机制，全面推进高质量、个性化智慧校园建设。持续从广度、深度双向发力，深化精准教学、个性化学习、智慧教研等场景应用，以数字化赋能集团办学提质增效。</w:t>
      </w:r>
    </w:p>
    <w:p w14:paraId="3F9CA6E2">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十、从严督导问效，健全考核评价体系</w:t>
      </w:r>
    </w:p>
    <w:p w14:paraId="151EF42C">
      <w:pPr>
        <w:keepNext w:val="0"/>
        <w:keepLines w:val="0"/>
        <w:widowControl/>
        <w:suppressLineNumbers w:val="0"/>
        <w:jc w:val="left"/>
        <w:rPr>
          <w:rFonts w:hint="eastAsia" w:ascii="仿宋_GB2312" w:hAnsi="仿宋_GB2312" w:eastAsia="仿宋_GB2312" w:cs="仿宋_GB2312"/>
          <w:sz w:val="32"/>
          <w:szCs w:val="32"/>
          <w:highlight w:val="none"/>
          <w:lang w:val="en-US" w:eastAsia="zh-CN"/>
        </w:rPr>
      </w:pPr>
      <w:r>
        <w:rPr>
          <w:rFonts w:hint="eastAsia" w:ascii="宋体" w:hAnsi="宋体" w:eastAsia="宋体" w:cs="宋体"/>
          <w:color w:val="auto"/>
          <w:kern w:val="0"/>
          <w:sz w:val="24"/>
          <w:szCs w:val="24"/>
          <w:lang w:val="en-US" w:eastAsia="zh-CN" w:bidi="ar"/>
        </w:rPr>
        <w:t xml:space="preserve">     </w:t>
      </w:r>
      <w:r>
        <w:rPr>
          <w:rFonts w:hint="eastAsia" w:ascii="仿宋_GB2312" w:hAnsi="仿宋_GB2312" w:eastAsia="仿宋_GB2312" w:cs="仿宋_GB2312"/>
          <w:sz w:val="32"/>
          <w:szCs w:val="32"/>
          <w:highlight w:val="none"/>
          <w:lang w:val="en-US" w:eastAsia="zh-CN"/>
        </w:rPr>
        <w:t>聚焦规范运行、提质增效，构建权责清晰、闭环管控、长效激励的集团化办学治理与评价机制，筑牢办学提质制度保障。健全区域统筹监管机制，成立专项工作推进组织机构，制定统一办学章程与长效管理制度，完善常态化集团教研体系；建立“学期调研、半年推进、学年总结、三年评估”闭环管控模式，每学期开展过程性与成效性专项调研，围绕治理体系贯通度、教师队伍成长度、人事管理统一度、教育质量提升度、师生社会满意度、办学特色发展度六大核心维度，实施办学质量精准研判；每半年召开工作推进会，破解办学堵点难点；每学年开展全面工作总结复盘；每三年实施一轮终结性综合评估，全面核验集团及成员校办学成效。压实学校常态落实责任，各集团校常态化开展办学计划交流、阶段性工作复盘，年末召开年度工作总结大会，细化落实各项办学任务；强化考核结果运用，依据评估结论动态优化集团校组织架构，激活内生发展动力，同时将考核结果直接与学校评优评先、校长考核任免等事项挂钩，倒逼集团化办学提质增效、长效发展。</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6C908ED-696D-45AC-9BBD-80CEAC658B1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0010101010101"/>
    <w:charset w:val="86"/>
    <w:family w:val="auto"/>
    <w:pitch w:val="default"/>
    <w:sig w:usb0="00000001" w:usb1="080E0000" w:usb2="00000000" w:usb3="00000000" w:csb0="00040000" w:csb1="00000000"/>
    <w:embedRegular r:id="rId2" w:fontKey="{006C0BA4-B6CC-4687-BA3A-17EED393D95B}"/>
  </w:font>
  <w:font w:name="仿宋_GB2312">
    <w:panose1 w:val="02010609030101010101"/>
    <w:charset w:val="86"/>
    <w:family w:val="auto"/>
    <w:pitch w:val="default"/>
    <w:sig w:usb0="00000001" w:usb1="080E0000" w:usb2="00000000" w:usb3="00000000" w:csb0="00040000" w:csb1="00000000"/>
    <w:embedRegular r:id="rId3" w:fontKey="{0E6D0896-75C5-4688-9409-21D1F2E20159}"/>
  </w:font>
  <w:font w:name="仿宋">
    <w:panose1 w:val="02010609060101010101"/>
    <w:charset w:val="86"/>
    <w:family w:val="auto"/>
    <w:pitch w:val="default"/>
    <w:sig w:usb0="800002BF" w:usb1="38CF7CFA" w:usb2="00000016" w:usb3="00000000" w:csb0="00040001" w:csb1="00000000"/>
    <w:embedRegular r:id="rId4" w:fontKey="{E4A4DE37-A9D6-4D6C-A85C-1188A8B992AA}"/>
  </w:font>
  <w:font w:name="楷体_GB2312">
    <w:panose1 w:val="02010609030101010101"/>
    <w:charset w:val="86"/>
    <w:family w:val="auto"/>
    <w:pitch w:val="default"/>
    <w:sig w:usb0="00000001" w:usb1="080E0000" w:usb2="00000000" w:usb3="00000000" w:csb0="00040000" w:csb1="00000000"/>
    <w:embedRegular r:id="rId5" w:fontKey="{77A10AC8-5445-4ECC-B0F2-FC5A2134C39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E6CB07">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A747D8">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0A747D8">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90E4FA1"/>
    <w:rsid w:val="016A4161"/>
    <w:rsid w:val="02FB6CDA"/>
    <w:rsid w:val="03A90216"/>
    <w:rsid w:val="03B57F17"/>
    <w:rsid w:val="04FF267B"/>
    <w:rsid w:val="08AA0601"/>
    <w:rsid w:val="091F6B47"/>
    <w:rsid w:val="0A474D2B"/>
    <w:rsid w:val="0B8978C7"/>
    <w:rsid w:val="0C6D3E2C"/>
    <w:rsid w:val="0E4621D6"/>
    <w:rsid w:val="0EDD34DE"/>
    <w:rsid w:val="125131C7"/>
    <w:rsid w:val="12AA10F1"/>
    <w:rsid w:val="12E35F8B"/>
    <w:rsid w:val="135D48E1"/>
    <w:rsid w:val="147D6D57"/>
    <w:rsid w:val="14CF2B32"/>
    <w:rsid w:val="15EC4007"/>
    <w:rsid w:val="163307DB"/>
    <w:rsid w:val="191A695D"/>
    <w:rsid w:val="19B5473B"/>
    <w:rsid w:val="1A020B05"/>
    <w:rsid w:val="1A1C3866"/>
    <w:rsid w:val="1A8E701D"/>
    <w:rsid w:val="1B3B4654"/>
    <w:rsid w:val="1F995E4E"/>
    <w:rsid w:val="1FD74429"/>
    <w:rsid w:val="204D1910"/>
    <w:rsid w:val="217C26E3"/>
    <w:rsid w:val="225049AB"/>
    <w:rsid w:val="22A40115"/>
    <w:rsid w:val="22E45126"/>
    <w:rsid w:val="23645B24"/>
    <w:rsid w:val="23E14D11"/>
    <w:rsid w:val="26950781"/>
    <w:rsid w:val="26F2732D"/>
    <w:rsid w:val="2818512F"/>
    <w:rsid w:val="288A299E"/>
    <w:rsid w:val="29021B16"/>
    <w:rsid w:val="292E36A2"/>
    <w:rsid w:val="294D7385"/>
    <w:rsid w:val="2CFC6276"/>
    <w:rsid w:val="2CFD40A4"/>
    <w:rsid w:val="2D4D68BD"/>
    <w:rsid w:val="2EEE0998"/>
    <w:rsid w:val="30642AF1"/>
    <w:rsid w:val="31AB58A0"/>
    <w:rsid w:val="32F21A17"/>
    <w:rsid w:val="33650EE0"/>
    <w:rsid w:val="34E80173"/>
    <w:rsid w:val="37E01C2F"/>
    <w:rsid w:val="3A9E7716"/>
    <w:rsid w:val="3EDB2CE7"/>
    <w:rsid w:val="3FD67BE8"/>
    <w:rsid w:val="3FDB6D16"/>
    <w:rsid w:val="40692F98"/>
    <w:rsid w:val="40A435AC"/>
    <w:rsid w:val="40D30C20"/>
    <w:rsid w:val="41854002"/>
    <w:rsid w:val="42910F86"/>
    <w:rsid w:val="46752DCA"/>
    <w:rsid w:val="47576339"/>
    <w:rsid w:val="481C26D0"/>
    <w:rsid w:val="48AF186C"/>
    <w:rsid w:val="49E21E05"/>
    <w:rsid w:val="4A9E1993"/>
    <w:rsid w:val="4AB30AC5"/>
    <w:rsid w:val="4CFE6CC6"/>
    <w:rsid w:val="4D3267B3"/>
    <w:rsid w:val="50D042C8"/>
    <w:rsid w:val="5227710E"/>
    <w:rsid w:val="528F6B0C"/>
    <w:rsid w:val="54953308"/>
    <w:rsid w:val="54BF0519"/>
    <w:rsid w:val="55500C8A"/>
    <w:rsid w:val="55EC6EC0"/>
    <w:rsid w:val="57724EDB"/>
    <w:rsid w:val="57EE40AA"/>
    <w:rsid w:val="580D6D4D"/>
    <w:rsid w:val="590E4FA1"/>
    <w:rsid w:val="59CD1026"/>
    <w:rsid w:val="5D1F3FA6"/>
    <w:rsid w:val="5D8660BC"/>
    <w:rsid w:val="5E310D62"/>
    <w:rsid w:val="5E591A42"/>
    <w:rsid w:val="5FC0253F"/>
    <w:rsid w:val="604338A9"/>
    <w:rsid w:val="60A31268"/>
    <w:rsid w:val="62CA6A4B"/>
    <w:rsid w:val="63740EFD"/>
    <w:rsid w:val="64665C2C"/>
    <w:rsid w:val="65657317"/>
    <w:rsid w:val="661F3DA6"/>
    <w:rsid w:val="67987117"/>
    <w:rsid w:val="679909C4"/>
    <w:rsid w:val="680846A1"/>
    <w:rsid w:val="69091E46"/>
    <w:rsid w:val="6B712833"/>
    <w:rsid w:val="6BA12469"/>
    <w:rsid w:val="6BB73C7B"/>
    <w:rsid w:val="6EA04413"/>
    <w:rsid w:val="75D80703"/>
    <w:rsid w:val="76EC6B38"/>
    <w:rsid w:val="76F857E1"/>
    <w:rsid w:val="771A57A3"/>
    <w:rsid w:val="78854AFF"/>
    <w:rsid w:val="78CC5319"/>
    <w:rsid w:val="7A097DC6"/>
    <w:rsid w:val="7A6E1BB2"/>
    <w:rsid w:val="7ABF3562"/>
    <w:rsid w:val="7AE962CA"/>
    <w:rsid w:val="7AFA33A1"/>
    <w:rsid w:val="7BB145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rPr>
      <w:sz w:val="24"/>
    </w:rPr>
  </w:style>
  <w:style w:type="character" w:styleId="10">
    <w:name w:val="Strong"/>
    <w:basedOn w:val="9"/>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05060147-3cee-4526-80a4-a30dfefd0731</errorID>
      <errorWord>校际间</errorWord>
      <group>L1_Word</group>
      <groupName>字词问题</groupName>
      <ability>L2_Typo</ability>
      <abilityName>字词错误</abilityName>
      <candidateList>
        <item>校际</item>
      </candidateList>
      <explain/>
      <paraID> 1A3DCCA</paraID>
      <start>105</start>
      <end>108</end>
      <status>ignored</status>
      <modifiedWord/>
      <trackRevisions>false</trackRevisions>
    </reviewItem>
    <reviewItem>
      <errorID>b7d797bf-208a-48b5-bb89-1468dfd2845f</errorID>
      <errorWord>集团校</errorWord>
      <group>L1_Word</group>
      <groupName>字词问题</groupName>
      <ability>L2_Typo</ability>
      <abilityName>字词错误</abilityName>
      <candidateList>
        <item>集团</item>
      </candidateList>
      <explain/>
      <paraID>496E4FE3</paraID>
      <start>196</start>
      <end>199</end>
      <status>ignored</status>
      <modifiedWord/>
      <trackRevisions>false</trackRevisions>
    </reviewItem>
    <reviewItem>
      <errorID>1552014c-4375-44f5-9f7a-c9f643217311</errorID>
      <errorWord>县管校聘</errorWord>
      <group>L1_Political</group>
      <groupName>政治性问题</groupName>
      <ability>L2_Keyword</ability>
      <abilityName>固定表述</abilityName>
      <candidateList>
        <item>‘县管校聘’</item>
      </candidateList>
      <explain>注意检查当前固定表述标点是否使用规范。</explain>
      <paraID>165F819D</paraID>
      <start>31</start>
      <end>35</end>
      <status>ignored</status>
      <modifiedWord/>
      <trackRevisions>false</trackRevisions>
    </reviewItem>
    <reviewItem>
      <errorID>67eddb44-aebb-4bd6-9f5e-2aef1e52aa99</errorID>
      <errorWord>引优</errorWord>
      <group>L1_AI</group>
      <groupName>深度校对</groupName>
      <ability>L2_AI_Word</ability>
      <abilityName>字词纠错</abilityName>
      <candidateList>
        <item>引入</item>
      </candidateList>
      <explain/>
      <paraID>486BD80C</paraID>
      <start>9</start>
      <end>11</end>
      <status>ignored</status>
      <modifiedWord/>
      <trackRevisions>false</trackRevisions>
    </reviewItem>
    <reviewItem>
      <errorID>66c757bc-e67d-4fd4-9029-7751b2df9ffa</errorID>
      <errorWord>态</errorWord>
      <group>L1_Word</group>
      <groupName>字词问题</groupName>
      <ability>L2_Typo</ability>
      <abilityName>字词错误</abilityName>
      <candidateList>
        <item>态化</item>
      </candidateList>
      <explain/>
      <paraID>671C9116</paraID>
      <start>292</start>
      <end>293</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442bfa2-4df4-450c-b940-70cca35faa96}">
  <ds:schemaRefs/>
</ds:datastoreItem>
</file>

<file path=docProps/app.xml><?xml version="1.0" encoding="utf-8"?>
<Properties xmlns="http://schemas.openxmlformats.org/officeDocument/2006/extended-properties" xmlns:vt="http://schemas.openxmlformats.org/officeDocument/2006/docPropsVTypes">
  <Template>Normal.dotm</Template>
  <Pages>6</Pages>
  <Words>3421</Words>
  <Characters>3424</Characters>
  <Lines>0</Lines>
  <Paragraphs>0</Paragraphs>
  <TotalTime>0</TotalTime>
  <ScaleCrop>false</ScaleCrop>
  <LinksUpToDate>false</LinksUpToDate>
  <CharactersWithSpaces>3429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2025-11-24T02:09:00Z</dcterms:created>
  <dc:creator>白江桥</dc:creator>
  <cp:lastModifiedBy>RQ.Young</cp:lastModifiedBy>
  <cp:lastPrinted>2026-03-15T03:40:00Z</cp:lastPrinted>
  <dcterms:modified xsi:type="dcterms:W3CDTF">2026-04-07T08:57:32Z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09645CAAD8C94023870AD5EADBE642C9_13</vt:lpwstr>
  </property>
  <property fmtid="{D5CDD505-2E9C-101B-9397-08002B2CF9AE}" pid="4" name="KSOTemplateDocerSaveRecord">
    <vt:lpwstr>eyJoZGlkIjoiMjhiNmU3NjQyMDhkN2VhNTkzOWQ0YmQ4NzAzN2JkZmEiLCJ1c2VySWQiOiIyNjQ1NzgwOTcifQ==</vt:lpwstr>
  </property>
</Properties>
</file>