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01E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附件</w:t>
      </w:r>
    </w:p>
    <w:p w14:paraId="0E7C65B0">
      <w:pPr>
        <w:spacing w:line="560" w:lineRule="exact"/>
        <w:rPr>
          <w:rFonts w:hint="eastAsia" w:ascii="创艺简标宋" w:eastAsia="创艺简标宋"/>
          <w:sz w:val="44"/>
          <w:shd w:val="clear" w:color="auto" w:fill="auto"/>
        </w:rPr>
      </w:pPr>
    </w:p>
    <w:p w14:paraId="3A13CB22">
      <w:pPr>
        <w:spacing w:line="560" w:lineRule="exact"/>
        <w:rPr>
          <w:rFonts w:hint="eastAsia" w:ascii="创艺简标宋" w:eastAsia="创艺简标宋"/>
          <w:sz w:val="44"/>
          <w:shd w:val="clear" w:color="auto" w:fill="auto"/>
        </w:rPr>
      </w:pPr>
    </w:p>
    <w:p w14:paraId="74D477CA">
      <w:pPr>
        <w:spacing w:line="560" w:lineRule="exact"/>
        <w:rPr>
          <w:rFonts w:hint="eastAsia" w:ascii="创艺简标宋" w:eastAsia="创艺简标宋"/>
          <w:sz w:val="44"/>
          <w:shd w:val="clear" w:color="auto" w:fill="auto"/>
        </w:rPr>
      </w:pPr>
    </w:p>
    <w:p w14:paraId="7830B6BE">
      <w:pPr>
        <w:spacing w:line="560" w:lineRule="exact"/>
        <w:rPr>
          <w:rFonts w:hint="eastAsia" w:ascii="创艺简标宋" w:eastAsia="创艺简标宋"/>
          <w:sz w:val="44"/>
          <w:shd w:val="clear" w:color="auto" w:fill="auto"/>
        </w:rPr>
      </w:pPr>
    </w:p>
    <w:p w14:paraId="50CBA5C4">
      <w:pPr>
        <w:pStyle w:val="2"/>
        <w:ind w:left="0" w:leftChars="0" w:firstLine="0" w:firstLineChars="0"/>
        <w:rPr>
          <w:rFonts w:hint="eastAsia" w:ascii="创艺简标宋" w:eastAsia="创艺简标宋"/>
          <w:sz w:val="44"/>
          <w:shd w:val="clear" w:color="auto" w:fill="auto"/>
        </w:rPr>
      </w:pPr>
    </w:p>
    <w:p w14:paraId="36C29B2A">
      <w:pPr>
        <w:pStyle w:val="2"/>
        <w:ind w:left="0" w:leftChars="0" w:firstLine="0" w:firstLineChars="0"/>
        <w:rPr>
          <w:rFonts w:hint="eastAsia" w:ascii="创艺简标宋" w:eastAsia="创艺简标宋"/>
          <w:sz w:val="44"/>
          <w:shd w:val="clear" w:color="auto" w:fill="auto"/>
        </w:rPr>
      </w:pPr>
    </w:p>
    <w:p w14:paraId="1E574F45">
      <w:pPr>
        <w:spacing w:line="560" w:lineRule="exact"/>
        <w:rPr>
          <w:rFonts w:hint="eastAsia" w:ascii="创艺简标宋" w:eastAsia="创艺简标宋"/>
          <w:sz w:val="44"/>
          <w:shd w:val="clear" w:color="auto" w:fill="auto"/>
        </w:rPr>
      </w:pPr>
    </w:p>
    <w:p w14:paraId="2E63F56F">
      <w:pPr>
        <w:spacing w:line="520" w:lineRule="exact"/>
        <w:rPr>
          <w:rFonts w:hint="eastAsia" w:ascii="创艺简标宋" w:eastAsia="创艺简标宋"/>
          <w:sz w:val="44"/>
          <w:shd w:val="clear" w:color="auto" w:fill="auto"/>
        </w:rPr>
      </w:pPr>
    </w:p>
    <w:p w14:paraId="7648FCA3">
      <w:pPr>
        <w:spacing w:line="520" w:lineRule="exact"/>
        <w:rPr>
          <w:rFonts w:hint="eastAsia" w:ascii="创艺简标宋" w:eastAsia="创艺简标宋"/>
          <w:sz w:val="44"/>
          <w:shd w:val="clear" w:color="auto" w:fill="auto"/>
        </w:rPr>
      </w:pPr>
    </w:p>
    <w:p w14:paraId="3B8E680D">
      <w:pPr>
        <w:spacing w:line="560" w:lineRule="exact"/>
        <w:jc w:val="center"/>
        <w:rPr>
          <w:rFonts w:hint="eastAsia" w:ascii="仿宋_GB2312" w:eastAsia="仿宋_GB2312" w:cs="Times New Roman"/>
          <w:sz w:val="32"/>
          <w:shd w:val="clear" w:color="auto" w:fill="auto"/>
        </w:rPr>
      </w:pPr>
      <w:r>
        <w:rPr>
          <w:rFonts w:hint="eastAsia" w:ascii="仿宋_GB2312" w:eastAsia="仿宋_GB2312" w:cs="Times New Roman"/>
          <w:sz w:val="32"/>
          <w:shd w:val="clear" w:color="auto" w:fill="auto"/>
        </w:rPr>
        <w:t>鄂康</w:t>
      </w:r>
      <w:r>
        <w:rPr>
          <w:rFonts w:hint="eastAsia" w:ascii="仿宋_GB2312" w:eastAsia="仿宋_GB2312" w:cs="Times New Roman"/>
          <w:sz w:val="32"/>
          <w:shd w:val="clear" w:color="auto" w:fill="auto"/>
          <w:lang w:val="en-US" w:eastAsia="zh-CN"/>
        </w:rPr>
        <w:t>国资</w:t>
      </w:r>
      <w:r>
        <w:rPr>
          <w:rFonts w:hint="eastAsia" w:ascii="仿宋_GB2312" w:eastAsia="仿宋_GB2312" w:cs="Times New Roman"/>
          <w:sz w:val="32"/>
          <w:shd w:val="clear" w:color="auto" w:fill="auto"/>
          <w:lang w:eastAsia="zh-CN"/>
        </w:rPr>
        <w:t>发</w:t>
      </w:r>
      <w:r>
        <w:rPr>
          <w:rFonts w:hint="eastAsia" w:ascii="仿宋_GB2312" w:eastAsia="仿宋_GB2312" w:cs="Times New Roman"/>
          <w:sz w:val="32"/>
          <w:shd w:val="clear" w:color="auto" w:fill="auto"/>
        </w:rPr>
        <w:t>〔202</w:t>
      </w:r>
      <w:r>
        <w:rPr>
          <w:rFonts w:hint="eastAsia" w:ascii="仿宋_GB2312" w:eastAsia="仿宋_GB2312" w:cs="Times New Roman"/>
          <w:sz w:val="32"/>
          <w:shd w:val="clear" w:color="auto" w:fill="auto"/>
          <w:lang w:val="en-US" w:eastAsia="zh-CN"/>
        </w:rPr>
        <w:t>4</w:t>
      </w:r>
      <w:r>
        <w:rPr>
          <w:rFonts w:hint="eastAsia" w:ascii="仿宋_GB2312" w:eastAsia="仿宋_GB2312" w:cs="Times New Roman"/>
          <w:sz w:val="32"/>
          <w:shd w:val="clear" w:color="auto" w:fill="auto"/>
        </w:rPr>
        <w:t>〕</w:t>
      </w:r>
      <w:r>
        <w:rPr>
          <w:rFonts w:hint="eastAsia" w:ascii="仿宋_GB2312" w:eastAsia="仿宋_GB2312" w:cs="Times New Roman"/>
          <w:sz w:val="32"/>
          <w:shd w:val="clear" w:color="auto" w:fill="auto"/>
          <w:lang w:val="en-US" w:eastAsia="zh-CN"/>
        </w:rPr>
        <w:t>13</w:t>
      </w:r>
      <w:r>
        <w:rPr>
          <w:rFonts w:hint="eastAsia" w:ascii="仿宋_GB2312" w:eastAsia="仿宋_GB2312" w:cs="Times New Roman"/>
          <w:sz w:val="32"/>
          <w:shd w:val="clear" w:color="auto" w:fill="auto"/>
        </w:rPr>
        <w:t>号</w:t>
      </w:r>
    </w:p>
    <w:p w14:paraId="5FD11D25">
      <w:pPr>
        <w:pStyle w:val="6"/>
        <w:spacing w:line="680" w:lineRule="exact"/>
        <w:ind w:left="0"/>
        <w:rPr>
          <w:rFonts w:hint="eastAsia" w:ascii="Times New Roman" w:hAnsi="Times New Roman"/>
          <w:color w:val="000000"/>
          <w:sz w:val="32"/>
          <w:szCs w:val="28"/>
          <w:shd w:val="clear" w:color="auto" w:fill="auto"/>
        </w:rPr>
      </w:pPr>
      <w:r>
        <w:rPr>
          <w:rFonts w:hint="eastAsia" w:ascii="Times New Roman" w:hAnsi="Times New Roman" w:cs="方正小标宋简体"/>
          <w:color w:val="000000"/>
          <w:sz w:val="32"/>
          <w:szCs w:val="28"/>
          <w:shd w:val="clear" w:color="auto" w:fill="auto"/>
          <w:lang w:val="en-US" w:eastAsia="zh-CN" w:bidi="ar-SA"/>
        </w:rPr>
        <w:br w:type="textWrapping"/>
      </w:r>
    </w:p>
    <w:p w14:paraId="37825B3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2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shd w:val="clear" w:color="auto" w:fill="auto"/>
        </w:rPr>
        <w:t>鄂尔多斯市康巴什区国有资产监督管理委员会关于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印发《康巴什区国资委出资监管企业</w:t>
      </w:r>
    </w:p>
    <w:p w14:paraId="6BCF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主责主业动态管理办法》（试行）的通知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</w:p>
    <w:p w14:paraId="2C293A2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各出资监管企业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：</w:t>
      </w:r>
    </w:p>
    <w:p w14:paraId="3815FD9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0" w:firstLineChars="200"/>
        <w:jc w:val="both"/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《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康巴什区国资委出资监管企业主责主业动态管理办法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（试行）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已经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党委会审议通过，现印发给你们，请遵照执行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630D300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baseline"/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 w14:paraId="5EB0991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baseline"/>
        <w:rPr>
          <w:rFonts w:hint="default" w:ascii="等线" w:hAnsi="等线" w:eastAsia="等线" w:cs="等线"/>
          <w:color w:val="000000" w:themeColor="text1"/>
          <w:sz w:val="31"/>
          <w:szCs w:val="3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  <w:t>                 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鄂尔多斯市康巴什区国有资产监督管理委员会</w:t>
      </w:r>
    </w:p>
    <w:p w14:paraId="2F3D00D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baseline"/>
        <w:rPr>
          <w:rFonts w:hint="default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  <w:t>                           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  <w:t>日</w:t>
      </w:r>
    </w:p>
    <w:p w14:paraId="799D2D7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康巴什区国资委监管企业主责主业</w:t>
      </w:r>
    </w:p>
    <w:p w14:paraId="02F35BF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动态管理办法（试行）</w:t>
      </w:r>
    </w:p>
    <w:p w14:paraId="4925544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</w:pPr>
    </w:p>
    <w:p w14:paraId="1EA0AF4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rPr>
          <w:rStyle w:val="16"/>
          <w:rFonts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第一章</w:t>
      </w:r>
      <w:r>
        <w:rPr>
          <w:rFonts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 总  则</w:t>
      </w:r>
    </w:p>
    <w:p w14:paraId="787F3F4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22" w:firstLineChars="200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一条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为学习贯彻习近平新时代中国特色社会主义思想，全面贯彻习近平总书记关于国企改革发展和党的建设的重要论述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加快推进国有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布局优化和结构调整，推动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企业聚焦主责主业，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核心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竞争力、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增强核心功能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，坚定不移做强做优做大国有资本和国有企业，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《中华人民共和国公司法》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《中华人民共和国企业国有资产法》《企业国有资产监督管理暂行条例》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等法律法规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，结合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国企改革深化提升行动要求及康巴什区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国资国企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实际，制定本办法。</w:t>
      </w:r>
    </w:p>
    <w:p w14:paraId="6E2651D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 w:firstLineChars="200"/>
        <w:jc w:val="both"/>
        <w:rPr>
          <w:rFonts w:hint="default" w:ascii="Calibri" w:hAnsi="Calibri" w:cs="Calibri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第二条 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本办法所称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，是指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康巴什区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国有资产监督管理委员会（以下简称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国资委）代表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康巴什区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人民政府履行出资人职责的国有企业。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本办法所称主责，是指监管企业的战略定位、重要使命和重大责任。本办法所称主业，是指监管企业按照主责要求开展，并经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国资委核定的主要经营业务。</w:t>
      </w:r>
    </w:p>
    <w:p w14:paraId="254A8E39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第三条 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核定的主责主业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国资委对企业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规划、改革重组、考核评价、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投资等事项依法履行出资人职责的重要依据，也是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编制战略规划、经营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的重要依据。</w:t>
      </w:r>
    </w:p>
    <w:p w14:paraId="16C74BE1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第四条 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国资委依据职能定位，履行下列职责：</w:t>
      </w:r>
    </w:p>
    <w:p w14:paraId="5471D69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Calibri" w:hAnsi="Calibri" w:eastAsia="仿宋_GB2312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（一）制定监管企业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主责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主业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动态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管理办法，坚持服务全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战略、坚持尊重市场规律、坚持与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改革相结合、坚持依法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规推进、坚持因企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施策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明确监管企业主责主业管理规范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并负责组织实施和监督检查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175C9D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Calibri" w:hAnsi="Calibri" w:eastAsia="仿宋_GB2312" w:cs="Calibri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（二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）厘清主责功能和主业标准，组织核定监管企业主责主业，对监管企业主责主业发展情况实施监管及动态调整。</w:t>
      </w:r>
    </w:p>
    <w:p w14:paraId="7DD2666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Calibri" w:hAnsi="Calibri" w:eastAsia="仿宋_GB2312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）引导监管企业围绕主责主业优化资源配置，推动在监管企业间、监管企业内部开展专业化重组整合，加快剥离非主业、非优势业务，放大产业协同发展优势，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指导监管企业建立健全内部主业管理制度及相应的管控机制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F1EE5E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Calibri" w:hAnsi="Calibri" w:eastAsia="仿宋_GB2312" w:cs="Calibri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（四）根据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不同类型，制定定性与定量相结合的评价标准，对企业主业发展情况实施监测评价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4D747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（五）与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监管企业主责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主业发展相关的其他监管职责。</w:t>
      </w:r>
    </w:p>
    <w:p w14:paraId="68A14D1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第五条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监管企业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应当聚焦主责主业开展经营管理活动，并根据国资监管要求履行下列职责：</w:t>
      </w:r>
    </w:p>
    <w:p w14:paraId="28935F8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（一）依据功能定位和发展战略规划，制定主业目录，以书面形式报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送区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A5297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（二）建立健全企业内部主业管理制度，对拥有实际控制权的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下属各级企业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实施全面有效的主业管理，坚持突出主业、聚焦实业，严控非主业投资，提升主业集中度、发展质量和核心竞争力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0C4101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Calibri" w:hAnsi="Calibri" w:eastAsia="仿宋_GB2312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（三）有序推动所属企业实施专业化重组整合与协同发展，推动国有资本向主业领域、优势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集中，增强集约化管理，避免业务重合和无序竞争，提高国有资本运营效率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8DF449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Calibri" w:hAnsi="Calibri" w:eastAsia="仿宋_GB2312" w:cs="Calibri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（四）建立动态分析机制，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国资委及时反馈主业发展情况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BA8AAA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（五）国资监管机构规定的其他职责。</w:t>
      </w:r>
    </w:p>
    <w:p w14:paraId="613090D1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7164F96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第二章</w:t>
      </w: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基本原则和核定标准</w:t>
      </w:r>
    </w:p>
    <w:p w14:paraId="07353C2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监管企业主责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主业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应符合下列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基本原则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7551659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（一）符合新时代国有企业的战略定位、历史使命，契合国家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自治区、鄂尔多斯市和我区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重大战略、行业政策及产业发展规划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908034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（二）符合国有经济布局优化和结构调整方向。监管企业应按照国资国企改革的要求，致力于壮大实体经济，推动国有资本向关系国家安全、国民经济命脉的重要行业集中，向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提供公共服务、应急能力建设和公益性等关系国计民生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的重要行业集中，向前瞻性战略性新兴产业集中，坚守主责、做强主业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9AB21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singl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）有利于提高企业核心竞争力。监管企业应以主责为依据，立足自身功能定位、现有产业基础和未来转型升级需要，优选具备资源优势和基础条件、具有较强行业竞争力和发展潜力、能有效引领企业高质量发展的业务作为主业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商业类企业主业重点突出经济效益和企业价值，兼顾社会效益，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特定功能类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企业主业重点突出特殊保障功能，公益类企业主业重点突出公共服务功能。</w:t>
      </w:r>
    </w:p>
    <w:p w14:paraId="32B2F74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利于增强企业核心功能。监管企业主业应与主责联动衔接，能够有效支撑企业重要使命和重大责任，与战略目标和发展措施相匹配，聚焦企业布局的重点领域和发展方向，坚决遏制过度负债堆积与主业无关的资产。具备品牌、技术、人才、资</w:t>
      </w:r>
    </w:p>
    <w:p w14:paraId="03E1519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金、管理等资源优势和基础条件，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长期作为企业支柱产业，可持续盈利能力较强，能够支撑企业高质量发展。</w:t>
      </w:r>
    </w:p>
    <w:p w14:paraId="486BE82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监管企业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主责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主业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标准如下：  </w:t>
      </w:r>
    </w:p>
    <w:p w14:paraId="1B8BA2C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（一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主业名称参照《国民经济行业分类》（GB/T4754-2017）大类、中类标准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及《</w:t>
      </w:r>
      <w:r>
        <w:rPr>
          <w:rFonts w:hint="eastAsia" w:asci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战略性新兴产业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分类（2018）》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确定，可结合实际情况，将关联度高、协同性强的业务适当归类。</w:t>
      </w:r>
    </w:p>
    <w:p w14:paraId="7D41CB5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主业可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分为核心业务和培育业务两类，其中，核心业务原则上不超过3个，培育业务原则上不超过2个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AC2C2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核心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已形成较大的资产规模，具有持续稳定的盈利能力，体现企业核心竞争力，反映企业行业地位，能支撑企业未来长远发展的业务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A0F3F0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培育主业是指与企业所处行业有相关性，适应转型升级、培育新增长点、发展战略性新兴产业等需要，有一定发展基础，但有关经营指标未达到核心主业标准的业务。优先将战略性新兴产业列为培育主业，培育主业原则上不得重复布局其他监管企业的核心主业。</w:t>
      </w:r>
    </w:p>
    <w:p w14:paraId="3841EA2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纳入核心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的单项业务板块资产总额、营业收入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利润总额等主要经营指标，原则上至少有一项近三年平均值占企业总量不低于2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BF99A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培育主业应明确培育目标，经培育达到核心主业要求的，按程序核定为核心主业；经培育未达到培育目标的，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监管企业应及时研究提出处置意见。</w:t>
      </w:r>
    </w:p>
    <w:p w14:paraId="63FE727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both"/>
        <w:rPr>
          <w:rFonts w:hint="default" w:ascii="Calibri" w:hAnsi="Calibri" w:cs="Calibri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主业和培育业务合计的资产总额、营业收入和利润总额等主要经营指标，至少有一项指标占企业总量的比重不低于80%。</w:t>
      </w:r>
    </w:p>
    <w:p w14:paraId="6964D7B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rPr>
          <w:rFonts w:hint="default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第三章</w:t>
      </w: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核定程序</w:t>
      </w:r>
    </w:p>
    <w:p w14:paraId="720397B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监管企业主责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主业按以下程序核定：</w:t>
      </w:r>
    </w:p>
    <w:p w14:paraId="69900CA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预审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监管企业在充分研究论证基础上，提出主责主业建议，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将拟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的主业报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国资委预审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国资委对各企业拟申报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的主业提出预审意见并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反馈企业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2407B73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）形成主业核定报告。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撰写申请核定主业的报告，提出申报确认的主业。报告需对申报理由进行具体说明，如所报主业的发展前景，占整体营业收入、利润总额的比重，在同行业中的竞争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优势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等。</w:t>
      </w:r>
    </w:p>
    <w:p w14:paraId="464FEB7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（三）正式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企业根据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国资委预审意见，修改完善拟申报核定的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主责主业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，经董事会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等决策机构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审议通过后，向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国资委报送申请核定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主责主业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请示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2CED2F6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（四）核定公布。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监管企业主责主业经区国资委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核定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予以公布。</w:t>
      </w:r>
    </w:p>
    <w:p w14:paraId="70A27CF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企业对材料的真实性、完整性和准确性负责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报送的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材料应当包括：</w:t>
      </w:r>
    </w:p>
    <w:p w14:paraId="519302E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关于核定主责主业的请示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主要内容包括：根据本企业功能定位和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区委、区政府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发展战略规划，在认真研究论证、综合考虑所属企业经营范围和整合发展方向的基础上拟定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主责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主业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依据说明，发展现状及前景，行业对标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及竞争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优劣势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分析，发展目标及任务举措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其他业务相关情况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 w14:paraId="438275D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（二）经营业务基础数据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资产总额、营业收入、利润总额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净资产、净利润，各项主业对应情况及占比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在岗职工人数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80D0B9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Calibri" w:hAnsi="Calibri" w:eastAsia="仿宋_GB2312" w:cs="Calibri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企业集团内部决策文件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董事会决议等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14D79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区国资委认为的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必要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相关材料。</w:t>
      </w:r>
    </w:p>
    <w:p w14:paraId="5ECBF52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第十条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主责主业动态调整要求：</w:t>
      </w:r>
    </w:p>
    <w:p w14:paraId="1A0DA61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（一）监管企业主责体现企业战略定位、核心功能和长期发展方向，经核定后应保持相对稳定。区国资委可根据区委、区政府决策部署和我区经济社会发展需要，组织监管企业对主责进行调整。</w:t>
      </w:r>
    </w:p>
    <w:p w14:paraId="58AEC98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（二）主业一经核定，原则上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在一个五年规划期内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不予调整。五年规划期内，监管企业有下列情形确需调整主业的，应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在重新研究论证工作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计算业务占比的基础上向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国资委申请，并按本办法第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条规定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重新履行核定程序：功能定位或发展战略出现重大调整；发生重大战略重组和专业化整合；因资产（股权）划转导致原产业板块发生较大变化；企业经科学论证认为确需调整的其他情形。</w:t>
      </w:r>
    </w:p>
    <w:p w14:paraId="7E1FB94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（三）区国资委根据国有资本布局安排和监管企业经营发展情况，可要求监管企业调整主业。</w:t>
      </w:r>
    </w:p>
    <w:p w14:paraId="38142D9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第十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对新组建的监管企业，应在组建方案中明确主责主业、战略目标及发展举措，作为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国资委开展主责主业管理的依据。</w:t>
      </w:r>
    </w:p>
    <w:p w14:paraId="0FBC42D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5DC8909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监督管理</w:t>
      </w:r>
    </w:p>
    <w:p w14:paraId="4FF24DE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第十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国资委统筹监管职能，加强对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企业主业发展情况的全程监督，主业核定后重点发挥以下作用：</w:t>
      </w:r>
    </w:p>
    <w:p w14:paraId="76E096D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  <w:lang w:eastAsia="zh-CN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（一）界定非主业投资的主要依据。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t>主业以外的投资为非主业投资，原则上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  <w:lang w:val="en-US" w:eastAsia="zh-CN"/>
        </w:rPr>
        <w:t>商业类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t>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  <w:lang w:val="en-US" w:eastAsia="zh-CN"/>
        </w:rPr>
        <w:t>特定功能类、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t>公益类企业的非主业投资规模占年度投资计划比例分别不超过15%、10%、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t>%，并根据国资监管有关规定动态调整。</w:t>
      </w:r>
    </w:p>
    <w:p w14:paraId="446CDE0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（二）经营业绩考核的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依据。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国资委坚持分类考核，引导企业聚焦主业做强实业，加快结构调整和转型升级，积极发展战略性新兴产业，对聚焦主责主业发展取得突出成效或未达预期的，视情况在考核中予以激励或扣分。</w:t>
      </w:r>
    </w:p>
    <w:p w14:paraId="7A7E046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（三）董事会履职评价的重要依据。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国资委加强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企业董事会及董事管理监督，定期掌握企业聚焦主责主业、制定并执行企业战略规划情况，将其作为评价董事会和董事履职情况的依据之一。</w:t>
      </w:r>
    </w:p>
    <w:p w14:paraId="4EEC641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2" w:firstLineChars="200"/>
        <w:jc w:val="both"/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第十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vertAlign w:val="baseline"/>
          <w14:textFill>
            <w14:solidFill>
              <w14:schemeClr w14:val="tx1"/>
            </w14:solidFill>
          </w14:textFill>
        </w:rPr>
        <w:t>国资委发挥发展规划、综合改革、法律合规、财务预决算、产权管理、考核分配、监督追责等相关监管职能，推动监管企业优化国有资本布局结构，聚焦主责主业实现高质量发展。</w:t>
      </w:r>
    </w:p>
    <w:p w14:paraId="58E94F7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2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第十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国资委围绕重点领域和关键环节，加强对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监管企业主责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主业发展情况的监测评价，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将主业管理纳入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企业违规经营投资责任追究工作体系。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企业在主业管理中存在下列情形的，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通过约谈、通报、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发提示函等方式责令企业整改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62F7631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（一）未执行主业申报程序，或对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国资委反馈的责成企业重新研究的初审意见拒不执行、拖延执行，瞒报、谎报、不及时报送主业管理情况以及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属企业主业核定结果，发提示函直至通报。</w:t>
      </w:r>
    </w:p>
    <w:p w14:paraId="2AA1BE4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（二）在主业申报中把关不严，提交失实的申报材料，尤其是经营业务基础数据统计弄虚作假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，约谈企业集团分管负责同志。</w:t>
      </w:r>
    </w:p>
    <w:p w14:paraId="34B03C3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（三）不执行本办法规定的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控制数量，增量国有资本无序进入非主业领域，造成非主业数量过多、非主业资产规模过大，对企业生产经营、财务状况等产生重大影响，约谈企业集团主要负责同志。</w:t>
      </w:r>
    </w:p>
    <w:p w14:paraId="7196659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（四）未履行或未正确履行主业管理职责，对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国资委核定的主业执行不力，偏离主业开展经营投资活动，造成国有资产损失或其他严重不良后果，按照违规经营投资责任追究有关规定追究企业经营管理人员的责任。</w:t>
      </w:r>
    </w:p>
    <w:p w14:paraId="78FF3C3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第十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企业违反本办法及国资监管有关规定，未履行或未正确履行主业管理职责，在经营活动中造成国有资产流失或其他严重不良后果的，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照《国有企业违规经营投资责任追究实施办法（试行）》（国资委〔2021〕31 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、《内蒙古自治区直属企业违规经营投资责任追究办法》(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内政办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〔2023〕75号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追究相关人员责任。</w:t>
      </w:r>
    </w:p>
    <w:p w14:paraId="2F1B272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668AC317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国有企业内部主业管理</w:t>
      </w:r>
    </w:p>
    <w:p w14:paraId="402F807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第十六条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企业应当聚焦主业建立健全内部主业管理制度，形成内部考核责任传递机制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，参照本办法及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国资委核定的主业对权属企业开展主业核定，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经董事会等决策机构审议通过后，报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国资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备案。</w:t>
      </w:r>
    </w:p>
    <w:p w14:paraId="1EBAA44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第十七条  </w:t>
      </w:r>
      <w:r>
        <w:rPr>
          <w:rStyle w:val="1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监管企业要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加强对拥有实际控制权的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权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属各级企业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实施全面有效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的主业管理，各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级子企业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主业要界面清晰、数量精简、突出优势，避免主业同质化竞争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清理退出不具备竞争优势、缺乏发展潜力的非主业、非优势业务和低效无效资产。</w:t>
      </w:r>
    </w:p>
    <w:p w14:paraId="6ADE8E8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十八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企业应当强化主业经营日常管控，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定期开展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主业发展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情况评估，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动态分析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总结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客观、真实、准确揭示经营管理中存在的问题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提高对经营环境变化、行业发展趋势的研判能力，及时优化调整主业发展策略，防控偏离主业发展的风险。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并于每年度3月1日前，将上一年度的主业发展情况报告报送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国资委备案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B74EA7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38D710F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第六章 附则</w:t>
      </w:r>
    </w:p>
    <w:p w14:paraId="3832F7D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十九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 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本办法由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国资委负责解释。</w:t>
      </w:r>
    </w:p>
    <w:p w14:paraId="4929317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Style w:val="16"/>
          <w:rFonts w:hint="eastAsia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Style w:val="16"/>
          <w:rFonts w:hint="default" w:ascii="楷体_GB2312" w:hAnsi="Calibri" w:eastAsia="楷体_GB2312" w:cs="楷体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 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涉及上市公司、金融企业的主业管理，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有关法律法规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及监管部门政策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另有规定的，从其规定。</w:t>
      </w:r>
    </w:p>
    <w:p w14:paraId="7933FB8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本办法自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印发之日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起执行。</w:t>
      </w:r>
    </w:p>
    <w:p w14:paraId="03F60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4F9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p w14:paraId="36D5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14"/>
        <w:tblpPr w:leftFromText="180" w:rightFromText="180" w:vertAnchor="text" w:horzAnchor="page" w:tblpX="1698" w:tblpY="1215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6"/>
      </w:tblGrid>
      <w:tr w14:paraId="4D0253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6" w:type="dxa"/>
            <w:tcBorders>
              <w:tl2br w:val="nil"/>
              <w:tr2bl w:val="nil"/>
            </w:tcBorders>
          </w:tcPr>
          <w:p w14:paraId="532A4DC2">
            <w:pPr>
              <w:pStyle w:val="7"/>
              <w:overflowPunct w:val="0"/>
              <w:spacing w:line="560" w:lineRule="exact"/>
              <w:ind w:left="0"/>
              <w:rPr>
                <w:rFonts w:hint="eastAsia"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 xml:space="preserve">鄂尔多斯市康巴什区国有资产监督管理委员会        </w:t>
            </w:r>
            <w:r>
              <w:rPr>
                <w:rFonts w:hint="eastAsia" w:ascii="仿宋_GB2312" w:eastAsia="仿宋_GB2312"/>
                <w:w w:val="9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w w:val="9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w w:val="9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w w:val="9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日印发</w:t>
            </w:r>
          </w:p>
        </w:tc>
      </w:tr>
    </w:tbl>
    <w:p w14:paraId="7516C9FD">
      <w:pPr>
        <w:pStyle w:val="5"/>
        <w:ind w:left="0" w:leftChars="0" w:firstLine="0" w:firstLineChars="0"/>
        <w:rPr>
          <w:rFonts w:hint="eastAsia" w:eastAsia="宋体"/>
          <w:lang w:eastAsia="zh-CN"/>
        </w:rPr>
      </w:pPr>
    </w:p>
    <w:sectPr>
      <w:footerReference r:id="rId3" w:type="default"/>
      <w:pgSz w:w="11907" w:h="16840"/>
      <w:pgMar w:top="1814" w:right="1474" w:bottom="1984" w:left="158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617414-CFA1-494A-AFE9-1FC0EE3D72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A2223F-BB33-49C6-988A-4459A9B98B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B8B269-1023-4208-8507-88842027D26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7909B10-CDAF-4BC3-B65D-D60C81C3B9D4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F55D8056-76A3-4C6E-87ED-BBEC607218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D1A0167-BCA4-4C9E-9CCA-F37AC03B58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5EAA80B2-1CE0-4C21-A676-8CCADB2A8E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8B626ADD-2B1D-4619-B987-8025C749733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FE31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5EE3E"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5EE3E"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53A6A"/>
    <w:multiLevelType w:val="singleLevel"/>
    <w:tmpl w:val="0A753A6A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2MwNGQyZTcwMWIyMTg5MDljODMyYTZiZDliNzdmOWIifQ=="/>
  </w:docVars>
  <w:rsids>
    <w:rsidRoot w:val="00000000"/>
    <w:rsid w:val="1FA38EC6"/>
    <w:rsid w:val="1FFFB181"/>
    <w:rsid w:val="2ABD11AA"/>
    <w:rsid w:val="34AC5BD4"/>
    <w:rsid w:val="3DAB14D5"/>
    <w:rsid w:val="3FFBCA84"/>
    <w:rsid w:val="47ED6213"/>
    <w:rsid w:val="5DE64566"/>
    <w:rsid w:val="6ED3AB02"/>
    <w:rsid w:val="75ADD677"/>
    <w:rsid w:val="7DEF058E"/>
    <w:rsid w:val="7FDFC0DE"/>
    <w:rsid w:val="7FFE8EEB"/>
    <w:rsid w:val="AB6FD1CC"/>
    <w:rsid w:val="AEDDCAA6"/>
    <w:rsid w:val="CDD33939"/>
    <w:rsid w:val="DE7F6BD0"/>
    <w:rsid w:val="E4FD3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公文）"/>
    <w:basedOn w:val="1"/>
    <w:qFormat/>
    <w:uiPriority w:val="0"/>
    <w:pPr>
      <w:spacing w:line="560" w:lineRule="exact"/>
      <w:ind w:firstLine="640" w:firstLineChars="200"/>
      <w:jc w:val="both"/>
    </w:pPr>
    <w:rPr>
      <w:rFonts w:ascii="仿宋_GB2312" w:hAnsi="仿宋_GB2312" w:eastAsia="仿宋_GB2312"/>
      <w:kern w:val="0"/>
      <w:sz w:val="32"/>
      <w:szCs w:val="32"/>
      <w:lang w:bidi="ar"/>
    </w:rPr>
  </w:style>
  <w:style w:type="paragraph" w:styleId="4">
    <w:name w:val="Note Heading"/>
    <w:next w:val="1"/>
    <w:qFormat/>
    <w:uiPriority w:val="0"/>
    <w:pPr>
      <w:widowControl/>
      <w:jc w:val="center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0"/>
    <w:pPr>
      <w:ind w:firstLine="420"/>
    </w:p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ody Text"/>
    <w:basedOn w:val="1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32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9"/>
    <w:basedOn w:val="1"/>
    <w:next w:val="1"/>
    <w:qFormat/>
    <w:uiPriority w:val="0"/>
    <w:pPr>
      <w:ind w:left="3360"/>
    </w:pPr>
    <w:rPr>
      <w:rFonts w:ascii="仿宋_GB2312" w:eastAsia="仿宋_GB2312"/>
      <w:sz w:val="32"/>
    </w:rPr>
  </w:style>
  <w:style w:type="paragraph" w:styleId="11">
    <w:name w:val="Body Text 2"/>
    <w:basedOn w:val="1"/>
    <w:qFormat/>
    <w:uiPriority w:val="0"/>
    <w:pPr>
      <w:spacing w:after="120" w:line="480" w:lineRule="auto"/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autoRedefine/>
    <w:qFormat/>
    <w:uiPriority w:val="0"/>
    <w:pPr>
      <w:spacing w:before="240" w:beforeAutospacing="0" w:after="60" w:afterAutospacing="0"/>
      <w:jc w:val="center"/>
      <w:outlineLvl w:val="0"/>
    </w:pPr>
    <w:rPr>
      <w:rFonts w:ascii="Cambria" w:hAnsi="Cambria" w:cs="Times New Roman"/>
      <w:b/>
      <w:bCs/>
      <w:sz w:val="32"/>
      <w:szCs w:val="32"/>
      <w:lang w:bidi="ar-SA"/>
    </w:rPr>
  </w:style>
  <w:style w:type="character" w:styleId="16">
    <w:name w:val="Strong"/>
    <w:basedOn w:val="1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10</Pages>
  <Words>4666</Words>
  <Characters>4710</Characters>
  <Lines>1</Lines>
  <Paragraphs>0</Paragraphs>
  <TotalTime>17</TotalTime>
  <ScaleCrop>false</ScaleCrop>
  <LinksUpToDate>false</LinksUpToDate>
  <CharactersWithSpaces>4858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2021-06-24T18:47:00Z</dcterms:created>
  <dc:creator>Administrator</dc:creator>
  <cp:lastModifiedBy>zzzzzzyx</cp:lastModifiedBy>
  <cp:lastPrinted>2024-04-03T03:50:00Z</cp:lastPrinted>
  <dcterms:modified xsi:type="dcterms:W3CDTF">2026-01-28T03:30:59Z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C25B2CCCDEF045F799EB0316ED25470B_13</vt:lpwstr>
  </property>
  <property fmtid="{D5CDD505-2E9C-101B-9397-08002B2CF9AE}" pid="4" name="KSOTemplateDocerSaveRecord">
    <vt:lpwstr>eyJoZGlkIjoiZjQwYjllNzYxYWM1MWQyMzdiY2RkZjhmNzFmN2U2YzAiLCJ1c2VySWQiOiIxMTcyMzUxMTA1In0=</vt:lpwstr>
  </property>
</Properties>
</file>