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0"/>
        <w:jc w:val="both"/>
        <w:textAlignment w:val="auto"/>
        <w:outlineLvl w:val="9"/>
        <w:rPr>
          <w:rFonts w:hint="eastAsia" w:ascii="黑体" w:hAnsi="黑体" w:eastAsia="黑体" w:cs="黑体"/>
          <w:sz w:val="32"/>
          <w:szCs w:val="32"/>
          <w:lang w:val="en-US"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0"/>
        <w:jc w:val="center"/>
        <w:textAlignment w:val="auto"/>
        <w:outlineLvl w:val="9"/>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鄂尔多斯市</w:t>
      </w:r>
      <w:r>
        <w:rPr>
          <w:rFonts w:hint="eastAsia" w:ascii="方正小标宋简体" w:hAnsi="方正小标宋简体" w:eastAsia="方正小标宋简体" w:cs="方正小标宋简体"/>
          <w:sz w:val="44"/>
          <w:szCs w:val="44"/>
          <w:lang w:val="en-US" w:eastAsia="zh-CN"/>
        </w:rPr>
        <w:t>康巴什区</w:t>
      </w:r>
      <w:r>
        <w:rPr>
          <w:rFonts w:hint="eastAsia" w:ascii="方正小标宋简体" w:hAnsi="方正小标宋简体" w:eastAsia="方正小标宋简体" w:cs="方正小标宋简体"/>
          <w:sz w:val="44"/>
          <w:szCs w:val="44"/>
          <w:lang w:eastAsia="zh-CN"/>
        </w:rPr>
        <w:t>本级部门三年滚动</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0"/>
        <w:jc w:val="center"/>
        <w:textAlignment w:val="auto"/>
        <w:outlineLvl w:val="9"/>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eastAsia="zh-CN"/>
        </w:rPr>
        <w:t>财政规划编制管理办法</w:t>
      </w:r>
    </w:p>
    <w:bookmarkEnd w:id="0"/>
    <w:p>
      <w:pPr>
        <w:keepNext w:val="0"/>
        <w:keepLines w:val="0"/>
        <w:pageBreakBefore w:val="0"/>
        <w:kinsoku/>
        <w:wordWrap/>
        <w:overflowPunct/>
        <w:topLinePunct w:val="0"/>
        <w:autoSpaceDE/>
        <w:autoSpaceDN/>
        <w:bidi w:val="0"/>
        <w:adjustRightInd/>
        <w:snapToGrid/>
        <w:spacing w:line="560" w:lineRule="exact"/>
        <w:ind w:right="0" w:rightChars="0" w:firstLine="640"/>
        <w:jc w:val="center"/>
        <w:textAlignment w:val="auto"/>
        <w:outlineLvl w:val="9"/>
        <w:rPr>
          <w:rFonts w:hint="eastAsia" w:ascii="方正黑体_GBK" w:hAnsi="方正黑体_GBK" w:eastAsia="方正黑体_GBK" w:cs="方正黑体_GBK"/>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default"/>
          <w:lang w:val="en-US"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第一条 </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严格财政纪律，加强预算刚性约束</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提高财政资源配置效率，</w:t>
      </w:r>
      <w:r>
        <w:rPr>
          <w:rFonts w:hint="eastAsia" w:ascii="仿宋_GB2312" w:hAnsi="仿宋_GB2312" w:eastAsia="仿宋_GB2312" w:cs="仿宋_GB2312"/>
          <w:sz w:val="32"/>
          <w:szCs w:val="32"/>
          <w:lang w:val="en-US" w:eastAsia="zh-CN"/>
        </w:rPr>
        <w:t>充分发挥财政职能作用，</w:t>
      </w:r>
      <w:r>
        <w:rPr>
          <w:rFonts w:hint="eastAsia" w:ascii="仿宋_GB2312" w:hAnsi="仿宋_GB2312" w:eastAsia="仿宋_GB2312" w:cs="仿宋_GB2312"/>
          <w:sz w:val="32"/>
          <w:szCs w:val="32"/>
        </w:rPr>
        <w:t>促进财政逆周期调节与跨年度预算平衡的双重目标实现</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lang w:val="en-US" w:eastAsia="zh-CN"/>
        </w:rPr>
        <w:t>《内蒙古自治区人民政府关于实行中期财政规划管理的实施意见》等文件要求，制定《鄂尔多斯市康巴什区本级部门三年滚动财政规划编制管理办法》。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方正黑体_GBK" w:hAnsi="方正黑体_GBK" w:eastAsia="方正黑体_GBK" w:cs="方正黑体_GBK"/>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SA"/>
        </w:rPr>
        <w:t>本办法所称</w:t>
      </w:r>
      <w:r>
        <w:rPr>
          <w:rFonts w:hint="eastAsia" w:ascii="仿宋_GB2312" w:hAnsi="仿宋_GB2312" w:eastAsia="仿宋_GB2312" w:cs="仿宋_GB2312"/>
          <w:sz w:val="32"/>
          <w:szCs w:val="32"/>
          <w:lang w:val="en-US" w:eastAsia="zh-CN"/>
        </w:rPr>
        <w:t>部门三年滚动财政规划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eastAsia="zh-CN"/>
        </w:rPr>
        <w:t>由财政部门会同各部门</w:t>
      </w:r>
      <w:r>
        <w:rPr>
          <w:rFonts w:hint="eastAsia" w:ascii="仿宋_GB2312" w:hAnsi="仿宋_GB2312" w:eastAsia="仿宋_GB2312" w:cs="仿宋_GB2312"/>
          <w:sz w:val="32"/>
          <w:szCs w:val="32"/>
        </w:rPr>
        <w:t>在对总体财政收支情况进行科学预判的基础上，</w:t>
      </w:r>
      <w:r>
        <w:rPr>
          <w:rFonts w:hint="eastAsia" w:ascii="仿宋_GB2312" w:hAnsi="仿宋_GB2312" w:eastAsia="仿宋_GB2312" w:cs="仿宋_GB2312"/>
          <w:sz w:val="32"/>
          <w:szCs w:val="32"/>
          <w:lang w:eastAsia="zh-CN"/>
        </w:rPr>
        <w:t>对规划期内一些部门重大改革、重要政策和重大项目，研究政策目标、运行机制和评价办法，并</w:t>
      </w:r>
      <w:r>
        <w:rPr>
          <w:rFonts w:hint="eastAsia" w:ascii="仿宋_GB2312" w:hAnsi="仿宋_GB2312" w:eastAsia="仿宋_GB2312" w:cs="仿宋_GB2312"/>
          <w:sz w:val="32"/>
          <w:szCs w:val="32"/>
        </w:rPr>
        <w:t>根据经济社会发展情况适时研究调整</w:t>
      </w:r>
      <w:r>
        <w:rPr>
          <w:rFonts w:hint="eastAsia" w:ascii="仿宋_GB2312" w:hAnsi="仿宋_GB2312" w:eastAsia="仿宋_GB2312" w:cs="仿宋_GB2312"/>
          <w:sz w:val="32"/>
          <w:szCs w:val="32"/>
          <w:lang w:eastAsia="zh-CN"/>
        </w:rPr>
        <w:t>、逐年更新</w:t>
      </w:r>
      <w:r>
        <w:rPr>
          <w:rFonts w:hint="eastAsia" w:ascii="仿宋_GB2312" w:hAnsi="仿宋_GB2312" w:eastAsia="仿宋_GB2312" w:cs="仿宋_GB2312"/>
          <w:sz w:val="32"/>
          <w:szCs w:val="32"/>
        </w:rPr>
        <w:t>的财政管理规划。编制科学、合理的</w:t>
      </w:r>
      <w:r>
        <w:rPr>
          <w:rFonts w:hint="eastAsia" w:ascii="仿宋_GB2312" w:hAnsi="仿宋_GB2312" w:eastAsia="仿宋_GB2312" w:cs="仿宋_GB2312"/>
          <w:sz w:val="32"/>
          <w:szCs w:val="32"/>
          <w:lang w:val="en-US" w:eastAsia="zh-CN"/>
        </w:rPr>
        <w:t>部门三年滚动财政规划</w:t>
      </w:r>
      <w:r>
        <w:rPr>
          <w:rFonts w:hint="eastAsia" w:ascii="仿宋_GB2312" w:hAnsi="仿宋_GB2312" w:eastAsia="仿宋_GB2312" w:cs="仿宋_GB2312"/>
          <w:sz w:val="32"/>
          <w:szCs w:val="32"/>
        </w:rPr>
        <w:t>对积极的财政政策的持续发力具有重大意义</w:t>
      </w:r>
      <w:r>
        <w:rPr>
          <w:rFonts w:hint="eastAsia" w:ascii="仿宋_GB2312" w:hAnsi="仿宋_GB2312" w:eastAsia="仿宋_GB2312" w:cs="仿宋_GB2312"/>
          <w:color w:val="auto"/>
          <w:kern w:val="2"/>
          <w:sz w:val="32"/>
          <w:szCs w:val="32"/>
          <w:lang w:val="en-US" w:eastAsia="zh-CN" w:bidi="ar-SA"/>
        </w:rPr>
        <w:t>。</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b/>
          <w:bCs/>
          <w:sz w:val="32"/>
          <w:szCs w:val="32"/>
          <w:lang w:val="en-US" w:eastAsia="zh-CN"/>
        </w:rPr>
        <w:t>第三条</w:t>
      </w:r>
      <w:r>
        <w:rPr>
          <w:rFonts w:hint="eastAsia" w:ascii="仿宋_GB2312" w:hAnsi="仿宋_GB2312" w:eastAsia="仿宋_GB2312" w:cs="仿宋_GB2312"/>
          <w:sz w:val="32"/>
          <w:szCs w:val="32"/>
          <w:lang w:val="en-US" w:eastAsia="zh-CN"/>
        </w:rPr>
        <w:t xml:space="preserve"> 编制原则</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（一）强化统筹协调。</w:t>
      </w:r>
      <w:r>
        <w:rPr>
          <w:rFonts w:hint="eastAsia" w:ascii="仿宋_GB2312" w:hAnsi="仿宋_GB2312" w:eastAsia="仿宋_GB2312" w:cs="仿宋_GB2312"/>
          <w:sz w:val="32"/>
          <w:szCs w:val="32"/>
          <w:lang w:val="en-US" w:eastAsia="zh-CN"/>
        </w:rPr>
        <w:t>部门三年滚动财政规划要以区委、区政府工作部署为依据，以实现全区经济社会中长期发展规划和预期绩效目标为方向，以各部门中长期规划和年度发展计划为参照，聚焦规划期内重要政策、重大项目和民生事业，统筹考虑财力情况，综合安排，切实防范财政风险。</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（二）实施滚动管理。</w:t>
      </w:r>
      <w:r>
        <w:rPr>
          <w:rFonts w:hint="eastAsia" w:ascii="仿宋_GB2312" w:hAnsi="仿宋_GB2312" w:eastAsia="仿宋_GB2312" w:cs="仿宋_GB2312"/>
          <w:sz w:val="32"/>
          <w:szCs w:val="32"/>
          <w:lang w:val="en-US" w:eastAsia="zh-CN"/>
        </w:rPr>
        <w:t>部门三年滚动财政规划按照三年滚动方式编制。第一年规划约束对应部门年度预算，后两年规划指引对应部门年度预算，部门年度预算执行结束后，部门要对后两年规划及时进行调整，再添加一个年度规划，形成新一轮部门三年支出规划。</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（三）健全约束机制。</w:t>
      </w:r>
      <w:r>
        <w:rPr>
          <w:rFonts w:hint="eastAsia" w:ascii="仿宋_GB2312" w:hAnsi="仿宋_GB2312" w:eastAsia="仿宋_GB2312" w:cs="仿宋_GB2312"/>
          <w:sz w:val="32"/>
          <w:szCs w:val="32"/>
          <w:lang w:val="en-US" w:eastAsia="zh-CN"/>
        </w:rPr>
        <w:t>凡涉及财政政策和财政资金支持的部门、行业规划，都要与部门三年滚动财政规划相衔接。强化部门三年滚动财政规划对部门年度预算编制的约束，部门年度预算编制必须在部门三年滚动财政规划框架下进行。</w:t>
      </w:r>
    </w:p>
    <w:p>
      <w:pPr>
        <w:pStyle w:val="2"/>
        <w:keepNext w:val="0"/>
        <w:keepLines w:val="0"/>
        <w:pageBreakBefore w:val="0"/>
        <w:kinsoku/>
        <w:wordWrap/>
        <w:overflowPunct/>
        <w:topLinePunct w:val="0"/>
        <w:autoSpaceDE/>
        <w:autoSpaceDN/>
        <w:bidi w:val="0"/>
        <w:adjustRightInd/>
        <w:snapToGrid/>
        <w:spacing w:line="560" w:lineRule="exact"/>
        <w:ind w:right="0" w:rightChars="0" w:firstLine="640" w:firstLineChars="200"/>
        <w:jc w:val="center"/>
        <w:textAlignment w:val="auto"/>
        <w:outlineLvl w:val="9"/>
        <w:rPr>
          <w:rFonts w:hint="eastAsia" w:ascii="方正黑体_GBK" w:hAnsi="方正黑体_GBK" w:eastAsia="方正黑体_GBK" w:cs="方正黑体_GBK"/>
          <w:sz w:val="32"/>
          <w:szCs w:val="32"/>
          <w:lang w:val="en-US" w:eastAsia="zh-CN"/>
        </w:rPr>
      </w:pPr>
    </w:p>
    <w:p>
      <w:pPr>
        <w:pStyle w:val="2"/>
        <w:keepNext w:val="0"/>
        <w:keepLines w:val="0"/>
        <w:pageBreakBefore w:val="0"/>
        <w:kinsoku/>
        <w:wordWrap/>
        <w:overflowPunct/>
        <w:topLinePunct w:val="0"/>
        <w:autoSpaceDE/>
        <w:autoSpaceDN/>
        <w:bidi w:val="0"/>
        <w:adjustRightInd/>
        <w:snapToGrid/>
        <w:spacing w:line="560" w:lineRule="exact"/>
        <w:ind w:right="0" w:rightChars="0" w:firstLine="640" w:firstLineChars="2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编制流程及内容</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第四条</w:t>
      </w:r>
      <w:r>
        <w:rPr>
          <w:rFonts w:hint="eastAsia" w:ascii="仿宋_GB2312" w:hAnsi="仿宋_GB2312" w:eastAsia="仿宋_GB2312" w:cs="仿宋_GB2312"/>
          <w:sz w:val="32"/>
          <w:szCs w:val="32"/>
          <w:lang w:val="en-US" w:eastAsia="zh-CN"/>
        </w:rPr>
        <w:t xml:space="preserve"> 编制流程</w:t>
      </w:r>
    </w:p>
    <w:p>
      <w:pPr>
        <w:keepNext w:val="0"/>
        <w:keepLines w:val="0"/>
        <w:pageBreakBefore w:val="0"/>
        <w:numPr>
          <w:ilvl w:val="0"/>
          <w:numId w:val="1"/>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一级主管</w:t>
      </w:r>
      <w:r>
        <w:rPr>
          <w:rFonts w:hint="eastAsia" w:ascii="仿宋_GB2312" w:hAnsi="仿宋_GB2312" w:eastAsia="仿宋_GB2312" w:cs="仿宋_GB2312"/>
          <w:sz w:val="32"/>
          <w:szCs w:val="32"/>
        </w:rPr>
        <w:t>部门编制年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部门预算</w:t>
      </w:r>
      <w:r>
        <w:rPr>
          <w:rFonts w:hint="eastAsia" w:ascii="仿宋_GB2312" w:hAnsi="仿宋_GB2312" w:eastAsia="仿宋_GB2312" w:cs="仿宋_GB2312"/>
          <w:sz w:val="32"/>
          <w:szCs w:val="32"/>
          <w:lang w:eastAsia="zh-CN"/>
        </w:rPr>
        <w:t>“一上”</w:t>
      </w:r>
      <w:r>
        <w:rPr>
          <w:rFonts w:hint="eastAsia" w:ascii="仿宋_GB2312" w:hAnsi="仿宋_GB2312" w:eastAsia="仿宋_GB2312" w:cs="仿宋_GB2312"/>
          <w:sz w:val="32"/>
          <w:szCs w:val="32"/>
        </w:rPr>
        <w:t>时，同步编制部门支出三年规划</w:t>
      </w:r>
      <w:r>
        <w:rPr>
          <w:rFonts w:hint="eastAsia" w:ascii="仿宋_GB2312" w:hAnsi="仿宋_GB2312" w:eastAsia="仿宋_GB2312" w:cs="仿宋_GB2312"/>
          <w:sz w:val="32"/>
          <w:szCs w:val="32"/>
          <w:lang w:eastAsia="zh-CN"/>
        </w:rPr>
        <w:t>。各部门收集规划期间批准实施的规划和政策，研究提出部门重大改革和政策事项、未来三年分年度资金安排和预期绩效，形成部门三年滚动财政规划建议。</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val="en-US" w:eastAsia="zh-CN"/>
        </w:rPr>
        <w:t xml:space="preserve">    （二）</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一级主管</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财政局“一下”下达的控制数和已编制的当年部门预算草案，结合规划期内经济社会发展目标和跨年度预算平衡需要等，对本部门三年滚动财政规划进行修改完善，以正式文件形式报</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财政局备案。</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color w:val="auto"/>
          <w:kern w:val="2"/>
          <w:sz w:val="32"/>
          <w:szCs w:val="32"/>
          <w:lang w:val="en-US" w:eastAsia="zh-CN" w:bidi="ar-SA"/>
        </w:rPr>
        <w:t xml:space="preserve">  （三）区人大批复预算草案后，区财政局批复部门预算及三年滚动财政规规划。</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第五条</w:t>
      </w:r>
      <w:r>
        <w:rPr>
          <w:rFonts w:hint="eastAsia" w:ascii="仿宋_GB2312" w:hAnsi="仿宋_GB2312" w:eastAsia="仿宋_GB2312" w:cs="仿宋_GB2312"/>
          <w:sz w:val="32"/>
          <w:szCs w:val="32"/>
          <w:lang w:val="en-US" w:eastAsia="zh-CN"/>
        </w:rPr>
        <w:t xml:space="preserve"> 编制内容</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（一）收入规划编制</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承担组织征收非税收入的部门，可以结合以前年度收入征收情况，区分行政事业性收费、专项收入、国有资产资源有偿使用收入、罚没收入、政府性基金等，逐项分析收入增减变化因素，根据分年度分项目预计征收情况，试编部门三年滚动收入规划。</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（二）支出规划编制</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基本支出预算</w:t>
      </w:r>
      <w:r>
        <w:rPr>
          <w:rFonts w:hint="eastAsia" w:ascii="Times New Roman" w:hAnsi="Times New Roman" w:eastAsia="仿宋_GB2312" w:cs="Times New Roman"/>
          <w:sz w:val="32"/>
          <w:szCs w:val="32"/>
          <w:lang w:eastAsia="zh-CN"/>
        </w:rPr>
        <w:t>规划</w:t>
      </w:r>
      <w:r>
        <w:rPr>
          <w:rFonts w:hint="default" w:ascii="Times New Roman" w:hAnsi="Times New Roman" w:eastAsia="仿宋_GB2312" w:cs="Times New Roman"/>
          <w:sz w:val="32"/>
          <w:szCs w:val="32"/>
        </w:rPr>
        <w:t>由</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财政局根据政策调整情况，统一测算</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无需部门编制。项目支出预算</w:t>
      </w:r>
      <w:r>
        <w:rPr>
          <w:rFonts w:hint="eastAsia" w:ascii="Times New Roman" w:hAnsi="Times New Roman" w:eastAsia="仿宋_GB2312" w:cs="Times New Roman"/>
          <w:sz w:val="32"/>
          <w:szCs w:val="32"/>
          <w:lang w:eastAsia="zh-CN"/>
        </w:rPr>
        <w:t>规划</w:t>
      </w:r>
      <w:r>
        <w:rPr>
          <w:rFonts w:hint="default" w:ascii="Times New Roman" w:hAnsi="Times New Roman" w:eastAsia="仿宋_GB2312" w:cs="Times New Roman"/>
          <w:sz w:val="32"/>
          <w:szCs w:val="32"/>
        </w:rPr>
        <w:t>在编制年</w:t>
      </w:r>
      <w:r>
        <w:rPr>
          <w:rFonts w:hint="eastAsia" w:ascii="Times New Roman" w:hAnsi="Times New Roman" w:eastAsia="仿宋_GB2312" w:cs="Times New Roman"/>
          <w:sz w:val="32"/>
          <w:szCs w:val="32"/>
          <w:lang w:eastAsia="zh-CN"/>
        </w:rPr>
        <w:t>度</w:t>
      </w:r>
      <w:r>
        <w:rPr>
          <w:rFonts w:hint="default" w:ascii="Times New Roman" w:hAnsi="Times New Roman" w:eastAsia="仿宋_GB2312" w:cs="Times New Roman"/>
          <w:sz w:val="32"/>
          <w:szCs w:val="32"/>
        </w:rPr>
        <w:t>项目预算时同步编制。</w:t>
      </w:r>
      <w:r>
        <w:rPr>
          <w:rFonts w:hint="eastAsia" w:ascii="Times New Roman" w:hAnsi="Times New Roman" w:eastAsia="仿宋_GB2312" w:cs="Times New Roman"/>
          <w:sz w:val="32"/>
          <w:szCs w:val="32"/>
          <w:lang w:eastAsia="zh-CN"/>
        </w:rPr>
        <w:t>部门编制的本年度支出规划中的项目应与本年度部门预算中的项目相同且金额一致。对于因机构改革、重大政策调整等确需增加支出规划的，由部门申请并附相关材料报</w:t>
      </w:r>
      <w:r>
        <w:rPr>
          <w:rFonts w:hint="eastAsia" w:ascii="Times New Roman" w:hAnsi="Times New Roman" w:eastAsia="仿宋_GB2312" w:cs="Times New Roman"/>
          <w:sz w:val="32"/>
          <w:szCs w:val="32"/>
          <w:lang w:val="en-US" w:eastAsia="zh-CN"/>
        </w:rPr>
        <w:t>区</w:t>
      </w:r>
      <w:r>
        <w:rPr>
          <w:rFonts w:hint="eastAsia" w:ascii="Times New Roman" w:hAnsi="Times New Roman" w:eastAsia="仿宋_GB2312" w:cs="Times New Roman"/>
          <w:sz w:val="32"/>
          <w:szCs w:val="32"/>
          <w:lang w:eastAsia="zh-CN"/>
        </w:rPr>
        <w:t>财政局统筹考虑。</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lang w:val="en-US" w:eastAsia="zh-CN"/>
        </w:rPr>
      </w:pPr>
      <w:r>
        <w:rPr>
          <w:rFonts w:hint="eastAsia" w:ascii="Times New Roman" w:hAnsi="Times New Roman" w:eastAsia="仿宋_GB2312" w:cs="Times New Roman"/>
          <w:sz w:val="32"/>
          <w:szCs w:val="32"/>
          <w:lang w:eastAsia="zh-CN"/>
        </w:rPr>
        <w:t> </w:t>
      </w:r>
      <w:r>
        <w:rPr>
          <w:rFonts w:hint="eastAsia" w:ascii="楷体_GB2312" w:hAnsi="楷体_GB2312" w:eastAsia="楷体_GB2312" w:cs="楷体_GB2312"/>
          <w:sz w:val="32"/>
          <w:szCs w:val="32"/>
          <w:lang w:val="en-US" w:eastAsia="zh-CN"/>
        </w:rPr>
        <w:t>（三）专项资金安排计划编制</w:t>
      </w:r>
      <w:r>
        <w:rPr>
          <w:rFonts w:hint="eastAsia" w:ascii="Times New Roman" w:hAnsi="Times New Roman" w:eastAsia="仿宋_GB2312" w:cs="Times New Roman"/>
          <w:sz w:val="32"/>
          <w:szCs w:val="32"/>
          <w:lang w:eastAsia="zh-CN"/>
        </w:rPr>
        <w:br w:type="textWrapping"/>
      </w:r>
      <w:r>
        <w:rPr>
          <w:rFonts w:hint="eastAsia" w:ascii="Times New Roman" w:hAnsi="Times New Roman" w:eastAsia="仿宋_GB2312" w:cs="Times New Roman"/>
          <w:sz w:val="32"/>
          <w:szCs w:val="32"/>
          <w:lang w:eastAsia="zh-CN"/>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对未纳入部门预算、实行专项资金管理的支出规划，各部门要围绕本部门、本行业预期发展目标和重点工作任务，在全面梳理总结分析现行各类规划实施情况包括已累计完成投入情况、主要任务完成情况、预期绩效目标已实现情况、预计需再投入情况等的基础上，结合财政支出保障范围，以专项资金为抓手，测算提出财政资金需求建议，在统筹整合现有专项资金的基础上，根据项目实施进度研究提出分年度资金安排建议。</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center"/>
        <w:textAlignment w:val="auto"/>
        <w:outlineLvl w:val="9"/>
        <w:rPr>
          <w:rFonts w:hint="eastAsia" w:ascii="方正黑体_GBK" w:hAnsi="方正黑体_GBK" w:eastAsia="方正黑体_GBK" w:cs="方正黑体_GBK"/>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center"/>
        <w:textAlignment w:val="auto"/>
        <w:outlineLvl w:val="9"/>
        <w:rPr>
          <w:rFonts w:hint="eastAsia" w:ascii="方正黑体_GBK" w:hAnsi="方正黑体_GBK" w:eastAsia="方正黑体_GBK" w:cs="方正黑体_GBK"/>
          <w:sz w:val="32"/>
          <w:szCs w:val="32"/>
          <w:lang w:val="en-US" w:eastAsia="zh-CN"/>
        </w:rPr>
      </w:pPr>
      <w:r>
        <w:rPr>
          <w:rFonts w:hint="eastAsia" w:ascii="黑体" w:hAnsi="黑体" w:eastAsia="黑体" w:cs="黑体"/>
          <w:sz w:val="32"/>
          <w:szCs w:val="32"/>
          <w:lang w:val="en-US" w:eastAsia="zh-CN"/>
        </w:rPr>
        <w:t>第三章 组织实施</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第六条</w:t>
      </w:r>
      <w:r>
        <w:rPr>
          <w:rFonts w:hint="eastAsia" w:ascii="仿宋_GB2312" w:hAnsi="仿宋_GB2312" w:eastAsia="仿宋_GB2312" w:cs="仿宋_GB2312"/>
          <w:sz w:val="32"/>
          <w:szCs w:val="32"/>
          <w:lang w:val="en-US" w:eastAsia="zh-CN"/>
        </w:rPr>
        <w:t xml:space="preserve"> 各预算部门要抓紧研究本行业、领域的重大改革和政策措施，积极配合区财政局做好相关工作，形成合力，确保高质量、高水平完成部门三年滚动财政规划编制工作。</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napToGrid w:val="0"/>
          <w:kern w:val="0"/>
          <w:sz w:val="32"/>
          <w:szCs w:val="32"/>
          <w:lang w:val="en-US" w:eastAsia="zh-CN"/>
        </w:rPr>
        <w:t>各</w:t>
      </w:r>
      <w:r>
        <w:rPr>
          <w:rFonts w:hint="eastAsia" w:ascii="仿宋_GB2312" w:hAnsi="仿宋_GB2312" w:eastAsia="仿宋_GB2312" w:cs="仿宋_GB2312"/>
          <w:sz w:val="32"/>
          <w:szCs w:val="32"/>
          <w:lang w:val="en-US" w:eastAsia="zh-CN"/>
        </w:rPr>
        <w:t>预算</w:t>
      </w:r>
      <w:r>
        <w:rPr>
          <w:rFonts w:hint="eastAsia" w:ascii="仿宋_GB2312" w:hAnsi="仿宋_GB2312" w:eastAsia="仿宋_GB2312" w:cs="仿宋_GB2312"/>
          <w:snapToGrid w:val="0"/>
          <w:kern w:val="0"/>
          <w:sz w:val="32"/>
          <w:szCs w:val="32"/>
        </w:rPr>
        <w:t>部门要按照预算管理一体化系统要求，结合部门职能，科学合理编制支出规划，加强与</w:t>
      </w:r>
      <w:r>
        <w:rPr>
          <w:rFonts w:hint="eastAsia" w:ascii="仿宋_GB2312" w:hAnsi="仿宋_GB2312" w:eastAsia="仿宋_GB2312" w:cs="仿宋_GB2312"/>
          <w:snapToGrid w:val="0"/>
          <w:kern w:val="0"/>
          <w:sz w:val="32"/>
          <w:szCs w:val="32"/>
          <w:lang w:eastAsia="zh-CN"/>
        </w:rPr>
        <w:t>政府工作报告、</w:t>
      </w:r>
      <w:r>
        <w:rPr>
          <w:rFonts w:hint="eastAsia" w:ascii="仿宋_GB2312" w:hAnsi="仿宋_GB2312" w:eastAsia="仿宋_GB2312" w:cs="仿宋_GB2312"/>
          <w:snapToGrid w:val="0"/>
          <w:kern w:val="0"/>
          <w:sz w:val="32"/>
          <w:szCs w:val="32"/>
        </w:rPr>
        <w:t>国民经济和社会发展五年规划、行业领域发展规划等衔接。以后年度</w:t>
      </w:r>
      <w:r>
        <w:rPr>
          <w:rFonts w:hint="eastAsia" w:ascii="仿宋_GB2312" w:hAnsi="仿宋_GB2312" w:eastAsia="仿宋_GB2312" w:cs="仿宋_GB2312"/>
          <w:sz w:val="32"/>
          <w:szCs w:val="32"/>
        </w:rPr>
        <w:t>新增支出需求</w:t>
      </w:r>
      <w:r>
        <w:rPr>
          <w:rFonts w:hint="eastAsia" w:ascii="仿宋_GB2312" w:hAnsi="仿宋_GB2312" w:eastAsia="仿宋_GB2312" w:cs="仿宋_GB2312"/>
          <w:snapToGrid w:val="0"/>
          <w:kern w:val="0"/>
          <w:sz w:val="32"/>
          <w:szCs w:val="32"/>
        </w:rPr>
        <w:t>必须与三年支出规划相衔接，每年滚动调整</w:t>
      </w:r>
      <w:r>
        <w:rPr>
          <w:rFonts w:hint="eastAsia" w:ascii="仿宋_GB2312" w:hAnsi="仿宋_GB2312" w:eastAsia="仿宋_GB2312" w:cs="仿宋_GB2312"/>
          <w:sz w:val="32"/>
          <w:szCs w:val="32"/>
        </w:rPr>
        <w:t>支出结构，降低部门结余结转。</w:t>
      </w:r>
      <w:r>
        <w:rPr>
          <w:rFonts w:hint="eastAsia" w:ascii="仿宋_GB2312" w:hAnsi="仿宋_GB2312" w:eastAsia="仿宋_GB2312" w:cs="仿宋_GB2312"/>
          <w:sz w:val="32"/>
          <w:szCs w:val="32"/>
          <w:lang w:val="en-US" w:eastAsia="zh-CN"/>
        </w:rPr>
        <w:t>对于教育科技、社会保障、医疗卫生等重大事项，各部门应会同区财政局建立中长期重大事项科学论证机制。</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第八条</w:t>
      </w:r>
      <w:r>
        <w:rPr>
          <w:rFonts w:hint="eastAsia" w:ascii="仿宋_GB2312" w:hAnsi="仿宋_GB2312" w:eastAsia="仿宋_GB2312" w:cs="仿宋_GB2312"/>
          <w:sz w:val="32"/>
          <w:szCs w:val="32"/>
          <w:lang w:val="en-US" w:eastAsia="zh-CN"/>
        </w:rPr>
        <w:t xml:space="preserve"> 各预算部门要精编细编本部门本行业的支出规划，合理确定年度工作任务，及时提供部门基础信息和相关行业数据，为中期财政规划编制提供良好支撑。</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sz w:val="32"/>
          <w:szCs w:val="32"/>
          <w:highlight w:val="green"/>
          <w:lang w:val="en-US" w:eastAsia="zh-CN"/>
        </w:rPr>
      </w:pPr>
      <w:r>
        <w:rPr>
          <w:rFonts w:hint="eastAsia" w:ascii="仿宋_GB2312" w:hAnsi="仿宋_GB2312" w:eastAsia="仿宋_GB2312" w:cs="仿宋_GB2312"/>
          <w:b/>
          <w:bCs/>
          <w:sz w:val="32"/>
          <w:szCs w:val="32"/>
          <w:lang w:val="en-US" w:eastAsia="zh-CN"/>
        </w:rPr>
        <w:t>第九条</w:t>
      </w:r>
      <w:r>
        <w:rPr>
          <w:rFonts w:hint="eastAsia" w:ascii="仿宋_GB2312" w:hAnsi="仿宋_GB2312" w:eastAsia="仿宋_GB2312" w:cs="仿宋_GB2312"/>
          <w:sz w:val="32"/>
          <w:szCs w:val="32"/>
          <w:lang w:val="en-US" w:eastAsia="zh-CN"/>
        </w:rPr>
        <w:t xml:space="preserve"> 各预算部门要</w:t>
      </w:r>
      <w:r>
        <w:rPr>
          <w:rFonts w:hint="eastAsia" w:ascii="仿宋_GB2312" w:hAnsi="仿宋_GB2312" w:eastAsia="仿宋_GB2312" w:cs="仿宋_GB2312"/>
          <w:snapToGrid w:val="0"/>
          <w:kern w:val="0"/>
          <w:sz w:val="32"/>
          <w:szCs w:val="32"/>
        </w:rPr>
        <w:t>加强三年支出规划的计划性和预见性，做好项目储备，要分年度具体编报，详细设置预期绩效目标和阶段性目标，加强项目审核。</w:t>
      </w:r>
      <w:r>
        <w:rPr>
          <w:rFonts w:hint="eastAsia" w:ascii="仿宋_GB2312" w:hAnsi="仿宋_GB2312" w:eastAsia="仿宋_GB2312" w:cs="仿宋_GB2312"/>
          <w:snapToGrid w:val="0"/>
          <w:kern w:val="0"/>
          <w:sz w:val="32"/>
          <w:szCs w:val="32"/>
          <w:highlight w:val="none"/>
        </w:rPr>
        <w:t>属于评审范围的各部门需</w:t>
      </w:r>
      <w:r>
        <w:rPr>
          <w:rFonts w:hint="eastAsia" w:ascii="仿宋_GB2312" w:hAnsi="仿宋_GB2312" w:eastAsia="仿宋_GB2312" w:cs="仿宋_GB2312"/>
          <w:snapToGrid w:val="0"/>
          <w:kern w:val="0"/>
          <w:sz w:val="32"/>
          <w:szCs w:val="32"/>
          <w:highlight w:val="none"/>
          <w:lang w:eastAsia="zh-CN"/>
        </w:rPr>
        <w:t>报送</w:t>
      </w:r>
      <w:r>
        <w:rPr>
          <w:rFonts w:hint="eastAsia" w:ascii="仿宋_GB2312" w:hAnsi="仿宋_GB2312" w:eastAsia="仿宋_GB2312" w:cs="仿宋_GB2312"/>
          <w:snapToGrid w:val="0"/>
          <w:kern w:val="0"/>
          <w:sz w:val="32"/>
          <w:szCs w:val="32"/>
          <w:highlight w:val="none"/>
          <w:lang w:val="en-US" w:eastAsia="zh-CN"/>
        </w:rPr>
        <w:t>区</w:t>
      </w:r>
      <w:r>
        <w:rPr>
          <w:rFonts w:hint="eastAsia" w:ascii="仿宋_GB2312" w:hAnsi="仿宋_GB2312" w:eastAsia="仿宋_GB2312" w:cs="仿宋_GB2312"/>
          <w:snapToGrid w:val="0"/>
          <w:kern w:val="0"/>
          <w:sz w:val="32"/>
          <w:szCs w:val="32"/>
          <w:highlight w:val="none"/>
          <w:lang w:eastAsia="zh-CN"/>
        </w:rPr>
        <w:t>财政局，</w:t>
      </w:r>
      <w:r>
        <w:rPr>
          <w:rFonts w:hint="eastAsia" w:ascii="仿宋_GB2312" w:hAnsi="仿宋_GB2312" w:eastAsia="仿宋_GB2312" w:cs="仿宋_GB2312"/>
          <w:sz w:val="32"/>
          <w:szCs w:val="32"/>
          <w:highlight w:val="none"/>
        </w:rPr>
        <w:t>结合项目库管理，分年编制项目支出预算</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Chars="200" w:right="0" w:rightChars="0" w:firstLine="320" w:firstLineChars="100"/>
        <w:jc w:val="center"/>
        <w:textAlignment w:val="auto"/>
        <w:outlineLvl w:val="9"/>
        <w:rPr>
          <w:rFonts w:hint="eastAsia" w:ascii="仿宋_GB2312" w:hAnsi="仿宋_GB2312" w:eastAsia="仿宋_GB2312" w:cs="仿宋_GB2312"/>
          <w:sz w:val="32"/>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Chars="200" w:right="0" w:rightChars="0" w:firstLine="320" w:firstLineChars="100"/>
        <w:jc w:val="center"/>
        <w:textAlignment w:val="auto"/>
        <w:outlineLvl w:val="9"/>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t>第四章 附则</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Chars="200" w:right="0" w:rightChars="0" w:firstLine="320" w:firstLineChars="100"/>
        <w:jc w:val="left"/>
        <w:textAlignment w:val="auto"/>
        <w:outlineLvl w:val="9"/>
        <w:rPr>
          <w:rFonts w:hint="eastAsia" w:ascii="仿宋_GB2312" w:hAnsi="仿宋_GB2312" w:eastAsia="仿宋_GB2312" w:cs="仿宋_GB2312"/>
          <w:sz w:val="32"/>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Chars="200" w:right="0" w:rightChars="0" w:firstLine="321" w:firstLineChars="100"/>
        <w:jc w:val="left"/>
        <w:textAlignment w:val="auto"/>
        <w:outlineLvl w:val="9"/>
        <w:rPr>
          <w:rFonts w:hint="eastAsia" w:ascii="仿宋_GB2312" w:hAnsi="仿宋_GB2312" w:eastAsia="仿宋_GB2312" w:cs="仿宋_GB2312"/>
          <w:sz w:val="32"/>
          <w:szCs w:val="24"/>
        </w:rPr>
      </w:pPr>
      <w:r>
        <w:rPr>
          <w:rFonts w:hint="eastAsia" w:ascii="仿宋_GB2312" w:hAnsi="仿宋_GB2312" w:eastAsia="仿宋_GB2312" w:cs="仿宋_GB2312"/>
          <w:b/>
          <w:bCs/>
          <w:sz w:val="32"/>
          <w:szCs w:val="24"/>
          <w:lang w:val="en-US" w:eastAsia="zh-CN"/>
        </w:rPr>
        <w:t>第十条</w:t>
      </w:r>
      <w:r>
        <w:rPr>
          <w:rFonts w:hint="eastAsia" w:ascii="仿宋_GB2312" w:hAnsi="仿宋_GB2312" w:eastAsia="仿宋_GB2312" w:cs="仿宋_GB2312"/>
          <w:sz w:val="32"/>
          <w:szCs w:val="24"/>
          <w:lang w:val="en-US" w:eastAsia="zh-CN"/>
        </w:rPr>
        <w:t xml:space="preserve"> </w:t>
      </w:r>
      <w:r>
        <w:rPr>
          <w:rFonts w:hint="eastAsia" w:ascii="仿宋_GB2312" w:hAnsi="仿宋_GB2312" w:eastAsia="仿宋_GB2312" w:cs="仿宋_GB2312"/>
          <w:sz w:val="32"/>
          <w:szCs w:val="24"/>
        </w:rPr>
        <w:t>本办法由</w:t>
      </w:r>
      <w:r>
        <w:rPr>
          <w:rFonts w:hint="eastAsia" w:ascii="仿宋_GB2312" w:hAnsi="仿宋_GB2312" w:eastAsia="仿宋_GB2312" w:cs="仿宋_GB2312"/>
          <w:sz w:val="32"/>
          <w:szCs w:val="24"/>
          <w:lang w:val="en-US" w:eastAsia="zh-CN"/>
        </w:rPr>
        <w:t>区</w:t>
      </w:r>
      <w:r>
        <w:rPr>
          <w:rFonts w:hint="eastAsia" w:ascii="仿宋_GB2312" w:hAnsi="仿宋_GB2312" w:eastAsia="仿宋_GB2312" w:cs="仿宋_GB2312"/>
          <w:sz w:val="32"/>
          <w:szCs w:val="24"/>
        </w:rPr>
        <w:t>财政局负责解释。</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Chars="200" w:right="0" w:rightChars="0" w:firstLine="321" w:firstLineChars="100"/>
        <w:jc w:val="left"/>
        <w:textAlignment w:val="auto"/>
        <w:outlineLvl w:val="9"/>
        <w:rPr>
          <w:rFonts w:hint="eastAsia" w:ascii="仿宋_GB2312" w:hAnsi="仿宋_GB2312" w:eastAsia="仿宋_GB2312" w:cs="仿宋_GB2312"/>
          <w:sz w:val="32"/>
          <w:szCs w:val="24"/>
        </w:rPr>
      </w:pPr>
      <w:r>
        <w:rPr>
          <w:rFonts w:hint="eastAsia" w:ascii="仿宋_GB2312" w:hAnsi="仿宋_GB2312" w:eastAsia="仿宋_GB2312" w:cs="仿宋_GB2312"/>
          <w:b/>
          <w:bCs/>
          <w:sz w:val="32"/>
          <w:szCs w:val="24"/>
          <w:lang w:val="en-US" w:eastAsia="zh-CN"/>
        </w:rPr>
        <w:t>第十一条</w:t>
      </w:r>
      <w:r>
        <w:rPr>
          <w:rFonts w:hint="eastAsia" w:ascii="仿宋_GB2312" w:hAnsi="仿宋_GB2312" w:eastAsia="仿宋_GB2312" w:cs="仿宋_GB2312"/>
          <w:sz w:val="32"/>
          <w:szCs w:val="24"/>
          <w:lang w:val="en-US" w:eastAsia="zh-CN"/>
        </w:rPr>
        <w:t xml:space="preserve"> </w:t>
      </w:r>
      <w:r>
        <w:rPr>
          <w:rFonts w:hint="eastAsia" w:ascii="仿宋_GB2312" w:hAnsi="仿宋_GB2312" w:eastAsia="仿宋_GB2312" w:cs="仿宋_GB2312"/>
          <w:sz w:val="32"/>
          <w:szCs w:val="24"/>
        </w:rPr>
        <w:t>本办法自</w:t>
      </w:r>
      <w:r>
        <w:rPr>
          <w:rFonts w:hint="eastAsia" w:ascii="仿宋_GB2312" w:hAnsi="仿宋_GB2312" w:eastAsia="仿宋_GB2312" w:cs="仿宋_GB2312"/>
          <w:sz w:val="32"/>
          <w:szCs w:val="24"/>
          <w:lang w:val="en-US" w:eastAsia="zh-CN"/>
        </w:rPr>
        <w:t>2024年部门预算编制</w:t>
      </w:r>
      <w:r>
        <w:rPr>
          <w:rFonts w:hint="eastAsia" w:ascii="仿宋_GB2312" w:hAnsi="仿宋_GB2312" w:eastAsia="仿宋_GB2312" w:cs="仿宋_GB2312"/>
          <w:sz w:val="32"/>
          <w:szCs w:val="24"/>
        </w:rPr>
        <w:t>起实施。</w:t>
      </w:r>
    </w:p>
    <w:p>
      <w:pPr>
        <w:keepNext w:val="0"/>
        <w:keepLines w:val="0"/>
        <w:pageBreakBefore w:val="0"/>
        <w:kinsoku/>
        <w:wordWrap/>
        <w:overflowPunct/>
        <w:topLinePunct w:val="0"/>
        <w:autoSpaceDE/>
        <w:autoSpaceDN/>
        <w:bidi w:val="0"/>
        <w:adjustRightInd/>
        <w:snapToGrid/>
        <w:spacing w:line="560" w:lineRule="exact"/>
        <w:textAlignment w:val="auto"/>
      </w:pPr>
    </w:p>
    <w:p>
      <w:pPr>
        <w:pStyle w:val="2"/>
        <w:rPr>
          <w:rFonts w:hint="eastAsia"/>
          <w:lang w:val="en-US" w:eastAsia="zh-CN"/>
        </w:rPr>
      </w:pPr>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BatangChe">
    <w:altName w:val="Malgun Gothic"/>
    <w:panose1 w:val="02030609000101010101"/>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3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auto"/>
    <w:pitch w:val="default"/>
    <w:sig w:usb0="E0002A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7A"/>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CESI仿宋-GB2312">
    <w:altName w:val="仿宋"/>
    <w:panose1 w:val="02000500000000000000"/>
    <w:charset w:val="86"/>
    <w:family w:val="auto"/>
    <w:pitch w:val="default"/>
    <w:sig w:usb0="00000000" w:usb1="00000000" w:usb2="00000010" w:usb3="00000000" w:csb0="0004000F" w:csb1="00000000"/>
  </w:font>
  <w:font w:name="方正黑体_GBK">
    <w:altName w:val="微软雅黑"/>
    <w:panose1 w:val="02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BE617D"/>
    <w:multiLevelType w:val="singleLevel"/>
    <w:tmpl w:val="AEBE61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7D509E"/>
    <w:rsid w:val="00D976B4"/>
    <w:rsid w:val="012874BE"/>
    <w:rsid w:val="05A84776"/>
    <w:rsid w:val="05D54465"/>
    <w:rsid w:val="05E41043"/>
    <w:rsid w:val="05F062AB"/>
    <w:rsid w:val="06A75EEF"/>
    <w:rsid w:val="0703602A"/>
    <w:rsid w:val="072E5EC0"/>
    <w:rsid w:val="08452765"/>
    <w:rsid w:val="0A077A69"/>
    <w:rsid w:val="0AF94E57"/>
    <w:rsid w:val="0C2F260B"/>
    <w:rsid w:val="118F4458"/>
    <w:rsid w:val="132C3400"/>
    <w:rsid w:val="13F53B16"/>
    <w:rsid w:val="14672196"/>
    <w:rsid w:val="14A40F94"/>
    <w:rsid w:val="15B408A0"/>
    <w:rsid w:val="163C60A4"/>
    <w:rsid w:val="17CE5C7F"/>
    <w:rsid w:val="18B15A45"/>
    <w:rsid w:val="195F2067"/>
    <w:rsid w:val="1C377926"/>
    <w:rsid w:val="1DBE43FB"/>
    <w:rsid w:val="1F012026"/>
    <w:rsid w:val="1F6253E4"/>
    <w:rsid w:val="1FA36B34"/>
    <w:rsid w:val="200C5AC2"/>
    <w:rsid w:val="22982504"/>
    <w:rsid w:val="234C38B6"/>
    <w:rsid w:val="23A806A7"/>
    <w:rsid w:val="27935347"/>
    <w:rsid w:val="27AB14FF"/>
    <w:rsid w:val="28773A64"/>
    <w:rsid w:val="297326C6"/>
    <w:rsid w:val="2BBC55F0"/>
    <w:rsid w:val="2CA53AA7"/>
    <w:rsid w:val="2DFB3D10"/>
    <w:rsid w:val="2E635E01"/>
    <w:rsid w:val="308221A3"/>
    <w:rsid w:val="30FD3C67"/>
    <w:rsid w:val="31606D0C"/>
    <w:rsid w:val="32237B87"/>
    <w:rsid w:val="332D3A6B"/>
    <w:rsid w:val="33B23882"/>
    <w:rsid w:val="33C64E59"/>
    <w:rsid w:val="34313F82"/>
    <w:rsid w:val="39926927"/>
    <w:rsid w:val="3A5937F3"/>
    <w:rsid w:val="3B5B49AA"/>
    <w:rsid w:val="3C2C033F"/>
    <w:rsid w:val="3F565A12"/>
    <w:rsid w:val="3F812F10"/>
    <w:rsid w:val="418D4FA7"/>
    <w:rsid w:val="42276644"/>
    <w:rsid w:val="44353687"/>
    <w:rsid w:val="44796EF0"/>
    <w:rsid w:val="479A6ACE"/>
    <w:rsid w:val="47BB5DDA"/>
    <w:rsid w:val="49B730AF"/>
    <w:rsid w:val="4BCF1EEE"/>
    <w:rsid w:val="4D217AE4"/>
    <w:rsid w:val="4E416156"/>
    <w:rsid w:val="4FB45F8D"/>
    <w:rsid w:val="4FCB02EE"/>
    <w:rsid w:val="52503F23"/>
    <w:rsid w:val="533943BF"/>
    <w:rsid w:val="53E60B32"/>
    <w:rsid w:val="56BE567F"/>
    <w:rsid w:val="59E52760"/>
    <w:rsid w:val="5A7D509E"/>
    <w:rsid w:val="5C7C6EC2"/>
    <w:rsid w:val="5EA52A08"/>
    <w:rsid w:val="5FE7270D"/>
    <w:rsid w:val="61623B4C"/>
    <w:rsid w:val="646D46BD"/>
    <w:rsid w:val="64843087"/>
    <w:rsid w:val="6642553F"/>
    <w:rsid w:val="670C5A86"/>
    <w:rsid w:val="67944C90"/>
    <w:rsid w:val="6902221D"/>
    <w:rsid w:val="694E57E2"/>
    <w:rsid w:val="6D535020"/>
    <w:rsid w:val="6E525918"/>
    <w:rsid w:val="6F7976E8"/>
    <w:rsid w:val="71A666E7"/>
    <w:rsid w:val="73190733"/>
    <w:rsid w:val="732B66BF"/>
    <w:rsid w:val="738D52AD"/>
    <w:rsid w:val="75BE59F7"/>
    <w:rsid w:val="78723420"/>
    <w:rsid w:val="79353944"/>
    <w:rsid w:val="79EE0A22"/>
    <w:rsid w:val="7F3764E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2"/>
    <w:basedOn w:val="1"/>
    <w:uiPriority w:val="0"/>
    <w:pPr>
      <w:spacing w:line="480" w:lineRule="auto"/>
    </w:pPr>
  </w:style>
  <w:style w:type="paragraph" w:styleId="4">
    <w:name w:val="Body Text"/>
    <w:basedOn w:val="1"/>
    <w:next w:val="1"/>
    <w:qFormat/>
    <w:uiPriority w:val="0"/>
    <w:pPr>
      <w:spacing w:after="120" w:afterLines="0" w:afterAutospacing="0"/>
    </w:pPr>
  </w:style>
  <w:style w:type="paragraph" w:styleId="5">
    <w:name w:val="Body Text Indent 2"/>
    <w:basedOn w:val="1"/>
    <w:qFormat/>
    <w:uiPriority w:val="0"/>
    <w:pPr>
      <w:ind w:firstLine="720" w:firstLineChars="225"/>
    </w:pPr>
    <w:rPr>
      <w:rFonts w:ascii="仿宋_GB2312" w:eastAsia="仿宋_GB2312"/>
      <w:kern w:val="2"/>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12">
    <w:name w:val="Body Text First Indent1"/>
    <w:basedOn w:val="13"/>
    <w:qFormat/>
    <w:uiPriority w:val="0"/>
    <w:pPr>
      <w:ind w:firstLine="100" w:firstLineChars="100"/>
    </w:pPr>
  </w:style>
  <w:style w:type="paragraph" w:customStyle="1" w:styleId="13">
    <w:name w:val="Body Text1"/>
    <w:basedOn w:val="1"/>
    <w:qFormat/>
    <w:uiPriority w:val="0"/>
    <w:rPr>
      <w:b/>
      <w:sz w:val="44"/>
    </w:rPr>
  </w:style>
  <w:style w:type="paragraph" w:customStyle="1" w:styleId="14">
    <w:name w:val="BodyText"/>
    <w:basedOn w:val="1"/>
    <w:qFormat/>
    <w:uiPriority w:val="0"/>
    <w:pPr>
      <w:spacing w:after="120"/>
      <w:jc w:val="both"/>
      <w:textAlignment w:val="baseline"/>
    </w:pPr>
    <w:rPr>
      <w:rFonts w:ascii="Times New Roman" w:hAnsi="Times New Roman" w:eastAsia="宋体" w:cs="Times New Roman"/>
    </w:rPr>
  </w:style>
  <w:style w:type="paragraph" w:customStyle="1" w:styleId="15">
    <w:name w:val="Default"/>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2018-05-29T02:44:00Z</dcterms:created>
  <dc:creator>敏子儿</dc:creator>
  <cp:lastModifiedBy>康巴什区财政局(拟稿)</cp:lastModifiedBy>
  <cp:lastPrinted>2023-08-01T02:54:00Z</cp:lastPrinted>
  <dcterms:modified xsi:type="dcterms:W3CDTF">2023-10-11T07:49:50Z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y fmtid="{D5CDD505-2E9C-101B-9397-08002B2CF9AE}" pid="3" name="ICV">
    <vt:lpwstr>43B4C06D503B42CE90D9A7820AE1F167</vt:lpwstr>
  </property>
</Properties>
</file>