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康巴什区人民政府办公室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康巴什区行政权力监督管理办法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bidi="ar"/>
        </w:rPr>
        <w:t>各街道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 w:bidi="ar"/>
        </w:rPr>
        <w:t>党工委、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bidi="ar"/>
        </w:rPr>
        <w:t>办事处，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 w:bidi="ar"/>
        </w:rPr>
        <w:t>区政府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bidi="ar"/>
        </w:rPr>
        <w:t>各部门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bidi="ar"/>
        </w:rPr>
        <w:t>各垂直管理部门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进一步加强权责清单（以下简称《清单》）管理，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规范行政行为，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建设法治政府，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根据上级有关文件要求，现将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康巴什区行政权力监督管理办法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印发给你们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鄂尔多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康巴什区人民政府办公室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康巴什区行政权力监督管理办法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为了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加强权责清单（以下简称《清单》）管理，</w:t>
      </w:r>
      <w:r>
        <w:rPr>
          <w:rFonts w:ascii="仿宋" w:hAnsi="仿宋" w:eastAsia="仿宋" w:cs="仿宋"/>
          <w:sz w:val="31"/>
          <w:szCs w:val="31"/>
        </w:rPr>
        <w:t>规范行政行为，建设法治政府，根据国家有关法律法规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《内蒙古自治区行政权力监督管理办法》</w:t>
      </w:r>
      <w:r>
        <w:rPr>
          <w:rFonts w:ascii="仿宋" w:hAnsi="仿宋" w:eastAsia="仿宋" w:cs="仿宋"/>
          <w:sz w:val="31"/>
          <w:szCs w:val="31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法实施的《清单》所涉及的行政权力事项、部门责任事项的公布、动态管理适用本办法。本办法所称行政权力，是指行政机关或者法律、法规授权组织（以下统称行政机关）依法作出的，影响公民、法人和其他组织的权利、义务的行为，包括行政许可、行政处罚、行政裁决、行政强制、行政确认、行政给付、行政奖励、行政征收、行政监督检查以及其他行政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《清单》动态调整应坚持合法合理、公开透明、规范有序、便民高效的原则。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有下列情形之一时，行政机关应当对本机关执行的行政权力进行调整。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（一）新的法律、法规、规章颁布需要调整的；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（二）所依据的法律、法规、规章等修改或者废止的；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（三）行政机关实施机构改革，导致执法主体或者执法职能发生变化的；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（四）其他确需调整的情形。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第五条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区政务服务局是本级《清单》的管理机构，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区政务服务局</w:t>
      </w:r>
      <w:r>
        <w:rPr>
          <w:rFonts w:ascii="仿宋" w:hAnsi="仿宋" w:eastAsia="仿宋" w:cs="仿宋"/>
          <w:sz w:val="31"/>
          <w:szCs w:val="31"/>
        </w:rPr>
        <w:t>应当协调本级行政机关及时对行政权力清单进行清理，并每隔两年进行一次集中清理。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集中清理期间，行政机关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因承接、取消、下放、整合行政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事项以及更名需要调整权力清单的，应当按照“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区政务服务局组织梳理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区司法局进行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合法性审查→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区政务服务局报区人民政府常务会议通过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区政务服务局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调整公开相关信息”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除集中清理期间外需调整的行政权力清单应当按照“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行政机关自行向区人民政府提出申请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区司法局进行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合法性审查→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报区人民政府常务会议通过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区政务服务局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调整公开相关信息”。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权力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事项、责任事项实行《清单》管理。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实施的行政权力事项和责任事项均应纳入本级《清单》管理，未纳入《清单》的事项一律不得实施。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《清单》所列行政权力事项应当包括事项名称、类别、设定依据、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等要素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必须落实专人按照统一标准进行梳理。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遇到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级行政机关之间权责不明晰问题应及时上报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人民政府解决，遇到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级行政权责不明晰问题需上报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机构编制委员会办公室协调解决。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《清单》应当在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门户网站向社会公布，接受社会公众监督。行政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权力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实施机关应当以便于公众知晓的方式公开由本机关实施的行政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权力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事项及相关内容。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垂直管理部门设在地方的具有行政职权的机构，其权力清单由其上级部门进行合法性、合理性和必要性审核确认，并在本机构业务办理窗口、上级部门网站等载体公布。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公民、法人或其他组织可以就《清单》实施情况提出意见建议，对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违反本办法的行为，可以向其上级行政机关或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政务服务局投诉举报。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投诉举报电话：0477-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12345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行政机关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未按照本办法要求提出《清单》调整申请的或者《清单》之外实施行政权力事项的，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政务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追究相关单位和人员的责任。拒不整改造成严重后果的，移交相关部门依法追究行政或刑事责任。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行政权力清单、部门责任清单、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行政许可事项目录清单等事项清单均参照本办法执行。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本办法自202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日起施行。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TRmYjJmZTUwMzNkMWM3Y2U0OTgzNDFmODhmNjQifQ=="/>
  </w:docVars>
  <w:rsids>
    <w:rsidRoot w:val="205F35E0"/>
    <w:rsid w:val="003069D7"/>
    <w:rsid w:val="00B341ED"/>
    <w:rsid w:val="02BF45FA"/>
    <w:rsid w:val="04603F6E"/>
    <w:rsid w:val="0587563B"/>
    <w:rsid w:val="08520FE1"/>
    <w:rsid w:val="09C86009"/>
    <w:rsid w:val="0BCC7928"/>
    <w:rsid w:val="0D210E1E"/>
    <w:rsid w:val="0D711676"/>
    <w:rsid w:val="0F0C6D09"/>
    <w:rsid w:val="0FE03949"/>
    <w:rsid w:val="108D7F86"/>
    <w:rsid w:val="113878C0"/>
    <w:rsid w:val="13D84274"/>
    <w:rsid w:val="13FC223E"/>
    <w:rsid w:val="17B677C4"/>
    <w:rsid w:val="1ECE7234"/>
    <w:rsid w:val="1F654246"/>
    <w:rsid w:val="205F35E0"/>
    <w:rsid w:val="22913D4B"/>
    <w:rsid w:val="2381544A"/>
    <w:rsid w:val="26857A85"/>
    <w:rsid w:val="27367CDE"/>
    <w:rsid w:val="28B03AB1"/>
    <w:rsid w:val="2A0C43A8"/>
    <w:rsid w:val="2A616B9A"/>
    <w:rsid w:val="2B915E82"/>
    <w:rsid w:val="2C4E2B4A"/>
    <w:rsid w:val="2CFF1C53"/>
    <w:rsid w:val="2E8B1DBA"/>
    <w:rsid w:val="302A5A00"/>
    <w:rsid w:val="32240858"/>
    <w:rsid w:val="338209B1"/>
    <w:rsid w:val="34BC391C"/>
    <w:rsid w:val="35F50744"/>
    <w:rsid w:val="37056C29"/>
    <w:rsid w:val="3A0F145C"/>
    <w:rsid w:val="3AA562C7"/>
    <w:rsid w:val="3B2319C9"/>
    <w:rsid w:val="3D2B5DC0"/>
    <w:rsid w:val="3FDF6807"/>
    <w:rsid w:val="42CB400D"/>
    <w:rsid w:val="43766E39"/>
    <w:rsid w:val="43C23A00"/>
    <w:rsid w:val="4481276E"/>
    <w:rsid w:val="449E1AB9"/>
    <w:rsid w:val="462D5556"/>
    <w:rsid w:val="495F49D4"/>
    <w:rsid w:val="496D526E"/>
    <w:rsid w:val="4AAC485E"/>
    <w:rsid w:val="4BA34A89"/>
    <w:rsid w:val="4BA545D1"/>
    <w:rsid w:val="4CEA3BB7"/>
    <w:rsid w:val="4D293712"/>
    <w:rsid w:val="4E0249E0"/>
    <w:rsid w:val="4F7F321A"/>
    <w:rsid w:val="52FD321A"/>
    <w:rsid w:val="54CA2C45"/>
    <w:rsid w:val="55DD2F80"/>
    <w:rsid w:val="57764E24"/>
    <w:rsid w:val="58A56B26"/>
    <w:rsid w:val="58C9164D"/>
    <w:rsid w:val="59A73102"/>
    <w:rsid w:val="5A167269"/>
    <w:rsid w:val="5A7239FB"/>
    <w:rsid w:val="5B7A6F8C"/>
    <w:rsid w:val="605E0C2A"/>
    <w:rsid w:val="608F499B"/>
    <w:rsid w:val="634B72FB"/>
    <w:rsid w:val="63A177AC"/>
    <w:rsid w:val="63D23E09"/>
    <w:rsid w:val="63F606E3"/>
    <w:rsid w:val="64357CF9"/>
    <w:rsid w:val="6502771D"/>
    <w:rsid w:val="6596257E"/>
    <w:rsid w:val="65C341F0"/>
    <w:rsid w:val="65F3040D"/>
    <w:rsid w:val="6683763C"/>
    <w:rsid w:val="66B41074"/>
    <w:rsid w:val="68520398"/>
    <w:rsid w:val="688D5CA7"/>
    <w:rsid w:val="6A845731"/>
    <w:rsid w:val="6B150A32"/>
    <w:rsid w:val="6B33125D"/>
    <w:rsid w:val="6DAC0BD4"/>
    <w:rsid w:val="6F573BE4"/>
    <w:rsid w:val="719968D6"/>
    <w:rsid w:val="724D23C1"/>
    <w:rsid w:val="72501A4E"/>
    <w:rsid w:val="754370C2"/>
    <w:rsid w:val="76B24916"/>
    <w:rsid w:val="7E116EB8"/>
    <w:rsid w:val="7F2229BA"/>
    <w:rsid w:val="7F5836C6"/>
    <w:rsid w:val="7FCA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spacing w:line="400" w:lineRule="exact"/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000000"/>
      <w:u w:val="single"/>
    </w:rPr>
  </w:style>
  <w:style w:type="character" w:styleId="10">
    <w:name w:val="Hyperlink"/>
    <w:basedOn w:val="8"/>
    <w:qFormat/>
    <w:uiPriority w:val="0"/>
    <w:rPr>
      <w:color w:val="000000"/>
      <w:u w:val="single"/>
    </w:rPr>
  </w:style>
  <w:style w:type="character" w:customStyle="1" w:styleId="11">
    <w:name w:val="label"/>
    <w:basedOn w:val="8"/>
    <w:qFormat/>
    <w:uiPriority w:val="0"/>
  </w:style>
  <w:style w:type="character" w:customStyle="1" w:styleId="12">
    <w:name w:val="font01"/>
    <w:basedOn w:val="8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1427</Words>
  <Characters>1444</Characters>
  <Lines>0</Lines>
  <Paragraphs>0</Paragraphs>
  <TotalTime>3</TotalTime>
  <ScaleCrop>false</ScaleCrop>
  <LinksUpToDate>false</LinksUpToDate>
  <CharactersWithSpaces>1559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2021-07-27T02:14:00Z</dcterms:created>
  <dc:creator>lx</dc:creator>
  <cp:lastModifiedBy>Administrator</cp:lastModifiedBy>
  <cp:lastPrinted>2022-02-28T06:55:00Z</cp:lastPrinted>
  <dcterms:modified xsi:type="dcterms:W3CDTF">2022-07-11T02:34:25Z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952D22FB9F76479CBD7F4DC41CB60AAE</vt:lpwstr>
  </property>
</Properties>
</file>