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635F">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bookmarkStart w:id="6" w:name="_GoBack"/>
      <w:bookmarkEnd w:id="6"/>
      <w:r>
        <w:rPr>
          <w:rFonts w:hint="eastAsia" w:ascii="微软雅黑" w:hAnsi="微软雅黑" w:eastAsia="微软雅黑" w:cs="宋体"/>
          <w:b/>
          <w:bCs/>
          <w:color w:val="333333"/>
          <w:kern w:val="36"/>
          <w:sz w:val="36"/>
          <w:szCs w:val="36"/>
          <w14:ligatures w14:val="none"/>
        </w:rPr>
        <w:t>鄂尔多斯市康巴什区人民政府办公室关于印发</w:t>
      </w:r>
    </w:p>
    <w:p w14:paraId="262E9CCF">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《康巴什区全面推行证明事项告知承诺制实施方案》的通知</w:t>
      </w:r>
    </w:p>
    <w:p w14:paraId="59F0B8C6"/>
    <w:p w14:paraId="6B171074">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000000"/>
          <w:kern w:val="0"/>
          <w:sz w:val="32"/>
          <w:szCs w:val="32"/>
          <w14:ligatures w14:val="none"/>
        </w:rPr>
        <w:t>各街道办事处</w:t>
      </w:r>
      <w:r>
        <w:rPr>
          <w:rFonts w:hint="eastAsia" w:ascii="楷体_GB2312" w:hAnsi="Times New Roman" w:eastAsia="楷体_GB2312" w:cs="Times New Roman"/>
          <w:color w:val="000000"/>
          <w:kern w:val="0"/>
          <w:sz w:val="32"/>
          <w:szCs w:val="32"/>
          <w14:ligatures w14:val="none"/>
        </w:rPr>
        <w:t>,区直</w:t>
      </w:r>
      <w:r>
        <w:rPr>
          <w:rFonts w:hint="eastAsia" w:ascii="微软雅黑" w:hAnsi="微软雅黑" w:eastAsia="微软雅黑" w:cs="Times New Roman"/>
          <w:color w:val="000000"/>
          <w:kern w:val="0"/>
          <w:sz w:val="32"/>
          <w:szCs w:val="32"/>
          <w14:ligatures w14:val="none"/>
        </w:rPr>
        <w:t>各部门</w:t>
      </w:r>
      <w:r>
        <w:rPr>
          <w:rFonts w:hint="eastAsia" w:ascii="楷体_GB2312" w:hAnsi="Times New Roman" w:eastAsia="楷体_GB2312" w:cs="Times New Roman"/>
          <w:color w:val="000000"/>
          <w:kern w:val="0"/>
          <w:sz w:val="32"/>
          <w:szCs w:val="32"/>
          <w14:ligatures w14:val="none"/>
        </w:rPr>
        <w:t>,</w:t>
      </w:r>
      <w:r>
        <w:rPr>
          <w:rFonts w:hint="eastAsia" w:ascii="微软雅黑" w:hAnsi="微软雅黑" w:eastAsia="微软雅黑" w:cs="Times New Roman"/>
          <w:color w:val="000000"/>
          <w:kern w:val="0"/>
          <w:sz w:val="32"/>
          <w:szCs w:val="32"/>
          <w14:ligatures w14:val="none"/>
        </w:rPr>
        <w:t>各垂直管理部门：</w:t>
      </w:r>
    </w:p>
    <w:p w14:paraId="6EDF2AC6">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000000"/>
          <w:kern w:val="0"/>
          <w:sz w:val="32"/>
          <w:szCs w:val="32"/>
          <w14:ligatures w14:val="none"/>
        </w:rPr>
        <w:t>现将《康巴什区全面推行证明事项告知承诺制实施方案》印发</w:t>
      </w:r>
      <w:r>
        <w:rPr>
          <w:rFonts w:hint="eastAsia" w:ascii="微软雅黑" w:hAnsi="微软雅黑" w:eastAsia="微软雅黑" w:cs="Times New Roman"/>
          <w:color w:val="333333"/>
          <w:kern w:val="0"/>
          <w:sz w:val="32"/>
          <w:szCs w:val="32"/>
          <w14:ligatures w14:val="none"/>
        </w:rPr>
        <w:t>给你们，请结合实际，认真遵照执行。</w:t>
      </w:r>
    </w:p>
    <w:p w14:paraId="0278D8DB">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楷体_GB2312" w:hAnsi="Times New Roman" w:eastAsia="楷体_GB2312" w:cs="Times New Roman"/>
          <w:color w:val="000000"/>
          <w:kern w:val="0"/>
          <w:sz w:val="32"/>
          <w:szCs w:val="32"/>
          <w14:ligatures w14:val="none"/>
        </w:rPr>
        <w:t> </w:t>
      </w:r>
    </w:p>
    <w:p w14:paraId="712404D3">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楷体_GB2312" w:hAnsi="Times New Roman" w:eastAsia="楷体_GB2312" w:cs="Times New Roman"/>
          <w:color w:val="000000"/>
          <w:kern w:val="0"/>
          <w:sz w:val="32"/>
          <w:szCs w:val="32"/>
          <w14:ligatures w14:val="none"/>
        </w:rPr>
        <w:t>            </w:t>
      </w:r>
      <w:r>
        <w:rPr>
          <w:rFonts w:hint="eastAsia" w:ascii="楷体_GB2312" w:hAnsi="Times New Roman" w:eastAsia="楷体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鄂尔多斯市康巴什区人民政府办公室</w:t>
      </w:r>
    </w:p>
    <w:p w14:paraId="0DDA067F">
      <w:pPr>
        <w:widowControl/>
        <w:shd w:val="clear" w:color="auto" w:fill="FFFFFF"/>
        <w:spacing w:line="560" w:lineRule="atLeast"/>
        <w:ind w:firstLine="3840"/>
        <w:rPr>
          <w:rFonts w:ascii="Times New Roman" w:hAnsi="Times New Roman" w:eastAsia="微软雅黑" w:cs="Times New Roman"/>
          <w:color w:val="333333"/>
          <w:kern w:val="0"/>
          <w:sz w:val="32"/>
          <w:szCs w:val="32"/>
          <w14:ligatures w14:val="none"/>
        </w:rPr>
      </w:pPr>
      <w:r>
        <w:rPr>
          <w:rFonts w:hint="eastAsia" w:ascii="楷体_GB2312" w:hAnsi="Times New Roman" w:eastAsia="楷体_GB2312" w:cs="Times New Roman"/>
          <w:color w:val="333333"/>
          <w:kern w:val="0"/>
          <w:sz w:val="32"/>
          <w:szCs w:val="32"/>
          <w14:ligatures w14:val="none"/>
        </w:rPr>
        <w:t>2021年8月27日        </w:t>
      </w:r>
    </w:p>
    <w:p w14:paraId="0037F9A7">
      <w:pPr>
        <w:widowControl/>
        <w:shd w:val="clear" w:color="auto" w:fill="FFFFFF"/>
        <w:spacing w:line="560" w:lineRule="atLeast"/>
        <w:jc w:val="center"/>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spacing w:val="-11"/>
          <w:kern w:val="0"/>
          <w:sz w:val="44"/>
          <w:szCs w:val="44"/>
          <w14:ligatures w14:val="none"/>
        </w:rPr>
        <w:t>康巴什区全面推行证明事项告知承诺制实施方案</w:t>
      </w:r>
    </w:p>
    <w:p w14:paraId="7E712207">
      <w:pPr>
        <w:widowControl/>
        <w:shd w:val="clear" w:color="auto" w:fill="FFFFFF"/>
        <w:spacing w:line="560" w:lineRule="atLeast"/>
        <w:ind w:firstLine="420"/>
        <w:jc w:val="left"/>
        <w:rPr>
          <w:rFonts w:ascii="宋体" w:hAnsi="宋体" w:eastAsia="宋体" w:cs="宋体"/>
          <w:color w:val="333333"/>
          <w:kern w:val="0"/>
          <w:szCs w:val="21"/>
          <w14:ligatures w14:val="none"/>
        </w:rPr>
      </w:pPr>
      <w:r>
        <w:rPr>
          <w:rFonts w:hint="eastAsia" w:ascii="微软雅黑" w:hAnsi="微软雅黑" w:eastAsia="微软雅黑" w:cs="宋体"/>
          <w:color w:val="333333"/>
          <w:kern w:val="0"/>
          <w:sz w:val="24"/>
          <w:szCs w:val="24"/>
          <w14:ligatures w14:val="none"/>
        </w:rPr>
        <w:t> </w:t>
      </w:r>
    </w:p>
    <w:p w14:paraId="553366BF">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为深入贯彻落实自治区党委、政府简政放权、放管结合、优化服务决策部署，持续全面开展</w:t>
      </w:r>
      <w:r>
        <w:rPr>
          <w:rFonts w:hint="eastAsia" w:ascii="仿宋_GB2312" w:hAnsi="宋体" w:eastAsia="仿宋_GB2312" w:cs="宋体"/>
          <w:color w:val="333333"/>
          <w:kern w:val="0"/>
          <w:sz w:val="32"/>
          <w:szCs w:val="32"/>
          <w:shd w:val="clear" w:color="auto" w:fill="FFFFFF"/>
          <w14:ligatures w14:val="none"/>
        </w:rPr>
        <w:t>“减证便民”行动，着力提高政府服务能力，方便群众和企业办事，加快改善营商环境，根据《</w:t>
      </w:r>
      <w:r>
        <w:rPr>
          <w:rFonts w:hint="eastAsia" w:ascii="微软雅黑" w:hAnsi="微软雅黑" w:eastAsia="微软雅黑" w:cs="宋体"/>
          <w:color w:val="333333"/>
          <w:kern w:val="0"/>
          <w:sz w:val="32"/>
          <w:szCs w:val="32"/>
          <w:shd w:val="clear" w:color="auto" w:fill="FFFFFF"/>
          <w14:ligatures w14:val="none"/>
        </w:rPr>
        <w:t>内蒙古自治区人民政府办公厅关于印发〈内蒙古自治区全面开展证明事项告知承诺制工作实施方案〉的通知》（内政办发〔</w:t>
      </w:r>
      <w:r>
        <w:rPr>
          <w:rFonts w:hint="eastAsia" w:ascii="仿宋_GB2312" w:hAnsi="宋体" w:eastAsia="仿宋_GB2312" w:cs="宋体"/>
          <w:color w:val="333333"/>
          <w:kern w:val="0"/>
          <w:sz w:val="32"/>
          <w:szCs w:val="32"/>
          <w:shd w:val="clear" w:color="auto" w:fill="FFFFFF"/>
          <w14:ligatures w14:val="none"/>
        </w:rPr>
        <w:t>2020〕51</w:t>
      </w:r>
      <w:r>
        <w:rPr>
          <w:rFonts w:hint="eastAsia" w:ascii="微软雅黑" w:hAnsi="微软雅黑" w:eastAsia="微软雅黑" w:cs="宋体"/>
          <w:color w:val="333333"/>
          <w:kern w:val="0"/>
          <w:sz w:val="32"/>
          <w:szCs w:val="32"/>
          <w:shd w:val="clear" w:color="auto" w:fill="FFFFFF"/>
          <w14:ligatures w14:val="none"/>
        </w:rPr>
        <w:t>号）及《鄂尔多斯市人民政府办公室关于印发全面推行证明事项告知承诺制实施方案的通知》（鄂府办发〔</w:t>
      </w:r>
      <w:r>
        <w:rPr>
          <w:rFonts w:hint="eastAsia" w:ascii="仿宋_GB2312" w:hAnsi="宋体" w:eastAsia="仿宋_GB2312" w:cs="宋体"/>
          <w:color w:val="333333"/>
          <w:kern w:val="0"/>
          <w:sz w:val="32"/>
          <w:szCs w:val="32"/>
          <w:shd w:val="clear" w:color="auto" w:fill="FFFFFF"/>
          <w14:ligatures w14:val="none"/>
        </w:rPr>
        <w:t>2021</w:t>
      </w:r>
      <w:r>
        <w:rPr>
          <w:rFonts w:hint="eastAsia" w:ascii="微软雅黑" w:hAnsi="微软雅黑" w:eastAsia="微软雅黑" w:cs="宋体"/>
          <w:color w:val="333333"/>
          <w:kern w:val="0"/>
          <w:sz w:val="32"/>
          <w:szCs w:val="32"/>
          <w:shd w:val="clear" w:color="auto" w:fill="FFFFFF"/>
          <w14:ligatures w14:val="none"/>
        </w:rPr>
        <w:t>〕</w:t>
      </w:r>
      <w:r>
        <w:rPr>
          <w:rFonts w:hint="eastAsia" w:ascii="仿宋_GB2312" w:hAnsi="宋体" w:eastAsia="仿宋_GB2312" w:cs="宋体"/>
          <w:color w:val="333333"/>
          <w:kern w:val="0"/>
          <w:sz w:val="32"/>
          <w:szCs w:val="32"/>
          <w:shd w:val="clear" w:color="auto" w:fill="FFFFFF"/>
          <w14:ligatures w14:val="none"/>
        </w:rPr>
        <w:t>3号）</w:t>
      </w:r>
      <w:r>
        <w:rPr>
          <w:rFonts w:hint="eastAsia" w:ascii="微软雅黑" w:hAnsi="微软雅黑" w:eastAsia="微软雅黑" w:cs="宋体"/>
          <w:color w:val="333333"/>
          <w:kern w:val="0"/>
          <w:sz w:val="32"/>
          <w:szCs w:val="32"/>
          <w:shd w:val="clear" w:color="auto" w:fill="FFFFFF"/>
          <w14:ligatures w14:val="none"/>
        </w:rPr>
        <w:t>要求，结合我区实际，制定本实施方案。</w:t>
      </w:r>
    </w:p>
    <w:p w14:paraId="2FF98D85">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一、总体要求</w:t>
      </w:r>
    </w:p>
    <w:p w14:paraId="13B702E2">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以习近平新时代中国特色社会主义思想为指导，深入贯彻党的十九大和十九届二中、三中、四中、五中全会精神，坚持以人民为中心的发展思想，加快转变政府职能，围绕直接面向群众和企业依申请办理的政务服务事项，紧密联系实际，不断创新政府服务管理方式，全面推行证明事项告知承诺制，切实减少</w:t>
      </w:r>
      <w:r>
        <w:rPr>
          <w:rFonts w:hint="eastAsia" w:ascii="仿宋_GB2312" w:hAnsi="宋体" w:eastAsia="仿宋_GB2312" w:cs="宋体"/>
          <w:color w:val="333333"/>
          <w:kern w:val="0"/>
          <w:sz w:val="32"/>
          <w:szCs w:val="32"/>
          <w:shd w:val="clear" w:color="auto" w:fill="FFFFFF"/>
          <w14:ligatures w14:val="none"/>
        </w:rPr>
        <w:t>“奇葩”证明、循环证明、重复证明，加快建设人民满意的服务型政府。</w:t>
      </w:r>
    </w:p>
    <w:p w14:paraId="6EF64A3A">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二、工作目标</w:t>
      </w:r>
    </w:p>
    <w:p w14:paraId="798A80C3">
      <w:pPr>
        <w:widowControl/>
        <w:shd w:val="clear" w:color="auto" w:fill="FFFFFF"/>
        <w:spacing w:line="560" w:lineRule="atLeast"/>
        <w:ind w:firstLine="640"/>
        <w:rPr>
          <w:rFonts w:hint="eastAsia"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shd w:val="clear" w:color="auto" w:fill="FFFFFF"/>
          <w14:ligatures w14:val="none"/>
        </w:rPr>
        <w:t>各街道办事处、区各行政机关或法律法规授权的具有管理公共事务职能的组织（以下统称各行政机关）全面梳理证明事项。在办理行政许可、行政确认、行政给付等依申请的行政事项（以下简称行政事项）要求提供的证明材料时，实行证明事项告知承诺制，以行政机关清楚告知、企业和群众诚信守诺为重点，推动形成标准公开、规则公平、预期明确、各负其责、信用监管的治理模式，从制度层面进一步解决企业和群众办证多、办事难等问题、着力营造规范有序的法治化营商环境。</w:t>
      </w:r>
    </w:p>
    <w:p w14:paraId="517AB60B">
      <w:pPr>
        <w:widowControl/>
        <w:shd w:val="clear" w:color="auto" w:fill="FFFFFF"/>
        <w:spacing w:line="560" w:lineRule="atLeast"/>
        <w:ind w:firstLine="640"/>
        <w:rPr>
          <w:rFonts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三、实施范围</w:t>
      </w:r>
    </w:p>
    <w:p w14:paraId="6BA6B1EA">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各行政机关依据本方案要求全面推行证明事项告知承诺制。本方案所称</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证明</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是指公民、法人和其他组织在依法向行政机关申请办理行政事项时</w:t>
      </w:r>
      <w:r>
        <w:rPr>
          <w:rFonts w:hint="eastAsia" w:ascii="仿宋_GB2312" w:hAnsi="宋体" w:eastAsia="仿宋_GB2312" w:cs="宋体"/>
          <w:color w:val="333333"/>
          <w:kern w:val="0"/>
          <w:sz w:val="32"/>
          <w:szCs w:val="32"/>
          <w:shd w:val="clear" w:color="auto" w:fill="FFFFFF"/>
          <w14:ligatures w14:val="none"/>
        </w:rPr>
        <w:t>,提供的需由行政机关或者其他机构出具、用以描述客观事实或者表明符合特定条件的材料。“</w:t>
      </w:r>
      <w:r>
        <w:rPr>
          <w:rFonts w:hint="eastAsia" w:ascii="微软雅黑" w:hAnsi="微软雅黑" w:eastAsia="微软雅黑" w:cs="宋体"/>
          <w:color w:val="333333"/>
          <w:kern w:val="0"/>
          <w:sz w:val="32"/>
          <w:szCs w:val="32"/>
          <w:shd w:val="clear" w:color="auto" w:fill="FFFFFF"/>
          <w14:ligatures w14:val="none"/>
        </w:rPr>
        <w:t>证明事项告知承诺制</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是指公民、法人和其他组织在向行政机关申请办理行政事项时</w:t>
      </w:r>
      <w:r>
        <w:rPr>
          <w:rFonts w:hint="eastAsia" w:ascii="仿宋_GB2312" w:hAnsi="宋体" w:eastAsia="仿宋_GB2312" w:cs="宋体"/>
          <w:color w:val="333333"/>
          <w:kern w:val="0"/>
          <w:sz w:val="32"/>
          <w:szCs w:val="32"/>
          <w:shd w:val="clear" w:color="auto" w:fill="FFFFFF"/>
          <w14:ligatures w14:val="none"/>
        </w:rPr>
        <w:t>,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适用告知承诺制的证明事项范围按照最大限度利民便民原则,在与企业和群众生产生活密切相关、使用频次较高或者获取难度较大的证明事项中确定,特别是在户籍管理、市场主体准营、资格考试、社会保险、社会救助、健康体检、法律服务等方面要抓紧推行、尽快落实。直接涉及国家安全、国家秘密、公共安全、金融业审慎监管、生态环境保护,直接关系人身健康、生命财产安全,以及重要涉外等风险较大、纠错成本较高、损害难以挽回的证明事项不适用告知承诺制。</w:t>
      </w:r>
    </w:p>
    <w:p w14:paraId="750449C0">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四、主要任务</w:t>
      </w:r>
    </w:p>
    <w:p w14:paraId="408E52BF">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一）确定告知承诺适用对象。除确定必须实行告知承诺制的证明事项外，要明确申请人可自主选择是否采用告知承诺替代证明，申请人不愿承诺、无法承诺或不愿承担不实承诺法律责任的，应由其提交法律法规要求的证明；对证明事项可以代为承诺的，应提交申请人的授权。申请人有较严重不良信用记录或曾作出虚假承诺等情形的，不再适用告知承诺制。</w:t>
      </w:r>
    </w:p>
    <w:p w14:paraId="2F0936F0">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（二）梳理告知承诺事项清单。各行政机关要根据法律法规立改废情况和国务院决定要求，严格对照自治区确定的告知承诺事项，结合工作实际，按照证明材料</w:t>
      </w:r>
      <w:r>
        <w:rPr>
          <w:rFonts w:hint="eastAsia" w:ascii="仿宋_GB2312" w:hAnsi="宋体" w:eastAsia="仿宋_GB2312" w:cs="宋体"/>
          <w:color w:val="333333"/>
          <w:kern w:val="0"/>
          <w:sz w:val="32"/>
          <w:szCs w:val="32"/>
          <w:shd w:val="clear" w:color="auto" w:fill="FFFFFF"/>
          <w14:ligatures w14:val="none"/>
        </w:rPr>
        <w:t>“能减则减、主动核查”的原则，确定可以实行证明事项告知承诺制的</w:t>
      </w:r>
      <w:r>
        <w:rPr>
          <w:rFonts w:hint="eastAsia" w:ascii="微软雅黑" w:hAnsi="微软雅黑" w:eastAsia="微软雅黑" w:cs="宋体"/>
          <w:color w:val="333333"/>
          <w:kern w:val="0"/>
          <w:sz w:val="32"/>
          <w:szCs w:val="32"/>
          <w:shd w:val="clear" w:color="auto" w:fill="FFFFFF"/>
          <w14:ligatures w14:val="none"/>
        </w:rPr>
        <w:t>行政事项，科学编制本部门实行证明事项告知承诺制的事项清单。特别对办理量较大、与群众利益密切相关、符合群众期待、社会风险总体可控的行政事项，且能实现信息共享核验的，原则上都要实行告知承诺制。实行证明事项告知承诺制的行政事项清单，应当经本单位法制科室或法律顾问进行合法性审查，对专业性、技术性较强的承诺事项要通过请示上级部门、召开论证会等方式确定。各行政机关拟定本系统实行告知承诺制的证明事项目录，须经区司法局审核同意形成区本级实行告知承诺制的证明事项目录。</w:t>
      </w:r>
    </w:p>
    <w:p w14:paraId="0F8D6EF4">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三）规范告知承诺工作流程。行政机关要科学编制证明事项告知承诺工作规程，明确办理步骤及办理流程，修改完善办事指南。对实行证明事项告知承诺制的各类证明事项，按照全面准确、权责清晰、通俗易懂的要求，参照自治区证明事项告知承诺书范本（附件</w:t>
      </w:r>
      <w:r>
        <w:rPr>
          <w:rFonts w:hint="eastAsia" w:ascii="仿宋_GB2312" w:hAnsi="宋体" w:eastAsia="仿宋_GB2312" w:cs="宋体"/>
          <w:color w:val="333333"/>
          <w:kern w:val="0"/>
          <w:sz w:val="32"/>
          <w:szCs w:val="32"/>
          <w:shd w:val="clear" w:color="auto" w:fill="FFFFFF"/>
          <w14:ligatures w14:val="none"/>
        </w:rPr>
        <w:t>1），制作证明事项告知承诺书格式文本。书面告知的内容应包括办理事项的名称、设定证明的依据、证明的内容</w:t>
      </w:r>
      <w:r>
        <w:rPr>
          <w:rFonts w:hint="eastAsia" w:ascii="微软雅黑" w:hAnsi="微软雅黑" w:eastAsia="微软雅黑" w:cs="宋体"/>
          <w:color w:val="333333"/>
          <w:kern w:val="0"/>
          <w:sz w:val="32"/>
          <w:szCs w:val="32"/>
          <w:shd w:val="clear" w:color="auto" w:fill="FFFFFF"/>
          <w14:ligatures w14:val="none"/>
        </w:rPr>
        <w:t>或许可条件和材料要求、承诺的方式、虚假承诺可能承担的民事、行政、刑事责任等。书面承诺的内容应包括申请人已知晓告知事项、已符合相关条件、愿意承担虚假承诺的责任以及承诺意思表示真实等。告知承诺书格式文本要在对外服务场所和区人民政府门户网站上公示，方便申请人索取或下载。</w:t>
      </w:r>
    </w:p>
    <w:p w14:paraId="3FE65158">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四）加强事中事后核查。要针对证明事项的特点，分类确定核查办法，将承诺人的信用状况作为确定核查办法的重要因素，明确核查时间、核查标准、核查方式等。要认真贯彻落实《国务院关于在线政务服务的若干规定》，通过全国一体化在线政务服务平台、国家数据共享交换平台、全国信用信息共享平台等实现部门间数据共享和核验实施，加强日常监管。对确因条件限制无法实现互联互通和信息共享的，要制定证明事项承诺信息核查办法，建立部门间、地区间信息协助调查机制，利用现有途径、现有条件，以政府部门内部核查和部门间协助等方式进行核查。对确需进行现场检查的，要优化工作程序，加强业务协同</w:t>
      </w:r>
      <w:r>
        <w:rPr>
          <w:rFonts w:hint="eastAsia" w:ascii="仿宋_GB2312" w:hAnsi="宋体" w:eastAsia="仿宋_GB2312" w:cs="宋体"/>
          <w:color w:val="333333"/>
          <w:kern w:val="0"/>
          <w:sz w:val="32"/>
          <w:szCs w:val="32"/>
          <w:shd w:val="clear" w:color="auto" w:fill="FFFFFF"/>
          <w14:ligatures w14:val="none"/>
        </w:rPr>
        <w:t>,不得对通过告知承诺制方式办理的企业和群众采取歧视性监管措施。对在核</w:t>
      </w:r>
      <w:r>
        <w:rPr>
          <w:rFonts w:hint="eastAsia" w:ascii="仿宋_GB2312" w:hAnsi="宋体" w:eastAsia="仿宋_GB2312" w:cs="宋体"/>
          <w:color w:val="333333"/>
          <w:kern w:val="0"/>
          <w:sz w:val="32"/>
          <w:szCs w:val="32"/>
          <w:shd w:val="clear" w:color="auto" w:fill="FFFFFF"/>
          <w:lang w:eastAsia="zh-CN"/>
          <w14:ligatures w14:val="none"/>
        </w:rPr>
        <w:t>查</w:t>
      </w:r>
      <w:r>
        <w:rPr>
          <w:rFonts w:hint="eastAsia" w:ascii="仿宋_GB2312" w:hAnsi="宋体" w:eastAsia="仿宋_GB2312" w:cs="宋体"/>
          <w:color w:val="333333"/>
          <w:kern w:val="0"/>
          <w:sz w:val="32"/>
          <w:szCs w:val="32"/>
          <w:shd w:val="clear" w:color="auto" w:fill="FFFFFF"/>
          <w14:ligatures w14:val="none"/>
        </w:rPr>
        <w:t>或者</w:t>
      </w:r>
      <w:r>
        <w:rPr>
          <w:rFonts w:hint="eastAsia" w:ascii="微软雅黑" w:hAnsi="微软雅黑" w:eastAsia="微软雅黑" w:cs="宋体"/>
          <w:color w:val="333333"/>
          <w:kern w:val="0"/>
          <w:sz w:val="32"/>
          <w:szCs w:val="32"/>
          <w:shd w:val="clear" w:color="auto" w:fill="FFFFFF"/>
          <w14:ligatures w14:val="none"/>
        </w:rPr>
        <w:t>日常监管中发现承诺不实的情况</w:t>
      </w:r>
      <w:r>
        <w:rPr>
          <w:rFonts w:hint="eastAsia" w:ascii="仿宋_GB2312" w:hAnsi="宋体" w:eastAsia="仿宋_GB2312" w:cs="宋体"/>
          <w:color w:val="333333"/>
          <w:kern w:val="0"/>
          <w:sz w:val="32"/>
          <w:szCs w:val="32"/>
          <w:shd w:val="clear" w:color="auto" w:fill="FFFFFF"/>
          <w14:ligatures w14:val="none"/>
        </w:rPr>
        <w:t>,行政机关要依法终止办理、责令限期整改、撤销行政决定或者予以行政处罚,并纳入信用记录。涉嫌犯罪的,依法移送司法机关</w:t>
      </w:r>
      <w:r>
        <w:rPr>
          <w:rFonts w:hint="eastAsia" w:ascii="微软雅黑" w:hAnsi="微软雅黑" w:eastAsia="微软雅黑" w:cs="宋体"/>
          <w:color w:val="333333"/>
          <w:kern w:val="0"/>
          <w:sz w:val="32"/>
          <w:szCs w:val="32"/>
          <w:shd w:val="clear" w:color="auto" w:fill="FFFFFF"/>
          <w14:ligatures w14:val="none"/>
        </w:rPr>
        <w:t>。</w:t>
      </w:r>
    </w:p>
    <w:p w14:paraId="01CB7A7C">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（五）加强信用监管。加强信用社会建设，不断营造守信有激励、失信必惩戒的社会氛围。根据虚假承诺造成的社会影响进行失信程度分级</w:t>
      </w:r>
      <w:r>
        <w:rPr>
          <w:rFonts w:hint="eastAsia" w:ascii="仿宋_GB2312" w:hAnsi="宋体" w:eastAsia="仿宋_GB2312" w:cs="宋体"/>
          <w:color w:val="333333"/>
          <w:kern w:val="0"/>
          <w:sz w:val="32"/>
          <w:szCs w:val="32"/>
          <w:shd w:val="clear" w:color="auto" w:fill="FFFFFF"/>
          <w14:ligatures w14:val="none"/>
        </w:rPr>
        <w:t>,区分不同失信情形实施相应惩戒措施。对故意隐瞒真实情况、提供虚假承诺办理有关事项的，依法撤销相关决定</w:t>
      </w:r>
      <w:r>
        <w:rPr>
          <w:rFonts w:hint="eastAsia" w:ascii="微软雅黑" w:hAnsi="微软雅黑" w:eastAsia="微软雅黑" w:cs="宋体"/>
          <w:color w:val="333333"/>
          <w:kern w:val="0"/>
          <w:sz w:val="32"/>
          <w:szCs w:val="32"/>
          <w:shd w:val="clear" w:color="auto" w:fill="FFFFFF"/>
          <w14:ligatures w14:val="none"/>
        </w:rPr>
        <w:t>，给予行政处罚。加大失信联合惩戒力度，加强跨部门联动，依托各级信用信息共享平台和行业信用信息系统</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实现信用信息互联互通。同时要根据有关法律规定</w:t>
      </w:r>
      <w:r>
        <w:rPr>
          <w:rFonts w:hint="eastAsia" w:ascii="仿宋_GB2312" w:hAnsi="宋体" w:eastAsia="仿宋_GB2312" w:cs="宋体"/>
          <w:color w:val="333333"/>
          <w:kern w:val="0"/>
          <w:sz w:val="32"/>
          <w:szCs w:val="32"/>
          <w:shd w:val="clear" w:color="auto" w:fill="FFFFFF"/>
          <w14:ligatures w14:val="none"/>
        </w:rPr>
        <w:t>,做好有关个人信息和商业秘密保护。</w:t>
      </w:r>
    </w:p>
    <w:p w14:paraId="76268E88">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（六）强化风险防范措施。要将实行证明事项告知承诺审批与事中核查、事后监管有机结合，通过分批定期核查、加强基层执法力量、落实行政执法</w:t>
      </w:r>
      <w:r>
        <w:rPr>
          <w:rFonts w:hint="eastAsia" w:ascii="仿宋_GB2312" w:hAnsi="宋体" w:eastAsia="仿宋_GB2312" w:cs="宋体"/>
          <w:color w:val="333333"/>
          <w:kern w:val="0"/>
          <w:sz w:val="32"/>
          <w:szCs w:val="32"/>
          <w:shd w:val="clear" w:color="auto" w:fill="FFFFFF"/>
          <w14:ligatures w14:val="none"/>
        </w:rPr>
        <w:t>“三项制度”，加强和规范事中事后监管，最大限度降低实行证明事项告知承诺制的风险。对核查难度较大以及社会广泛关注的事项，探索建立告知承诺书公示制度，鼓励申请人主动公开接受社会监督。要梳理工作环节重大风险，采取多种措施，防范行政机关依据申请人不实承诺办理的事项损害第三方合法权益。</w:t>
      </w:r>
    </w:p>
    <w:p w14:paraId="4036ED0C">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五、实施步骤</w:t>
      </w:r>
    </w:p>
    <w:p w14:paraId="1630B6A9">
      <w:pPr>
        <w:widowControl/>
        <w:shd w:val="clear" w:color="auto" w:fill="FFFFFF"/>
        <w:spacing w:line="560" w:lineRule="atLeast"/>
        <w:ind w:firstLine="640"/>
        <w:rPr>
          <w:rFonts w:hint="eastAsia"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shd w:val="clear" w:color="auto" w:fill="FFFFFF"/>
          <w14:ligatures w14:val="none"/>
        </w:rPr>
        <w:t>（一）制定方案阶段（</w:t>
      </w:r>
      <w:r>
        <w:rPr>
          <w:rFonts w:hint="eastAsia" w:ascii="楷体_GB2312" w:hAnsi="Times New Roman" w:eastAsia="楷体_GB2312" w:cs="Times New Roman"/>
          <w:color w:val="333333"/>
          <w:kern w:val="0"/>
          <w:sz w:val="32"/>
          <w:szCs w:val="32"/>
          <w:shd w:val="clear" w:color="auto" w:fill="FFFFFF"/>
          <w14:ligatures w14:val="none"/>
        </w:rPr>
        <w:t>2021年9月1日前</w:t>
      </w:r>
      <w:r>
        <w:rPr>
          <w:rFonts w:hint="eastAsia" w:ascii="微软雅黑" w:hAnsi="微软雅黑" w:eastAsia="微软雅黑" w:cs="Times New Roman"/>
          <w:color w:val="333333"/>
          <w:kern w:val="0"/>
          <w:sz w:val="32"/>
          <w:szCs w:val="32"/>
          <w:shd w:val="clear" w:color="auto" w:fill="FFFFFF"/>
          <w14:ligatures w14:val="none"/>
        </w:rPr>
        <w:t>）。各行政机关要结合实际抓紧落实证明事项告知承诺制各项工作，细化任务措施，压实工作责任，明确时间节点，于</w:t>
      </w:r>
      <w:r>
        <w:rPr>
          <w:rFonts w:hint="eastAsia" w:ascii="仿宋_GB2312" w:hAnsi="Times New Roman" w:eastAsia="仿宋_GB2312" w:cs="Times New Roman"/>
          <w:color w:val="333333"/>
          <w:kern w:val="0"/>
          <w:sz w:val="32"/>
          <w:szCs w:val="32"/>
          <w:shd w:val="clear" w:color="auto" w:fill="FFFFFF"/>
          <w14:ligatures w14:val="none"/>
        </w:rPr>
        <w:t>9 </w:t>
      </w:r>
      <w:r>
        <w:rPr>
          <w:rFonts w:hint="eastAsia" w:ascii="微软雅黑" w:hAnsi="微软雅黑" w:eastAsia="微软雅黑" w:cs="Times New Roman"/>
          <w:color w:val="333333"/>
          <w:kern w:val="0"/>
          <w:sz w:val="32"/>
          <w:szCs w:val="32"/>
          <w:shd w:val="clear" w:color="auto" w:fill="FFFFFF"/>
          <w14:ligatures w14:val="none"/>
        </w:rPr>
        <w:t>月</w:t>
      </w:r>
      <w:r>
        <w:rPr>
          <w:rFonts w:hint="eastAsia" w:ascii="仿宋_GB2312" w:hAnsi="Times New Roman" w:eastAsia="仿宋_GB2312" w:cs="Times New Roman"/>
          <w:color w:val="333333"/>
          <w:kern w:val="0"/>
          <w:sz w:val="32"/>
          <w:szCs w:val="32"/>
          <w:shd w:val="clear" w:color="auto" w:fill="FFFFFF"/>
          <w14:ligatures w14:val="none"/>
        </w:rPr>
        <w:t>1</w:t>
      </w:r>
      <w:r>
        <w:rPr>
          <w:rFonts w:hint="eastAsia" w:ascii="微软雅黑" w:hAnsi="微软雅黑" w:eastAsia="微软雅黑" w:cs="Times New Roman"/>
          <w:color w:val="333333"/>
          <w:kern w:val="0"/>
          <w:sz w:val="32"/>
          <w:szCs w:val="32"/>
          <w:shd w:val="clear" w:color="auto" w:fill="FFFFFF"/>
          <w14:ligatures w14:val="none"/>
        </w:rPr>
        <w:t>日前制定完善工作方案，并向区司法局、区政务服务局报送一名联络员。</w:t>
      </w:r>
      <w:r>
        <w:rPr>
          <w:rFonts w:hint="eastAsia" w:ascii="仿宋_GB2312" w:hAnsi="Times New Roman" w:eastAsia="仿宋_GB2312" w:cs="Times New Roman"/>
          <w:color w:val="333333"/>
          <w:kern w:val="0"/>
          <w:sz w:val="32"/>
          <w:szCs w:val="32"/>
          <w:shd w:val="clear" w:color="auto" w:fill="FFFFFF"/>
          <w14:ligatures w14:val="none"/>
        </w:rPr>
        <w:t>9月10日前将</w:t>
      </w:r>
      <w:r>
        <w:rPr>
          <w:rFonts w:hint="eastAsia" w:ascii="微软雅黑" w:hAnsi="微软雅黑" w:eastAsia="微软雅黑" w:cs="Times New Roman"/>
          <w:color w:val="333333"/>
          <w:kern w:val="0"/>
          <w:sz w:val="32"/>
          <w:szCs w:val="32"/>
          <w:shd w:val="clear" w:color="auto" w:fill="FFFFFF"/>
          <w14:ligatures w14:val="none"/>
        </w:rPr>
        <w:t>按要求梳理本级</w:t>
      </w:r>
      <w:r>
        <w:rPr>
          <w:rFonts w:hint="eastAsia" w:ascii="微软雅黑" w:hAnsi="微软雅黑" w:eastAsia="微软雅黑" w:cs="Times New Roman"/>
          <w:color w:val="333333"/>
          <w:kern w:val="0"/>
          <w:sz w:val="32"/>
          <w:szCs w:val="32"/>
          <w14:ligatures w14:val="none"/>
        </w:rPr>
        <w:t>保留的证明事项、本级取消的证明事项、</w:t>
      </w:r>
      <w:r>
        <w:rPr>
          <w:rFonts w:hint="eastAsia" w:ascii="微软雅黑" w:hAnsi="微软雅黑" w:eastAsia="微软雅黑" w:cs="Times New Roman"/>
          <w:color w:val="333333"/>
          <w:kern w:val="0"/>
          <w:sz w:val="32"/>
          <w:szCs w:val="32"/>
          <w:shd w:val="clear" w:color="auto" w:fill="FFFFFF"/>
          <w14:ligatures w14:val="none"/>
        </w:rPr>
        <w:t>实行证明事项告知承诺制行政事项清单，经主要负责人签字并加盖公章后，与合法性审核意见一并报区司法局（电子版同时报送</w:t>
      </w:r>
      <w:r>
        <w:rPr>
          <w:rFonts w:hint="eastAsia" w:ascii="仿宋_GB2312" w:hAnsi="Times New Roman" w:eastAsia="仿宋_GB2312" w:cs="Times New Roman"/>
          <w:color w:val="333333"/>
          <w:kern w:val="0"/>
          <w:sz w:val="32"/>
          <w:szCs w:val="32"/>
          <w:shd w:val="clear" w:color="auto" w:fill="FFFFFF"/>
          <w14:ligatures w14:val="none"/>
        </w:rPr>
        <w:t>kbsyfxz@163.com</w:t>
      </w:r>
      <w:r>
        <w:rPr>
          <w:rFonts w:hint="eastAsia" w:ascii="微软雅黑" w:hAnsi="微软雅黑" w:eastAsia="微软雅黑" w:cs="Times New Roman"/>
          <w:color w:val="333333"/>
          <w:kern w:val="0"/>
          <w:sz w:val="32"/>
          <w:szCs w:val="32"/>
          <w:shd w:val="clear" w:color="auto" w:fill="FFFFFF"/>
          <w14:ligatures w14:val="none"/>
        </w:rPr>
        <w:t>）和区政务服务局。区司法局统一汇总后，由政务服务局在区政府门户网站公布区本级政府实行证明事项告知承诺制的行政事项目录。</w:t>
      </w:r>
    </w:p>
    <w:p w14:paraId="65DC27F1">
      <w:pPr>
        <w:widowControl/>
        <w:shd w:val="clear" w:color="auto" w:fill="FFFFFF"/>
        <w:spacing w:line="560" w:lineRule="atLeast"/>
        <w:ind w:firstLine="640"/>
        <w:rPr>
          <w:rFonts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（二）建章立制阶段（</w:t>
      </w:r>
      <w:r>
        <w:rPr>
          <w:rFonts w:hint="eastAsia" w:ascii="楷体_GB2312" w:hAnsi="宋体" w:eastAsia="楷体_GB2312" w:cs="宋体"/>
          <w:color w:val="333333"/>
          <w:kern w:val="0"/>
          <w:sz w:val="32"/>
          <w:szCs w:val="32"/>
          <w:shd w:val="clear" w:color="auto" w:fill="FFFFFF"/>
          <w14:ligatures w14:val="none"/>
        </w:rPr>
        <w:t>2021年9月1日--9月10日</w:t>
      </w:r>
      <w:r>
        <w:rPr>
          <w:rFonts w:hint="eastAsia" w:ascii="微软雅黑" w:hAnsi="微软雅黑" w:eastAsia="微软雅黑" w:cs="宋体"/>
          <w:color w:val="333333"/>
          <w:kern w:val="0"/>
          <w:sz w:val="32"/>
          <w:szCs w:val="32"/>
          <w:shd w:val="clear" w:color="auto" w:fill="FFFFFF"/>
          <w14:ligatures w14:val="none"/>
        </w:rPr>
        <w:t>）。各行政机关要根据有关要求，建立健全相关制度、各类清单、服务指南和流程图等，全面规范证明事项告知承诺制。</w:t>
      </w:r>
    </w:p>
    <w:p w14:paraId="49F52B62">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（三）组织实施阶段（</w:t>
      </w:r>
      <w:r>
        <w:rPr>
          <w:rFonts w:hint="eastAsia" w:ascii="楷体_GB2312" w:hAnsi="宋体" w:eastAsia="楷体_GB2312" w:cs="宋体"/>
          <w:color w:val="333333"/>
          <w:kern w:val="0"/>
          <w:sz w:val="32"/>
          <w:szCs w:val="32"/>
          <w:shd w:val="clear" w:color="auto" w:fill="FFFFFF"/>
          <w14:ligatures w14:val="none"/>
        </w:rPr>
        <w:t>2021年9月15日</w:t>
      </w:r>
      <w:r>
        <w:rPr>
          <w:rFonts w:hint="eastAsia" w:ascii="微软雅黑" w:hAnsi="微软雅黑" w:eastAsia="微软雅黑" w:cs="宋体"/>
          <w:color w:val="333333"/>
          <w:kern w:val="0"/>
          <w:sz w:val="32"/>
          <w:szCs w:val="32"/>
          <w:shd w:val="clear" w:color="auto" w:fill="FFFFFF"/>
          <w14:ligatures w14:val="none"/>
        </w:rPr>
        <w:t>）。区政府实行证明事项告知承诺制的行政事项目录公布后，各行政机关要按照实施方案要求，积极有序推行证明事项告知承诺制，逐步完善工作制度和措施，确保工作落实到位、取得实效。于</w:t>
      </w:r>
      <w:r>
        <w:rPr>
          <w:rFonts w:hint="eastAsia" w:ascii="仿宋_GB2312" w:hAnsi="宋体" w:eastAsia="仿宋_GB2312" w:cs="宋体"/>
          <w:color w:val="333333"/>
          <w:kern w:val="0"/>
          <w:sz w:val="32"/>
          <w:szCs w:val="32"/>
          <w:shd w:val="clear" w:color="auto" w:fill="FFFFFF"/>
          <w14:ligatures w14:val="none"/>
        </w:rPr>
        <w:t>2021年9</w:t>
      </w:r>
      <w:r>
        <w:rPr>
          <w:rFonts w:hint="eastAsia" w:ascii="微软雅黑" w:hAnsi="微软雅黑" w:eastAsia="微软雅黑" w:cs="宋体"/>
          <w:color w:val="333333"/>
          <w:kern w:val="0"/>
          <w:sz w:val="32"/>
          <w:szCs w:val="32"/>
          <w:shd w:val="clear" w:color="auto" w:fill="FFFFFF"/>
          <w14:ligatures w14:val="none"/>
        </w:rPr>
        <w:t>月</w:t>
      </w:r>
      <w:r>
        <w:rPr>
          <w:rFonts w:hint="eastAsia" w:ascii="仿宋_GB2312" w:hAnsi="宋体" w:eastAsia="仿宋_GB2312" w:cs="宋体"/>
          <w:color w:val="333333"/>
          <w:kern w:val="0"/>
          <w:sz w:val="32"/>
          <w:szCs w:val="32"/>
          <w:shd w:val="clear" w:color="auto" w:fill="FFFFFF"/>
          <w14:ligatures w14:val="none"/>
        </w:rPr>
        <w:t>15日</w:t>
      </w:r>
      <w:r>
        <w:rPr>
          <w:rFonts w:hint="eastAsia" w:ascii="微软雅黑" w:hAnsi="微软雅黑" w:eastAsia="微软雅黑" w:cs="宋体"/>
          <w:color w:val="333333"/>
          <w:kern w:val="0"/>
          <w:sz w:val="32"/>
          <w:szCs w:val="32"/>
          <w:shd w:val="clear" w:color="auto" w:fill="FFFFFF"/>
          <w14:ligatures w14:val="none"/>
        </w:rPr>
        <w:t>前全面实行证明事项告知承诺制。</w:t>
      </w:r>
    </w:p>
    <w:p w14:paraId="5D8E187B">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（四）总结经验做法。各行政机关要认真总结经验做法，持续提升证明事项告知承诺制各项措施的科学性、针对性、有效性，并于</w:t>
      </w:r>
      <w:r>
        <w:rPr>
          <w:rFonts w:hint="eastAsia" w:ascii="仿宋_GB2312" w:hAnsi="宋体" w:eastAsia="仿宋_GB2312" w:cs="宋体"/>
          <w:color w:val="333333"/>
          <w:kern w:val="0"/>
          <w:sz w:val="32"/>
          <w:szCs w:val="32"/>
          <w:shd w:val="clear" w:color="auto" w:fill="FFFFFF"/>
          <w14:ligatures w14:val="none"/>
        </w:rPr>
        <w:t>2021年10月15日</w:t>
      </w:r>
      <w:r>
        <w:rPr>
          <w:rFonts w:hint="eastAsia" w:ascii="微软雅黑" w:hAnsi="微软雅黑" w:eastAsia="微软雅黑" w:cs="宋体"/>
          <w:color w:val="333333"/>
          <w:kern w:val="0"/>
          <w:sz w:val="32"/>
          <w:szCs w:val="32"/>
          <w:shd w:val="clear" w:color="auto" w:fill="FFFFFF"/>
          <w14:ligatures w14:val="none"/>
        </w:rPr>
        <w:t>前将工作全面开展情况（包括主要做法和成效、建立的制度和规范、存在的问题和建议等），形成书面材料报区司法局和区政务服务局。</w:t>
      </w:r>
    </w:p>
    <w:p w14:paraId="2F4E0445">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六、工作要求</w:t>
      </w:r>
    </w:p>
    <w:p w14:paraId="5F069FE2">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（一）加强组织领导。各行政机关要切实加强对本部门全面推行告知承诺制工作的领导，认真抓好组织实施。主要负责人作为全面推行告知承诺制第一责任人</w:t>
      </w:r>
      <w:r>
        <w:rPr>
          <w:rFonts w:hint="eastAsia" w:ascii="仿宋_GB2312" w:hAnsi="宋体" w:eastAsia="仿宋_GB2312" w:cs="宋体"/>
          <w:color w:val="333333"/>
          <w:kern w:val="0"/>
          <w:sz w:val="32"/>
          <w:szCs w:val="32"/>
          <w:shd w:val="clear" w:color="auto" w:fill="FFFFFF"/>
          <w14:ligatures w14:val="none"/>
        </w:rPr>
        <w:t>,要及时了解掌握有关工作情况,研究解决工作中的重大问题,确保工作有方案、部署有进度、推进有举措、结果有考核</w:t>
      </w:r>
      <w:r>
        <w:rPr>
          <w:rFonts w:hint="eastAsia" w:ascii="微软雅黑" w:hAnsi="微软雅黑" w:eastAsia="微软雅黑" w:cs="宋体"/>
          <w:color w:val="333333"/>
          <w:kern w:val="0"/>
          <w:sz w:val="32"/>
          <w:szCs w:val="32"/>
          <w:shd w:val="clear" w:color="auto" w:fill="FFFFFF"/>
          <w14:ligatures w14:val="none"/>
        </w:rPr>
        <w:t>。建立政务服务、司法行政、发展改革、公安、财政、税务、市场监管等单位参加的全面推行告知承诺制工作协调机制</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由区司法局、区政务服务局牵头</w:t>
      </w:r>
      <w:r>
        <w:rPr>
          <w:rFonts w:hint="eastAsia" w:ascii="仿宋_GB2312" w:hAnsi="宋体" w:eastAsia="仿宋_GB2312" w:cs="宋体"/>
          <w:color w:val="333333"/>
          <w:kern w:val="0"/>
          <w:sz w:val="32"/>
          <w:szCs w:val="32"/>
          <w:shd w:val="clear" w:color="auto" w:fill="FFFFFF"/>
          <w14:ligatures w14:val="none"/>
        </w:rPr>
        <w:t>,指导协调、督促检查工作推进情况。各</w:t>
      </w:r>
      <w:r>
        <w:rPr>
          <w:rFonts w:hint="eastAsia" w:ascii="微软雅黑" w:hAnsi="微软雅黑" w:eastAsia="微软雅黑" w:cs="宋体"/>
          <w:color w:val="333333"/>
          <w:kern w:val="0"/>
          <w:sz w:val="32"/>
          <w:szCs w:val="32"/>
          <w:shd w:val="clear" w:color="auto" w:fill="FFFFFF"/>
          <w14:ligatures w14:val="none"/>
        </w:rPr>
        <w:t>有关部门要切实做到率先推行、以上带下</w:t>
      </w:r>
      <w:r>
        <w:rPr>
          <w:rFonts w:hint="eastAsia" w:ascii="仿宋_GB2312" w:hAnsi="宋体" w:eastAsia="仿宋_GB2312" w:cs="宋体"/>
          <w:color w:val="333333"/>
          <w:kern w:val="0"/>
          <w:sz w:val="32"/>
          <w:szCs w:val="32"/>
          <w:shd w:val="clear" w:color="auto" w:fill="FFFFFF"/>
          <w14:ligatures w14:val="none"/>
        </w:rPr>
        <w:t>,加强对本系统全面推行告知承诺制工作的督促指导,及时研究解决</w:t>
      </w:r>
      <w:r>
        <w:rPr>
          <w:rFonts w:hint="eastAsia" w:ascii="微软雅黑" w:hAnsi="微软雅黑" w:eastAsia="微软雅黑" w:cs="宋体"/>
          <w:color w:val="333333"/>
          <w:kern w:val="0"/>
          <w:sz w:val="32"/>
          <w:szCs w:val="32"/>
          <w:shd w:val="clear" w:color="auto" w:fill="FFFFFF"/>
          <w14:ligatures w14:val="none"/>
        </w:rPr>
        <w:t>工作推进中遇到的困难和问题</w:t>
      </w:r>
      <w:r>
        <w:rPr>
          <w:rFonts w:hint="eastAsia" w:ascii="仿宋_GB2312" w:hAnsi="宋体" w:eastAsia="仿宋_GB2312" w:cs="宋体"/>
          <w:color w:val="333333"/>
          <w:kern w:val="0"/>
          <w:sz w:val="32"/>
          <w:szCs w:val="32"/>
          <w:shd w:val="clear" w:color="auto" w:fill="FFFFFF"/>
          <w14:ligatures w14:val="none"/>
        </w:rPr>
        <w:t>,在本系统内适时</w:t>
      </w:r>
      <w:r>
        <w:rPr>
          <w:rFonts w:hint="eastAsia" w:ascii="微软雅黑" w:hAnsi="微软雅黑" w:eastAsia="微软雅黑" w:cs="宋体"/>
          <w:color w:val="333333"/>
          <w:kern w:val="0"/>
          <w:sz w:val="32"/>
          <w:szCs w:val="32"/>
          <w:shd w:val="clear" w:color="auto" w:fill="FFFFFF"/>
          <w14:ligatures w14:val="none"/>
        </w:rPr>
        <w:t>总结推广典型经验做法。同时</w:t>
      </w:r>
      <w:r>
        <w:rPr>
          <w:rFonts w:hint="eastAsia" w:ascii="仿宋_GB2312" w:hAnsi="宋体" w:eastAsia="仿宋_GB2312" w:cs="宋体"/>
          <w:color w:val="333333"/>
          <w:kern w:val="0"/>
          <w:sz w:val="32"/>
          <w:szCs w:val="32"/>
          <w:shd w:val="clear" w:color="auto" w:fill="FFFFFF"/>
          <w14:ligatures w14:val="none"/>
        </w:rPr>
        <w:t>,</w:t>
      </w:r>
      <w:r>
        <w:rPr>
          <w:rFonts w:hint="eastAsia" w:ascii="微软雅黑" w:hAnsi="微软雅黑" w:eastAsia="微软雅黑" w:cs="宋体"/>
          <w:color w:val="333333"/>
          <w:kern w:val="0"/>
          <w:sz w:val="32"/>
          <w:szCs w:val="32"/>
          <w:shd w:val="clear" w:color="auto" w:fill="FFFFFF"/>
          <w14:ligatures w14:val="none"/>
        </w:rPr>
        <w:t>要及时建章立制</w:t>
      </w:r>
      <w:r>
        <w:rPr>
          <w:rFonts w:hint="eastAsia" w:ascii="仿宋_GB2312" w:hAnsi="宋体" w:eastAsia="仿宋_GB2312" w:cs="宋体"/>
          <w:color w:val="333333"/>
          <w:kern w:val="0"/>
          <w:sz w:val="32"/>
          <w:szCs w:val="32"/>
          <w:shd w:val="clear" w:color="auto" w:fill="FFFFFF"/>
          <w14:ligatures w14:val="none"/>
        </w:rPr>
        <w:t>,加强制度建设</w:t>
      </w:r>
      <w:r>
        <w:rPr>
          <w:rFonts w:hint="eastAsia" w:ascii="微软雅黑" w:hAnsi="微软雅黑" w:eastAsia="微软雅黑" w:cs="宋体"/>
          <w:color w:val="333333"/>
          <w:kern w:val="0"/>
          <w:sz w:val="32"/>
          <w:szCs w:val="32"/>
          <w:shd w:val="clear" w:color="auto" w:fill="FFFFFF"/>
          <w14:ligatures w14:val="none"/>
        </w:rPr>
        <w:t>。</w:t>
      </w:r>
    </w:p>
    <w:p w14:paraId="1C30929F">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楷体_GB2312" w:hAnsi="宋体" w:eastAsia="楷体_GB2312" w:cs="宋体"/>
          <w:color w:val="333333"/>
          <w:kern w:val="0"/>
          <w:sz w:val="32"/>
          <w:szCs w:val="32"/>
          <w:shd w:val="clear" w:color="auto" w:fill="FFFFFF"/>
          <w14:ligatures w14:val="none"/>
        </w:rPr>
        <w:t>(二)开展培训宣传</w:t>
      </w:r>
      <w:r>
        <w:rPr>
          <w:rFonts w:hint="eastAsia" w:ascii="微软雅黑" w:hAnsi="微软雅黑" w:eastAsia="微软雅黑" w:cs="宋体"/>
          <w:color w:val="333333"/>
          <w:kern w:val="0"/>
          <w:sz w:val="32"/>
          <w:szCs w:val="32"/>
          <w:shd w:val="clear" w:color="auto" w:fill="FFFFFF"/>
          <w14:ligatures w14:val="none"/>
        </w:rPr>
        <w:t>。积极组织开展告知承诺制学习培训及业务交流。加大宣传力度</w:t>
      </w:r>
      <w:r>
        <w:rPr>
          <w:rFonts w:hint="eastAsia" w:ascii="仿宋_GB2312" w:hAnsi="宋体" w:eastAsia="仿宋_GB2312" w:cs="宋体"/>
          <w:color w:val="333333"/>
          <w:kern w:val="0"/>
          <w:sz w:val="32"/>
          <w:szCs w:val="32"/>
          <w:shd w:val="clear" w:color="auto" w:fill="FFFFFF"/>
          <w14:ligatures w14:val="none"/>
        </w:rPr>
        <w:t>,通过报刊、广播、电视、互联网等渠道,全方位宣传全面推行告知承诺制的重要意义、主要做法、典型经验和实施效果等,发挥示范带动作用,合理引导社会预期,及时回应社会关切,为全面推行告知承诺制营造良好社会氛围。</w:t>
      </w:r>
    </w:p>
    <w:p w14:paraId="0E75985C">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楷体_GB2312" w:hAnsi="宋体" w:eastAsia="楷体_GB2312" w:cs="宋体"/>
          <w:color w:val="333333"/>
          <w:kern w:val="0"/>
          <w:sz w:val="32"/>
          <w:szCs w:val="32"/>
          <w:shd w:val="clear" w:color="auto" w:fill="FFFFFF"/>
          <w14:ligatures w14:val="none"/>
        </w:rPr>
        <w:t>(三)加强督促检查。</w:t>
      </w:r>
      <w:r>
        <w:rPr>
          <w:rFonts w:hint="eastAsia" w:ascii="微软雅黑" w:hAnsi="微软雅黑" w:eastAsia="微软雅黑" w:cs="宋体"/>
          <w:color w:val="333333"/>
          <w:kern w:val="0"/>
          <w:sz w:val="32"/>
          <w:szCs w:val="32"/>
          <w:shd w:val="clear" w:color="auto" w:fill="FFFFFF"/>
          <w14:ligatures w14:val="none"/>
        </w:rPr>
        <w:t>全面推行告知承诺制工作情况要纳入依法治区考评指标体系</w:t>
      </w:r>
      <w:r>
        <w:rPr>
          <w:rFonts w:hint="eastAsia" w:ascii="仿宋_GB2312" w:hAnsi="宋体" w:eastAsia="仿宋_GB2312" w:cs="宋体"/>
          <w:color w:val="333333"/>
          <w:kern w:val="0"/>
          <w:sz w:val="32"/>
          <w:szCs w:val="32"/>
          <w:shd w:val="clear" w:color="auto" w:fill="FFFFFF"/>
          <w14:ligatures w14:val="none"/>
        </w:rPr>
        <w:t>,充分调动各方面积极性、主动性。对工作中表现突出、企业和群众评价满意度高的单位及</w:t>
      </w:r>
      <w:r>
        <w:rPr>
          <w:rFonts w:hint="eastAsia" w:ascii="微软雅黑" w:hAnsi="微软雅黑" w:eastAsia="微软雅黑" w:cs="宋体"/>
          <w:color w:val="333333"/>
          <w:kern w:val="0"/>
          <w:sz w:val="32"/>
          <w:szCs w:val="32"/>
          <w:shd w:val="clear" w:color="auto" w:fill="FFFFFF"/>
          <w14:ligatures w14:val="none"/>
        </w:rPr>
        <w:t>工作人员</w:t>
      </w:r>
      <w:r>
        <w:rPr>
          <w:rFonts w:hint="eastAsia" w:ascii="仿宋_GB2312" w:hAnsi="宋体" w:eastAsia="仿宋_GB2312" w:cs="宋体"/>
          <w:color w:val="333333"/>
          <w:kern w:val="0"/>
          <w:sz w:val="32"/>
          <w:szCs w:val="32"/>
          <w:shd w:val="clear" w:color="auto" w:fill="FFFFFF"/>
          <w14:ligatures w14:val="none"/>
        </w:rPr>
        <w:t>,要按照国家有关规定表彰。</w:t>
      </w:r>
      <w:r>
        <w:rPr>
          <w:rFonts w:hint="eastAsia" w:ascii="微软雅黑" w:hAnsi="微软雅黑" w:eastAsia="微软雅黑" w:cs="宋体"/>
          <w:color w:val="333333"/>
          <w:kern w:val="0"/>
          <w:sz w:val="32"/>
          <w:szCs w:val="32"/>
          <w:shd w:val="clear" w:color="auto" w:fill="FFFFFF"/>
          <w14:ligatures w14:val="none"/>
        </w:rPr>
        <w:t>要建立督查情况通报制度</w:t>
      </w:r>
      <w:r>
        <w:rPr>
          <w:rFonts w:hint="eastAsia" w:ascii="仿宋_GB2312" w:hAnsi="宋体" w:eastAsia="仿宋_GB2312" w:cs="宋体"/>
          <w:color w:val="333333"/>
          <w:kern w:val="0"/>
          <w:sz w:val="32"/>
          <w:szCs w:val="32"/>
          <w:shd w:val="clear" w:color="auto" w:fill="FFFFFF"/>
          <w14:ligatures w14:val="none"/>
        </w:rPr>
        <w:t>,对工作中违法违纪的单位及人员要依法依纪问责。</w:t>
      </w:r>
      <w:r>
        <w:rPr>
          <w:rFonts w:hint="eastAsia" w:ascii="微软雅黑" w:hAnsi="微软雅黑" w:eastAsia="微软雅黑" w:cs="宋体"/>
          <w:color w:val="333333"/>
          <w:kern w:val="0"/>
          <w:sz w:val="32"/>
          <w:szCs w:val="32"/>
          <w:shd w:val="clear" w:color="auto" w:fill="FFFFFF"/>
          <w14:ligatures w14:val="none"/>
        </w:rPr>
        <w:t>要按照</w:t>
      </w:r>
      <w:r>
        <w:rPr>
          <w:rFonts w:hint="eastAsia" w:ascii="仿宋_GB2312" w:hAnsi="宋体" w:eastAsia="仿宋_GB2312" w:cs="宋体"/>
          <w:color w:val="333333"/>
          <w:kern w:val="0"/>
          <w:sz w:val="32"/>
          <w:szCs w:val="32"/>
          <w:shd w:val="clear" w:color="auto" w:fill="FFFFFF"/>
          <w14:ligatures w14:val="none"/>
        </w:rPr>
        <w:t>“权责一致、尽职免责、失职追责”的</w:t>
      </w:r>
      <w:r>
        <w:rPr>
          <w:rFonts w:hint="eastAsia" w:ascii="微软雅黑" w:hAnsi="微软雅黑" w:eastAsia="微软雅黑" w:cs="宋体"/>
          <w:color w:val="333333"/>
          <w:kern w:val="0"/>
          <w:sz w:val="32"/>
          <w:szCs w:val="32"/>
          <w:shd w:val="clear" w:color="auto" w:fill="FFFFFF"/>
          <w14:ligatures w14:val="none"/>
        </w:rPr>
        <w:t>原则</w:t>
      </w:r>
      <w:r>
        <w:rPr>
          <w:rFonts w:hint="eastAsia" w:ascii="仿宋_GB2312" w:hAnsi="宋体" w:eastAsia="仿宋_GB2312" w:cs="宋体"/>
          <w:color w:val="333333"/>
          <w:kern w:val="0"/>
          <w:sz w:val="32"/>
          <w:szCs w:val="32"/>
          <w:shd w:val="clear" w:color="auto" w:fill="FFFFFF"/>
          <w14:ligatures w14:val="none"/>
        </w:rPr>
        <w:t>,建立健全改革容错机制,属于合理容错情形的,对相关单位及人员依法依纪免除相关责任或者减轻、从轻处理</w:t>
      </w:r>
      <w:r>
        <w:rPr>
          <w:rFonts w:hint="eastAsia" w:ascii="微软雅黑" w:hAnsi="微软雅黑" w:eastAsia="微软雅黑" w:cs="宋体"/>
          <w:color w:val="333333"/>
          <w:kern w:val="0"/>
          <w:sz w:val="32"/>
          <w:szCs w:val="32"/>
          <w:shd w:val="clear" w:color="auto" w:fill="FFFFFF"/>
          <w14:ligatures w14:val="none"/>
        </w:rPr>
        <w:t>。</w:t>
      </w:r>
    </w:p>
    <w:p w14:paraId="5062B68C">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各行政机关要以全面推行证明事项告知承诺制为重要抓手</w:t>
      </w:r>
      <w:r>
        <w:rPr>
          <w:rFonts w:hint="eastAsia" w:ascii="仿宋_GB2312" w:hAnsi="宋体" w:eastAsia="仿宋_GB2312" w:cs="宋体"/>
          <w:color w:val="333333"/>
          <w:kern w:val="0"/>
          <w:sz w:val="32"/>
          <w:szCs w:val="32"/>
          <w:shd w:val="clear" w:color="auto" w:fill="FFFFFF"/>
          <w14:ligatures w14:val="none"/>
        </w:rPr>
        <w:t>,加快推进</w:t>
      </w:r>
      <w:r>
        <w:rPr>
          <w:rFonts w:hint="eastAsia" w:ascii="仿宋_GB2312" w:hAnsi="宋体" w:eastAsia="仿宋_GB2312" w:cs="宋体"/>
          <w:color w:val="333333"/>
          <w:kern w:val="0"/>
          <w:sz w:val="32"/>
          <w:szCs w:val="32"/>
          <w:shd w:val="clear" w:color="auto" w:fill="FFFFFF"/>
          <w:lang w:eastAsia="zh-CN"/>
          <w14:ligatures w14:val="none"/>
        </w:rPr>
        <w:t>“放管服”改革</w:t>
      </w:r>
      <w:r>
        <w:rPr>
          <w:rFonts w:hint="eastAsia" w:ascii="仿宋_GB2312" w:hAnsi="宋体" w:eastAsia="仿宋_GB2312" w:cs="宋体"/>
          <w:color w:val="333333"/>
          <w:kern w:val="0"/>
          <w:sz w:val="32"/>
          <w:szCs w:val="32"/>
          <w:shd w:val="clear" w:color="auto" w:fill="FFFFFF"/>
          <w14:ligatures w14:val="none"/>
        </w:rPr>
        <w:t>,降低制度性交易成本,减轻企业和群众负担,激发市场主体发展活力。</w:t>
      </w:r>
      <w:r>
        <w:rPr>
          <w:rFonts w:hint="eastAsia" w:ascii="微软雅黑" w:hAnsi="微软雅黑" w:eastAsia="微软雅黑" w:cs="宋体"/>
          <w:color w:val="333333"/>
          <w:kern w:val="0"/>
          <w:sz w:val="32"/>
          <w:szCs w:val="32"/>
          <w:shd w:val="clear" w:color="auto" w:fill="FFFFFF"/>
          <w14:ligatures w14:val="none"/>
        </w:rPr>
        <w:t>区司法局要充分发挥监督职能，加大对全面推行证明事项告知承诺制工作落实情况的监督，确保该项工作落地生根，扎实推进。区政务服务局要加强对全面推行证明事项告知承诺制的指导协调。各行政机关要将推行证明事项告知承诺制过程中发现的问题及时报区司法局和政务服务局。</w:t>
      </w:r>
    </w:p>
    <w:p w14:paraId="7601EA61">
      <w:pPr>
        <w:widowControl/>
        <w:shd w:val="clear" w:color="auto" w:fill="FFFFFF"/>
        <w:spacing w:line="560" w:lineRule="atLeast"/>
        <w:ind w:firstLine="640"/>
        <w:rPr>
          <w:rFonts w:hint="eastAsia" w:ascii="宋体" w:hAnsi="宋体" w:eastAsia="宋体" w:cs="宋体"/>
          <w:color w:val="333333"/>
          <w:kern w:val="0"/>
          <w:sz w:val="24"/>
          <w:szCs w:val="24"/>
          <w14:ligatures w14:val="none"/>
        </w:rPr>
      </w:pPr>
      <w:r>
        <w:rPr>
          <w:rFonts w:hint="eastAsia" w:ascii="微软雅黑" w:hAnsi="微软雅黑" w:eastAsia="微软雅黑" w:cs="宋体"/>
          <w:color w:val="333333"/>
          <w:kern w:val="0"/>
          <w:sz w:val="32"/>
          <w:szCs w:val="32"/>
          <w:shd w:val="clear" w:color="auto" w:fill="FFFFFF"/>
          <w14:ligatures w14:val="none"/>
        </w:rPr>
        <w:t>区政务服务局联系人：磨海彬</w:t>
      </w:r>
    </w:p>
    <w:p w14:paraId="42897D0E">
      <w:pPr>
        <w:widowControl/>
        <w:shd w:val="clear" w:color="auto" w:fill="FFFFFF"/>
        <w:spacing w:line="560" w:lineRule="atLeast"/>
        <w:ind w:firstLine="640"/>
        <w:rPr>
          <w:rFonts w:hint="eastAsia" w:ascii="宋体" w:hAnsi="宋体" w:eastAsia="宋体" w:cs="宋体"/>
          <w:color w:val="333333"/>
          <w:kern w:val="0"/>
          <w:sz w:val="24"/>
          <w:szCs w:val="24"/>
          <w14:ligatures w14:val="none"/>
        </w:rPr>
      </w:pPr>
      <w:r>
        <w:rPr>
          <w:rFonts w:hint="eastAsia" w:ascii="微软雅黑" w:hAnsi="微软雅黑" w:eastAsia="微软雅黑" w:cs="宋体"/>
          <w:color w:val="333333"/>
          <w:kern w:val="0"/>
          <w:sz w:val="32"/>
          <w:szCs w:val="32"/>
          <w:shd w:val="clear" w:color="auto" w:fill="FFFFFF"/>
          <w14:ligatures w14:val="none"/>
        </w:rPr>
        <w:t>联系电话：</w:t>
      </w:r>
      <w:r>
        <w:rPr>
          <w:rFonts w:hint="eastAsia" w:ascii="宋体" w:hAnsi="宋体" w:eastAsia="宋体" w:cs="宋体"/>
          <w:color w:val="000000"/>
          <w:kern w:val="0"/>
          <w:sz w:val="32"/>
          <w:szCs w:val="32"/>
          <w:shd w:val="clear" w:color="auto" w:fill="FFFFFF"/>
          <w14:ligatures w14:val="none"/>
        </w:rPr>
        <w:t> </w:t>
      </w:r>
      <w:r>
        <w:rPr>
          <w:rFonts w:hint="eastAsia" w:ascii="仿宋_GB2312" w:hAnsi="宋体" w:eastAsia="仿宋_GB2312" w:cs="宋体"/>
          <w:color w:val="333333"/>
          <w:kern w:val="0"/>
          <w:sz w:val="32"/>
          <w:szCs w:val="32"/>
          <w:shd w:val="clear" w:color="auto" w:fill="FFFFFF"/>
          <w14:ligatures w14:val="none"/>
        </w:rPr>
        <w:t>0477-8581388</w:t>
      </w:r>
    </w:p>
    <w:p w14:paraId="2F8F58A1">
      <w:pPr>
        <w:widowControl/>
        <w:shd w:val="clear" w:color="auto" w:fill="FFFFFF"/>
        <w:spacing w:line="560" w:lineRule="atLeast"/>
        <w:ind w:firstLine="640"/>
        <w:rPr>
          <w:rFonts w:hint="eastAsia" w:ascii="宋体" w:hAnsi="宋体" w:eastAsia="宋体" w:cs="宋体"/>
          <w:color w:val="333333"/>
          <w:kern w:val="0"/>
          <w:sz w:val="24"/>
          <w:szCs w:val="24"/>
          <w14:ligatures w14:val="none"/>
        </w:rPr>
      </w:pPr>
      <w:r>
        <w:rPr>
          <w:rFonts w:hint="eastAsia" w:ascii="微软雅黑" w:hAnsi="微软雅黑" w:eastAsia="微软雅黑" w:cs="宋体"/>
          <w:color w:val="333333"/>
          <w:kern w:val="0"/>
          <w:sz w:val="32"/>
          <w:szCs w:val="32"/>
          <w:shd w:val="clear" w:color="auto" w:fill="FFFFFF"/>
          <w14:ligatures w14:val="none"/>
        </w:rPr>
        <w:t>邮</w:t>
      </w:r>
      <w:r>
        <w:rPr>
          <w:rFonts w:hint="eastAsia" w:ascii="仿宋_GB2312" w:hAnsi="宋体" w:eastAsia="仿宋_GB2312" w:cs="宋体"/>
          <w:color w:val="333333"/>
          <w:kern w:val="0"/>
          <w:sz w:val="32"/>
          <w:szCs w:val="32"/>
          <w:shd w:val="clear" w:color="auto" w:fill="FFFFFF"/>
          <w14:ligatures w14:val="none"/>
        </w:rPr>
        <w:t>    箱： kbszwfwzx@163.com  </w:t>
      </w:r>
    </w:p>
    <w:p w14:paraId="2947EA76">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区司法局联系人：国庆</w:t>
      </w:r>
    </w:p>
    <w:p w14:paraId="46FA7FC4">
      <w:pPr>
        <w:widowControl/>
        <w:shd w:val="clear" w:color="auto" w:fill="FFFFFF"/>
        <w:spacing w:line="560" w:lineRule="atLeast"/>
        <w:ind w:firstLine="640"/>
        <w:rPr>
          <w:rFonts w:hint="eastAsia" w:ascii="宋体" w:hAnsi="宋体" w:eastAsia="宋体" w:cs="宋体"/>
          <w:color w:val="333333"/>
          <w:kern w:val="0"/>
          <w:szCs w:val="21"/>
          <w14:ligatures w14:val="none"/>
        </w:rPr>
      </w:pPr>
      <w:r>
        <w:rPr>
          <w:rFonts w:hint="eastAsia" w:ascii="微软雅黑" w:hAnsi="微软雅黑" w:eastAsia="微软雅黑" w:cs="宋体"/>
          <w:color w:val="333333"/>
          <w:kern w:val="0"/>
          <w:sz w:val="32"/>
          <w:szCs w:val="32"/>
          <w:shd w:val="clear" w:color="auto" w:fill="FFFFFF"/>
          <w14:ligatures w14:val="none"/>
        </w:rPr>
        <w:t>联系电话：</w:t>
      </w:r>
      <w:r>
        <w:rPr>
          <w:rFonts w:hint="eastAsia" w:ascii="仿宋_GB2312" w:hAnsi="宋体" w:eastAsia="仿宋_GB2312" w:cs="宋体"/>
          <w:color w:val="333333"/>
          <w:kern w:val="0"/>
          <w:sz w:val="32"/>
          <w:szCs w:val="32"/>
          <w:shd w:val="clear" w:color="auto" w:fill="FFFFFF"/>
          <w14:ligatures w14:val="none"/>
        </w:rPr>
        <w:t>0477-8581092</w:t>
      </w:r>
    </w:p>
    <w:p w14:paraId="1304664F">
      <w:pPr>
        <w:widowControl/>
        <w:shd w:val="clear" w:color="auto" w:fill="FFFFFF"/>
        <w:spacing w:line="560" w:lineRule="atLeast"/>
        <w:ind w:firstLine="640"/>
        <w:rPr>
          <w:rFonts w:hint="eastAsia"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shd w:val="clear" w:color="auto" w:fill="FFFFFF"/>
          <w14:ligatures w14:val="none"/>
        </w:rPr>
        <w:t>邮</w:t>
      </w:r>
      <w:r>
        <w:rPr>
          <w:rFonts w:hint="eastAsia" w:ascii="仿宋_GB2312" w:hAnsi="Times New Roman" w:eastAsia="仿宋_GB2312" w:cs="Times New Roman"/>
          <w:color w:val="333333"/>
          <w:kern w:val="0"/>
          <w:sz w:val="32"/>
          <w:szCs w:val="32"/>
          <w:shd w:val="clear" w:color="auto" w:fill="FFFFFF"/>
          <w14:ligatures w14:val="none"/>
        </w:rPr>
        <w:t>    箱：</w:t>
      </w:r>
      <w:r>
        <w:fldChar w:fldCharType="begin"/>
      </w:r>
      <w:r>
        <w:instrText xml:space="preserve"> HYPERLINK "mailto:kbsyfxz@163.com" </w:instrText>
      </w:r>
      <w:r>
        <w:fldChar w:fldCharType="separate"/>
      </w:r>
      <w:r>
        <w:rPr>
          <w:rFonts w:hint="eastAsia" w:ascii="仿宋_GB2312" w:hAnsi="Times New Roman" w:eastAsia="仿宋_GB2312" w:cs="Times New Roman"/>
          <w:color w:val="0000FF"/>
          <w:kern w:val="0"/>
          <w:sz w:val="32"/>
          <w:szCs w:val="32"/>
          <w:u w:val="single"/>
          <w:shd w:val="clear" w:color="auto" w:fill="FFFFFF"/>
          <w14:ligatures w14:val="none"/>
        </w:rPr>
        <w:t>kbsyfxz@163.com</w:t>
      </w:r>
      <w:r>
        <w:rPr>
          <w:rFonts w:hint="eastAsia" w:ascii="仿宋_GB2312" w:hAnsi="Times New Roman" w:eastAsia="仿宋_GB2312" w:cs="Times New Roman"/>
          <w:color w:val="0000FF"/>
          <w:kern w:val="0"/>
          <w:sz w:val="32"/>
          <w:szCs w:val="32"/>
          <w:u w:val="single"/>
          <w:shd w:val="clear" w:color="auto" w:fill="FFFFFF"/>
          <w14:ligatures w14:val="none"/>
        </w:rPr>
        <w:fldChar w:fldCharType="end"/>
      </w:r>
    </w:p>
    <w:p w14:paraId="2AD5B1F4">
      <w:pPr>
        <w:widowControl/>
        <w:shd w:val="clear" w:color="auto" w:fill="FFFFFF"/>
        <w:jc w:val="left"/>
        <w:rPr>
          <w:rFonts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63189B88">
      <w:pPr>
        <w:widowControl/>
        <w:shd w:val="clear" w:color="auto" w:fill="FFFFFF"/>
        <w:spacing w:line="560" w:lineRule="atLeast"/>
        <w:ind w:firstLine="640"/>
        <w:rPr>
          <w:rFonts w:hint="eastAsia"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附件：</w:t>
      </w:r>
      <w:r>
        <w:rPr>
          <w:rFonts w:hint="eastAsia" w:ascii="仿宋_GB2312" w:hAnsi="Times New Roman" w:eastAsia="仿宋_GB2312" w:cs="Times New Roman"/>
          <w:color w:val="333333"/>
          <w:kern w:val="0"/>
          <w:sz w:val="32"/>
          <w:szCs w:val="32"/>
          <w14:ligatures w14:val="none"/>
        </w:rPr>
        <w:t>1.证明事项告知承诺书（范本）</w:t>
      </w:r>
    </w:p>
    <w:p w14:paraId="42138B98">
      <w:pPr>
        <w:widowControl/>
        <w:shd w:val="clear" w:color="auto" w:fill="FFFFFF"/>
        <w:spacing w:line="560" w:lineRule="atLeast"/>
        <w:ind w:firstLine="160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2.</w:t>
      </w:r>
      <w:r>
        <w:rPr>
          <w:rFonts w:hint="eastAsia" w:ascii="微软雅黑" w:hAnsi="微软雅黑" w:eastAsia="微软雅黑" w:cs="Times New Roman"/>
          <w:color w:val="333333"/>
          <w:kern w:val="0"/>
          <w:sz w:val="32"/>
          <w:szCs w:val="32"/>
          <w14:ligatures w14:val="none"/>
        </w:rPr>
        <w:t>康巴什区本级保留的证明事项目录</w:t>
      </w:r>
    </w:p>
    <w:p w14:paraId="02DF223C">
      <w:pPr>
        <w:widowControl/>
        <w:shd w:val="clear" w:color="auto" w:fill="FFFFFF"/>
        <w:spacing w:line="560" w:lineRule="atLeast"/>
        <w:ind w:firstLine="160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3.</w:t>
      </w:r>
      <w:r>
        <w:rPr>
          <w:rFonts w:hint="eastAsia" w:ascii="微软雅黑" w:hAnsi="微软雅黑" w:eastAsia="微软雅黑" w:cs="Times New Roman"/>
          <w:color w:val="333333"/>
          <w:kern w:val="0"/>
          <w:sz w:val="32"/>
          <w:szCs w:val="32"/>
          <w14:ligatures w14:val="none"/>
        </w:rPr>
        <w:t>康巴什区本级取消的证明事项目录</w:t>
      </w:r>
    </w:p>
    <w:p w14:paraId="45310D5F">
      <w:pPr>
        <w:widowControl/>
        <w:shd w:val="clear" w:color="auto" w:fill="FFFFFF"/>
        <w:spacing w:line="560" w:lineRule="atLeast"/>
        <w:ind w:firstLine="160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4.</w:t>
      </w:r>
      <w:r>
        <w:rPr>
          <w:rFonts w:hint="eastAsia" w:ascii="微软雅黑" w:hAnsi="微软雅黑" w:eastAsia="微软雅黑" w:cs="Times New Roman"/>
          <w:color w:val="333333"/>
          <w:kern w:val="0"/>
          <w:sz w:val="32"/>
          <w:szCs w:val="32"/>
          <w14:ligatures w14:val="none"/>
        </w:rPr>
        <w:t>康巴什区本级实行告知承诺制证明事项目录</w:t>
      </w:r>
    </w:p>
    <w:p w14:paraId="05DACA7D">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仿宋" w:cs="Calibri"/>
          <w:color w:val="333333"/>
          <w:kern w:val="0"/>
          <w:sz w:val="32"/>
          <w:szCs w:val="32"/>
          <w14:ligatures w14:val="none"/>
        </w:rPr>
        <w:t> </w:t>
      </w:r>
    </w:p>
    <w:p w14:paraId="3596C0C7">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736E61F0">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6CB0379C">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3F524C97">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53510C81">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67598DEC">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71A68780">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1CA92181">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1F7709D6">
      <w:pPr>
        <w:widowControl/>
        <w:shd w:val="clear" w:color="auto" w:fill="FFFFFF"/>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34C12485">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70A2CA9F">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附件</w:t>
      </w:r>
      <w:r>
        <w:rPr>
          <w:rFonts w:hint="eastAsia" w:ascii="黑体" w:hAnsi="黑体" w:eastAsia="黑体" w:cs="Times New Roman"/>
          <w:color w:val="333333"/>
          <w:kern w:val="0"/>
          <w:sz w:val="32"/>
          <w:szCs w:val="32"/>
          <w14:ligatures w14:val="none"/>
        </w:rPr>
        <w:t>1</w:t>
      </w:r>
    </w:p>
    <w:p w14:paraId="30441A77">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3FB825DE">
      <w:pPr>
        <w:widowControl/>
        <w:shd w:val="clear" w:color="auto" w:fill="FFFFFF"/>
        <w:spacing w:line="560" w:lineRule="atLeast"/>
        <w:jc w:val="center"/>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44"/>
          <w:szCs w:val="44"/>
          <w14:ligatures w14:val="none"/>
        </w:rPr>
        <w:t>证明事项告知承诺书（范本）</w:t>
      </w:r>
    </w:p>
    <w:p w14:paraId="169178F0">
      <w:pPr>
        <w:widowControl/>
        <w:shd w:val="clear" w:color="auto" w:fill="FFFFFF"/>
        <w:spacing w:line="560" w:lineRule="atLeast"/>
        <w:jc w:val="center"/>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44"/>
          <w:szCs w:val="44"/>
          <w14:ligatures w14:val="none"/>
        </w:rPr>
        <w:t>（申请事项名称）</w:t>
      </w:r>
    </w:p>
    <w:p w14:paraId="65D94702">
      <w:pPr>
        <w:widowControl/>
        <w:shd w:val="clear" w:color="auto" w:fill="FFFFFF"/>
        <w:spacing w:line="560" w:lineRule="atLeast"/>
        <w:jc w:val="center"/>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w:t>
      </w:r>
      <w:r>
        <w:rPr>
          <w:rFonts w:hint="eastAsia" w:ascii="楷体_GB2312" w:hAnsi="Times New Roman" w:eastAsia="楷体_GB2312" w:cs="Times New Roman"/>
          <w:color w:val="333333"/>
          <w:kern w:val="0"/>
          <w:sz w:val="32"/>
          <w:szCs w:val="32"/>
          <w:u w:val="single"/>
          <w14:ligatures w14:val="none"/>
        </w:rPr>
        <w:t>    </w:t>
      </w:r>
      <w:r>
        <w:rPr>
          <w:rFonts w:hint="eastAsia" w:ascii="微软雅黑" w:hAnsi="微软雅黑" w:eastAsia="微软雅黑" w:cs="Times New Roman"/>
          <w:color w:val="333333"/>
          <w:kern w:val="0"/>
          <w:sz w:val="32"/>
          <w:szCs w:val="32"/>
          <w14:ligatures w14:val="none"/>
        </w:rPr>
        <w:t>年〕第</w:t>
      </w:r>
      <w:r>
        <w:rPr>
          <w:rFonts w:hint="eastAsia" w:ascii="楷体_GB2312" w:hAnsi="Times New Roman" w:eastAsia="楷体_GB2312" w:cs="Times New Roman"/>
          <w:color w:val="333333"/>
          <w:kern w:val="0"/>
          <w:sz w:val="32"/>
          <w:szCs w:val="32"/>
          <w:u w:val="single"/>
          <w14:ligatures w14:val="none"/>
        </w:rPr>
        <w:t>        </w:t>
      </w:r>
      <w:r>
        <w:rPr>
          <w:rFonts w:hint="eastAsia" w:ascii="微软雅黑" w:hAnsi="微软雅黑" w:eastAsia="微软雅黑" w:cs="Times New Roman"/>
          <w:color w:val="333333"/>
          <w:kern w:val="0"/>
          <w:sz w:val="32"/>
          <w:szCs w:val="32"/>
          <w14:ligatures w14:val="none"/>
        </w:rPr>
        <w:t>号</w:t>
      </w:r>
    </w:p>
    <w:p w14:paraId="5B85FDED">
      <w:pPr>
        <w:widowControl/>
        <w:shd w:val="clear" w:color="auto" w:fill="FFFFFF"/>
        <w:spacing w:line="560" w:lineRule="atLeast"/>
        <w:jc w:val="center"/>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28"/>
          <w:szCs w:val="28"/>
          <w14:ligatures w14:val="none"/>
        </w:rPr>
        <w:t> </w:t>
      </w:r>
    </w:p>
    <w:p w14:paraId="3E6B6402">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黑体" w:hAnsi="黑体" w:eastAsia="黑体" w:cs="Times New Roman"/>
          <w:color w:val="333333"/>
          <w:kern w:val="0"/>
          <w:sz w:val="32"/>
          <w:szCs w:val="32"/>
          <w14:ligatures w14:val="none"/>
        </w:rPr>
        <w:t>—、基本信息</w:t>
      </w:r>
    </w:p>
    <w:p w14:paraId="38E884AF">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（一）申请人（自然人）</w:t>
      </w:r>
    </w:p>
    <w:p w14:paraId="4B36ECE3">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姓</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名：</w:t>
      </w:r>
      <w:r>
        <w:rPr>
          <w:rFonts w:hint="eastAsia" w:ascii="仿宋_GB2312" w:hAnsi="Times New Roman" w:eastAsia="仿宋_GB2312" w:cs="Times New Roman"/>
          <w:color w:val="333333"/>
          <w:kern w:val="0"/>
          <w:sz w:val="32"/>
          <w:szCs w:val="32"/>
          <w:u w:val="single"/>
          <w14:ligatures w14:val="none"/>
        </w:rPr>
        <w:t>               </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联系方式：</w:t>
      </w:r>
      <w:r>
        <w:rPr>
          <w:rFonts w:hint="eastAsia" w:ascii="仿宋_GB2312" w:hAnsi="Times New Roman" w:eastAsia="仿宋_GB2312" w:cs="Times New Roman"/>
          <w:color w:val="333333"/>
          <w:kern w:val="0"/>
          <w:sz w:val="32"/>
          <w:szCs w:val="32"/>
          <w:u w:val="single"/>
          <w14:ligatures w14:val="none"/>
        </w:rPr>
        <w:t>                     </w:t>
      </w:r>
    </w:p>
    <w:p w14:paraId="152AACF7">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证件类型：</w:t>
      </w:r>
      <w:r>
        <w:rPr>
          <w:rFonts w:hint="eastAsia" w:ascii="仿宋_GB2312" w:hAnsi="Times New Roman" w:eastAsia="仿宋_GB2312" w:cs="Times New Roman"/>
          <w:color w:val="333333"/>
          <w:kern w:val="0"/>
          <w:sz w:val="32"/>
          <w:szCs w:val="32"/>
          <w:u w:val="single"/>
          <w14:ligatures w14:val="none"/>
        </w:rPr>
        <w:t>               </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证件编号：</w:t>
      </w:r>
      <w:r>
        <w:rPr>
          <w:rFonts w:hint="eastAsia" w:ascii="仿宋_GB2312" w:hAnsi="Times New Roman" w:eastAsia="仿宋_GB2312" w:cs="Times New Roman"/>
          <w:color w:val="333333"/>
          <w:kern w:val="0"/>
          <w:sz w:val="32"/>
          <w:szCs w:val="32"/>
          <w:u w:val="single"/>
          <w14:ligatures w14:val="none"/>
        </w:rPr>
        <w:t>                         </w:t>
      </w:r>
    </w:p>
    <w:p w14:paraId="213A33CF">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（法人）</w:t>
      </w:r>
    </w:p>
    <w:p w14:paraId="50E248E4">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单位名称：</w:t>
      </w:r>
      <w:r>
        <w:rPr>
          <w:rFonts w:hint="eastAsia" w:ascii="仿宋_GB2312" w:hAnsi="Times New Roman" w:eastAsia="仿宋_GB2312" w:cs="Times New Roman"/>
          <w:color w:val="333333"/>
          <w:kern w:val="0"/>
          <w:sz w:val="32"/>
          <w:szCs w:val="32"/>
          <w:u w:val="single"/>
          <w14:ligatures w14:val="none"/>
        </w:rPr>
        <w:t>                                                    </w:t>
      </w:r>
    </w:p>
    <w:p w14:paraId="1413319E">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证件类型：</w:t>
      </w:r>
      <w:r>
        <w:rPr>
          <w:rFonts w:hint="eastAsia" w:ascii="仿宋_GB2312" w:hAnsi="Times New Roman" w:eastAsia="仿宋_GB2312" w:cs="Times New Roman"/>
          <w:color w:val="333333"/>
          <w:kern w:val="0"/>
          <w:sz w:val="32"/>
          <w:szCs w:val="32"/>
          <w:u w:val="single"/>
          <w14:ligatures w14:val="none"/>
        </w:rPr>
        <w:t>               </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证号：</w:t>
      </w:r>
      <w:r>
        <w:rPr>
          <w:rFonts w:hint="eastAsia" w:ascii="仿宋_GB2312" w:hAnsi="Times New Roman" w:eastAsia="仿宋_GB2312" w:cs="Times New Roman"/>
          <w:color w:val="333333"/>
          <w:kern w:val="0"/>
          <w:sz w:val="32"/>
          <w:szCs w:val="32"/>
          <w:u w:val="single"/>
          <w14:ligatures w14:val="none"/>
        </w:rPr>
        <w:t>                         </w:t>
      </w:r>
    </w:p>
    <w:p w14:paraId="3F632542">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法定代表人（负责人）：</w:t>
      </w:r>
      <w:r>
        <w:rPr>
          <w:rFonts w:hint="eastAsia" w:ascii="仿宋_GB2312" w:hAnsi="Times New Roman" w:eastAsia="仿宋_GB2312" w:cs="Times New Roman"/>
          <w:color w:val="333333"/>
          <w:kern w:val="0"/>
          <w:sz w:val="32"/>
          <w:szCs w:val="32"/>
          <w:u w:val="single"/>
          <w14:ligatures w14:val="none"/>
        </w:rPr>
        <w:t>                                          </w:t>
      </w:r>
    </w:p>
    <w:p w14:paraId="59992AEB">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地</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址：</w:t>
      </w:r>
      <w:r>
        <w:rPr>
          <w:rFonts w:hint="eastAsia" w:ascii="仿宋_GB2312" w:hAnsi="Times New Roman" w:eastAsia="仿宋_GB2312" w:cs="Times New Roman"/>
          <w:color w:val="333333"/>
          <w:kern w:val="0"/>
          <w:sz w:val="32"/>
          <w:szCs w:val="32"/>
          <w:u w:val="single"/>
          <w14:ligatures w14:val="none"/>
        </w:rPr>
        <w:t>                                                   </w:t>
      </w:r>
    </w:p>
    <w:p w14:paraId="64106052">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联系方式：</w:t>
      </w:r>
      <w:r>
        <w:rPr>
          <w:rFonts w:hint="eastAsia" w:ascii="仿宋_GB2312" w:hAnsi="Times New Roman" w:eastAsia="仿宋_GB2312" w:cs="Times New Roman"/>
          <w:color w:val="333333"/>
          <w:kern w:val="0"/>
          <w:sz w:val="32"/>
          <w:szCs w:val="32"/>
          <w:u w:val="single"/>
          <w14:ligatures w14:val="none"/>
        </w:rPr>
        <w:t>                                                    </w:t>
      </w:r>
    </w:p>
    <w:p w14:paraId="634C19A8">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（委托代理人）</w:t>
      </w:r>
    </w:p>
    <w:p w14:paraId="79812323">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姓</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名：</w:t>
      </w:r>
      <w:r>
        <w:rPr>
          <w:rFonts w:hint="eastAsia" w:ascii="仿宋_GB2312" w:hAnsi="Times New Roman" w:eastAsia="仿宋_GB2312" w:cs="Times New Roman"/>
          <w:color w:val="333333"/>
          <w:kern w:val="0"/>
          <w:sz w:val="32"/>
          <w:szCs w:val="32"/>
          <w:u w:val="single"/>
          <w14:ligatures w14:val="none"/>
        </w:rPr>
        <w:t>               </w:t>
      </w:r>
    </w:p>
    <w:p w14:paraId="6A2DDF23">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证件类型：</w:t>
      </w:r>
      <w:r>
        <w:rPr>
          <w:rFonts w:hint="eastAsia" w:ascii="仿宋_GB2312" w:hAnsi="Times New Roman" w:eastAsia="仿宋_GB2312" w:cs="Times New Roman"/>
          <w:color w:val="333333"/>
          <w:kern w:val="0"/>
          <w:sz w:val="32"/>
          <w:szCs w:val="32"/>
          <w:u w:val="single"/>
          <w14:ligatures w14:val="none"/>
        </w:rPr>
        <w:t>               </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证件编号：</w:t>
      </w:r>
      <w:r>
        <w:rPr>
          <w:rFonts w:hint="eastAsia" w:ascii="仿宋_GB2312" w:hAnsi="Times New Roman" w:eastAsia="仿宋_GB2312" w:cs="Times New Roman"/>
          <w:color w:val="333333"/>
          <w:kern w:val="0"/>
          <w:sz w:val="32"/>
          <w:szCs w:val="32"/>
          <w:u w:val="single"/>
          <w14:ligatures w14:val="none"/>
        </w:rPr>
        <w:t>                </w:t>
      </w:r>
    </w:p>
    <w:p w14:paraId="7CD6316E">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联系方式：</w:t>
      </w:r>
      <w:r>
        <w:rPr>
          <w:rFonts w:hint="eastAsia" w:ascii="仿宋_GB2312" w:hAnsi="Times New Roman" w:eastAsia="仿宋_GB2312" w:cs="Times New Roman"/>
          <w:color w:val="333333"/>
          <w:kern w:val="0"/>
          <w:sz w:val="32"/>
          <w:szCs w:val="32"/>
          <w:u w:val="single"/>
          <w14:ligatures w14:val="none"/>
        </w:rPr>
        <w:t>                                           </w:t>
      </w:r>
    </w:p>
    <w:p w14:paraId="4033427F">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（二）行政机关</w:t>
      </w:r>
    </w:p>
    <w:p w14:paraId="098ACD98">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名</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称：</w:t>
      </w:r>
      <w:r>
        <w:rPr>
          <w:rFonts w:hint="eastAsia" w:ascii="仿宋_GB2312" w:hAnsi="Times New Roman" w:eastAsia="仿宋_GB2312" w:cs="Times New Roman"/>
          <w:color w:val="333333"/>
          <w:kern w:val="0"/>
          <w:sz w:val="32"/>
          <w:szCs w:val="32"/>
          <w:u w:val="single"/>
          <w14:ligatures w14:val="none"/>
        </w:rPr>
        <w:t>                                                  </w:t>
      </w:r>
    </w:p>
    <w:p w14:paraId="2CFDF053">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联系人：</w:t>
      </w:r>
      <w:r>
        <w:rPr>
          <w:rFonts w:hint="eastAsia" w:ascii="仿宋_GB2312" w:hAnsi="Times New Roman" w:eastAsia="仿宋_GB2312" w:cs="Times New Roman"/>
          <w:color w:val="333333"/>
          <w:kern w:val="0"/>
          <w:sz w:val="32"/>
          <w:szCs w:val="32"/>
          <w:u w:val="single"/>
          <w14:ligatures w14:val="none"/>
        </w:rPr>
        <w:t>               </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联系方式：</w:t>
      </w:r>
      <w:r>
        <w:rPr>
          <w:rFonts w:hint="eastAsia" w:ascii="仿宋_GB2312" w:hAnsi="Times New Roman" w:eastAsia="仿宋_GB2312" w:cs="Times New Roman"/>
          <w:color w:val="333333"/>
          <w:kern w:val="0"/>
          <w:sz w:val="32"/>
          <w:szCs w:val="32"/>
          <w:u w:val="single"/>
          <w14:ligatures w14:val="none"/>
        </w:rPr>
        <w:t>                  </w:t>
      </w:r>
    </w:p>
    <w:p w14:paraId="24F96B28">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二、行政机关告知</w:t>
      </w:r>
    </w:p>
    <w:p w14:paraId="0F90B08E">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（一）证明事项名称</w:t>
      </w:r>
    </w:p>
    <w:p w14:paraId="3CD1F4F4">
      <w:pPr>
        <w:widowControl/>
        <w:shd w:val="clear" w:color="auto" w:fill="FFFFFF"/>
        <w:spacing w:line="560" w:lineRule="atLeast"/>
        <w:ind w:firstLine="96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w:t>
      </w:r>
    </w:p>
    <w:p w14:paraId="5DAF0569">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（二）证明用途</w:t>
      </w:r>
    </w:p>
    <w:p w14:paraId="1E6F8602">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      ......</w:t>
      </w:r>
    </w:p>
    <w:p w14:paraId="3774ADAE">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（三）设定证明的依据</w:t>
      </w:r>
    </w:p>
    <w:p w14:paraId="1237B379">
      <w:pPr>
        <w:widowControl/>
        <w:shd w:val="clear" w:color="auto" w:fill="FFFFFF"/>
        <w:spacing w:line="560" w:lineRule="atLeast"/>
        <w:ind w:firstLine="96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w:t>
      </w:r>
    </w:p>
    <w:p w14:paraId="7DECD277">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（四）证明的内容（许可条件和材料要求）</w:t>
      </w:r>
    </w:p>
    <w:p w14:paraId="01531133">
      <w:pPr>
        <w:widowControl/>
        <w:shd w:val="clear" w:color="auto" w:fill="FFFFFF"/>
        <w:spacing w:line="560" w:lineRule="atLeast"/>
        <w:ind w:firstLine="96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w:t>
      </w:r>
    </w:p>
    <w:p w14:paraId="6AC78FA4">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（五）申请人是否愿意就上述事项采取承诺制的方式</w:t>
      </w:r>
    </w:p>
    <w:p w14:paraId="04DE76AD">
      <w:pPr>
        <w:widowControl/>
        <w:shd w:val="clear" w:color="auto" w:fill="FFFFFF"/>
        <w:spacing w:line="560" w:lineRule="atLeast"/>
        <w:ind w:firstLine="96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1.是                    2.否</w:t>
      </w:r>
    </w:p>
    <w:p w14:paraId="657B7FAC">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（六）承诺的方式</w:t>
      </w:r>
    </w:p>
    <w:p w14:paraId="4DDDC57F">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本证明事项</w:t>
      </w:r>
      <w:r>
        <w:rPr>
          <w:rFonts w:hint="eastAsia" w:ascii="微软雅黑" w:hAnsi="微软雅黑" w:eastAsia="微软雅黑" w:cs="Times New Roman"/>
          <w:color w:val="333333"/>
          <w:kern w:val="0"/>
          <w:sz w:val="32"/>
          <w:szCs w:val="32"/>
          <w:lang w:eastAsia="zh-CN"/>
          <w14:ligatures w14:val="none"/>
        </w:rPr>
        <w:t>采</w:t>
      </w:r>
      <w:r>
        <w:rPr>
          <w:rFonts w:hint="eastAsia" w:ascii="微软雅黑" w:hAnsi="微软雅黑" w:eastAsia="微软雅黑" w:cs="Times New Roman"/>
          <w:color w:val="333333"/>
          <w:kern w:val="0"/>
          <w:sz w:val="32"/>
          <w:szCs w:val="32"/>
          <w14:ligatures w14:val="none"/>
        </w:rPr>
        <w:t>用书面承诺方式，申请人愿意作出承诺的，应当向行政机关提交本人签字后的告知承诺书原件。</w:t>
      </w:r>
    </w:p>
    <w:p w14:paraId="4FEE7513">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本证明事项必须由申请人作出承诺，不可（可）代为承诺。</w:t>
      </w:r>
    </w:p>
    <w:p w14:paraId="0A0E2EE0">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（七）承诺的效力</w:t>
      </w:r>
    </w:p>
    <w:p w14:paraId="5D28FA1A">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申请人书面承诺已经符合告知的条件、要求，并愿意承担不实承诺的法律责任后，行政机关不再索要有关证明而依据书面承诺办理相关事项。</w:t>
      </w:r>
    </w:p>
    <w:p w14:paraId="080F902A">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楷体_GB2312" w:hAnsi="Times New Roman" w:eastAsia="楷体_GB2312" w:cs="Times New Roman"/>
          <w:color w:val="333333"/>
          <w:kern w:val="0"/>
          <w:sz w:val="32"/>
          <w:szCs w:val="32"/>
          <w14:ligatures w14:val="none"/>
        </w:rPr>
        <w:t>(八)不实承诺的责任</w:t>
      </w:r>
    </w:p>
    <w:p w14:paraId="581A5121">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证明事项告知承诺失信行为信息纳入自治区公共信用信息目录，对执意隐瞒真实情况、提供虚假承诺办理有关事项的，依法作出如下处理：</w:t>
      </w:r>
    </w:p>
    <w:p w14:paraId="04A74FD6">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    ......</w:t>
      </w:r>
    </w:p>
    <w:p w14:paraId="21AE66FD">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楷体_GB2312" w:hAnsi="Times New Roman" w:eastAsia="楷体_GB2312" w:cs="Times New Roman"/>
          <w:color w:val="333333"/>
          <w:kern w:val="0"/>
          <w:sz w:val="32"/>
          <w:szCs w:val="32"/>
          <w14:ligatures w14:val="none"/>
        </w:rPr>
        <w:t>(九)承诺的公开</w:t>
      </w:r>
    </w:p>
    <w:p w14:paraId="3AB1ABC3">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承诺书是否公开、公开范围及时限等。</w:t>
      </w:r>
    </w:p>
    <w:p w14:paraId="4D1725FD">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三、申请人承诺</w:t>
      </w:r>
    </w:p>
    <w:p w14:paraId="0C194610">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申请人现作出下列承诺：</w:t>
      </w:r>
    </w:p>
    <w:p w14:paraId="40A17D8C">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(一)已经知晓行政机关告知的全部内容；</w:t>
      </w:r>
    </w:p>
    <w:p w14:paraId="0E5A445F">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(二)自身已符合行政机关告知的条件、要求，具体是:</w:t>
      </w:r>
    </w:p>
    <w:p w14:paraId="37FDA231">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w:t>
      </w:r>
    </w:p>
    <w:p w14:paraId="1843F5B0">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(三)愿意承担不实承诺的法律责任；</w:t>
      </w:r>
    </w:p>
    <w:p w14:paraId="02352A26">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(四)本告知承诺文书中填写的基本信息真实、准确;</w:t>
      </w:r>
    </w:p>
    <w:p w14:paraId="4C9E92AD">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(五)上述承诺是申请人真实的意思表示。</w:t>
      </w:r>
    </w:p>
    <w:p w14:paraId="7A6DCA64">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本人愿意配合对上述内容的调查、核查、核验。</w:t>
      </w:r>
    </w:p>
    <w:p w14:paraId="60FA6379">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 </w:t>
      </w:r>
    </w:p>
    <w:p w14:paraId="00C7109F">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 </w:t>
      </w:r>
    </w:p>
    <w:p w14:paraId="6FD55A4F">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申请人签名：</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行政机关（公章）</w:t>
      </w:r>
      <w:r>
        <w:rPr>
          <w:rFonts w:hint="eastAsia" w:ascii="仿宋_GB2312" w:hAnsi="Times New Roman" w:eastAsia="仿宋_GB2312" w:cs="Times New Roman"/>
          <w:color w:val="333333"/>
          <w:kern w:val="0"/>
          <w:sz w:val="32"/>
          <w:szCs w:val="32"/>
          <w14:ligatures w14:val="none"/>
        </w:rPr>
        <w:t>:</w:t>
      </w:r>
    </w:p>
    <w:p w14:paraId="66F66B87">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(捺印/盖章)               经办人：</w:t>
      </w:r>
    </w:p>
    <w:p w14:paraId="168815E7">
      <w:pPr>
        <w:widowControl/>
        <w:shd w:val="clear" w:color="auto" w:fill="FFFFFF"/>
        <w:spacing w:line="560" w:lineRule="atLeast"/>
        <w:rPr>
          <w:rFonts w:ascii="Times New Roman" w:hAnsi="Times New Roman" w:eastAsia="微软雅黑" w:cs="Times New Roman"/>
          <w:color w:val="333333"/>
          <w:kern w:val="0"/>
          <w:sz w:val="32"/>
          <w:szCs w:val="32"/>
          <w14:ligatures w14:val="none"/>
        </w:rPr>
      </w:pPr>
      <w:r>
        <w:rPr>
          <w:rFonts w:ascii="Calibri" w:hAnsi="Calibri" w:eastAsia="微软雅黑" w:cs="Calibri"/>
          <w:color w:val="333333"/>
          <w:kern w:val="0"/>
          <w:sz w:val="32"/>
          <w:szCs w:val="32"/>
          <w14:ligatures w14:val="none"/>
        </w:rPr>
        <w:t> </w:t>
      </w:r>
    </w:p>
    <w:p w14:paraId="7DBCFC0E">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日</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期：</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日</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期</w:t>
      </w:r>
      <w:r>
        <w:rPr>
          <w:rFonts w:hint="eastAsia" w:ascii="仿宋_GB2312" w:hAnsi="Times New Roman" w:eastAsia="仿宋_GB2312" w:cs="Times New Roman"/>
          <w:color w:val="333333"/>
          <w:kern w:val="0"/>
          <w:sz w:val="32"/>
          <w:szCs w:val="32"/>
          <w14:ligatures w14:val="none"/>
        </w:rPr>
        <w:t>:</w:t>
      </w:r>
    </w:p>
    <w:p w14:paraId="561EADAE">
      <w:pPr>
        <w:widowControl/>
        <w:shd w:val="clear" w:color="auto" w:fill="FFFFFF"/>
        <w:spacing w:line="560" w:lineRule="atLeast"/>
        <w:ind w:firstLine="640"/>
        <w:rPr>
          <w:rFonts w:ascii="Times New Roman" w:hAnsi="Times New Roman" w:eastAsia="微软雅黑" w:cs="Times New Roman"/>
          <w:color w:val="333333"/>
          <w:kern w:val="0"/>
          <w:sz w:val="32"/>
          <w:szCs w:val="32"/>
          <w14:ligatures w14:val="none"/>
        </w:rPr>
      </w:pPr>
      <w:r>
        <w:rPr>
          <w:rFonts w:hint="eastAsia" w:ascii="仿宋_GB2312" w:hAnsi="Times New Roman" w:eastAsia="仿宋_GB2312" w:cs="Times New Roman"/>
          <w:color w:val="333333"/>
          <w:kern w:val="0"/>
          <w:sz w:val="32"/>
          <w:szCs w:val="32"/>
          <w14:ligatures w14:val="none"/>
        </w:rPr>
        <w:t>(本文书一式两份，行政机关与申请人各执一份。)</w:t>
      </w:r>
    </w:p>
    <w:p w14:paraId="71F9CB24">
      <w:pPr>
        <w:widowControl/>
        <w:jc w:val="left"/>
        <w:rPr>
          <w:rFonts w:ascii="宋体" w:hAnsi="宋体" w:eastAsia="宋体" w:cs="宋体"/>
          <w:kern w:val="0"/>
          <w:sz w:val="24"/>
          <w:szCs w:val="24"/>
          <w14:ligatures w14:val="none"/>
        </w:rPr>
      </w:pPr>
      <w:r>
        <w:rPr>
          <w:rFonts w:hint="eastAsia" w:ascii="微软雅黑" w:hAnsi="微软雅黑" w:eastAsia="微软雅黑" w:cs="宋体"/>
          <w:color w:val="000000"/>
          <w:kern w:val="0"/>
          <w:sz w:val="32"/>
          <w:szCs w:val="32"/>
          <w:shd w:val="clear" w:color="auto" w:fill="FFFFFF"/>
          <w14:ligatures w14:val="none"/>
        </w:rPr>
        <w:br w:type="textWrapping" w:clear="all"/>
      </w:r>
    </w:p>
    <w:p w14:paraId="16F3299A">
      <w:pPr>
        <w:widowControl/>
        <w:shd w:val="clear" w:color="auto" w:fill="FFFFFF"/>
        <w:jc w:val="left"/>
        <w:rPr>
          <w:rFonts w:ascii="Times New Roman" w:hAnsi="Times New Roman" w:eastAsia="宋体" w:cs="Times New Roman"/>
          <w:color w:val="333333"/>
          <w:kern w:val="0"/>
          <w:sz w:val="32"/>
          <w:szCs w:val="32"/>
          <w14:ligatures w14:val="none"/>
        </w:rPr>
      </w:pPr>
      <w:r>
        <w:rPr>
          <w:rFonts w:ascii="Times New Roman" w:hAnsi="Times New Roman" w:eastAsia="宋体" w:cs="Times New Roman"/>
          <w:color w:val="333333"/>
          <w:kern w:val="0"/>
          <w:sz w:val="32"/>
          <w:szCs w:val="32"/>
          <w14:ligatures w14:val="none"/>
        </w:rPr>
        <w:t> </w:t>
      </w:r>
    </w:p>
    <w:p w14:paraId="098FC6CD">
      <w:pPr>
        <w:widowControl/>
        <w:shd w:val="clear" w:color="auto" w:fill="FFFFFF"/>
        <w:jc w:val="left"/>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000000"/>
          <w:kern w:val="0"/>
          <w:sz w:val="32"/>
          <w:szCs w:val="32"/>
          <w14:ligatures w14:val="none"/>
        </w:rPr>
        <w:t>附件</w:t>
      </w:r>
      <w:r>
        <w:rPr>
          <w:rFonts w:hint="eastAsia" w:ascii="黑体" w:hAnsi="黑体" w:eastAsia="黑体" w:cs="Times New Roman"/>
          <w:color w:val="000000"/>
          <w:kern w:val="0"/>
          <w:sz w:val="32"/>
          <w:szCs w:val="32"/>
          <w14:ligatures w14:val="none"/>
        </w:rPr>
        <w:t>2</w:t>
      </w:r>
    </w:p>
    <w:p w14:paraId="6BCA4F62">
      <w:pPr>
        <w:widowControl/>
        <w:shd w:val="clear" w:color="auto" w:fill="FFFFFF"/>
        <w:spacing w:line="560" w:lineRule="atLeast"/>
        <w:jc w:val="left"/>
        <w:rPr>
          <w:rFonts w:ascii="Times New Roman" w:hAnsi="Times New Roman" w:eastAsia="宋体" w:cs="Times New Roman"/>
          <w:color w:val="333333"/>
          <w:kern w:val="0"/>
          <w:sz w:val="32"/>
          <w:szCs w:val="32"/>
          <w14:ligatures w14:val="none"/>
        </w:rPr>
      </w:pPr>
      <w:r>
        <w:rPr>
          <w:rFonts w:ascii="Calibri" w:hAnsi="Calibri" w:eastAsia="黑体" w:cs="Calibri"/>
          <w:color w:val="000000"/>
          <w:kern w:val="0"/>
          <w:sz w:val="32"/>
          <w:szCs w:val="32"/>
          <w14:ligatures w14:val="none"/>
        </w:rPr>
        <w:t> </w:t>
      </w:r>
    </w:p>
    <w:p w14:paraId="4B54432F">
      <w:pPr>
        <w:widowControl/>
        <w:shd w:val="clear" w:color="auto" w:fill="FFFFFF"/>
        <w:spacing w:line="560" w:lineRule="atLeast"/>
        <w:jc w:val="center"/>
        <w:rPr>
          <w:rFonts w:ascii="Times New Roman" w:hAnsi="Times New Roman" w:eastAsia="宋体" w:cs="Times New Roman"/>
          <w:color w:val="333333"/>
          <w:kern w:val="0"/>
          <w:sz w:val="32"/>
          <w:szCs w:val="32"/>
          <w14:ligatures w14:val="none"/>
        </w:rPr>
      </w:pPr>
      <w:bookmarkStart w:id="0" w:name="bookmark45"/>
      <w:bookmarkEnd w:id="0"/>
      <w:bookmarkStart w:id="1" w:name="bookmark44"/>
      <w:bookmarkEnd w:id="1"/>
      <w:bookmarkStart w:id="2" w:name="bookmark43"/>
      <w:r>
        <w:rPr>
          <w:rFonts w:hint="eastAsia" w:ascii="微软雅黑" w:hAnsi="微软雅黑" w:eastAsia="微软雅黑" w:cs="Times New Roman"/>
          <w:color w:val="000000"/>
          <w:kern w:val="0"/>
          <w:sz w:val="44"/>
          <w:szCs w:val="44"/>
          <w14:ligatures w14:val="none"/>
        </w:rPr>
        <w:t>康巴什区</w:t>
      </w:r>
      <w:bookmarkEnd w:id="2"/>
      <w:r>
        <w:rPr>
          <w:rFonts w:hint="eastAsia" w:ascii="微软雅黑" w:hAnsi="微软雅黑" w:eastAsia="微软雅黑" w:cs="Times New Roman"/>
          <w:color w:val="000000"/>
          <w:kern w:val="0"/>
          <w:sz w:val="44"/>
          <w:szCs w:val="44"/>
          <w14:ligatures w14:val="none"/>
        </w:rPr>
        <w:t>本级保留的证明事项目录</w:t>
      </w:r>
    </w:p>
    <w:p w14:paraId="7AA24128">
      <w:pPr>
        <w:widowControl/>
        <w:shd w:val="clear" w:color="auto" w:fill="FFFFFF"/>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bl>
      <w:tblPr>
        <w:tblStyle w:val="3"/>
        <w:tblW w:w="8384" w:type="dxa"/>
        <w:tblInd w:w="135" w:type="dxa"/>
        <w:shd w:val="clear" w:color="auto" w:fill="FFFFFF"/>
        <w:tblLayout w:type="autofit"/>
        <w:tblCellMar>
          <w:top w:w="0" w:type="dxa"/>
          <w:left w:w="0" w:type="dxa"/>
          <w:bottom w:w="0" w:type="dxa"/>
          <w:right w:w="0" w:type="dxa"/>
        </w:tblCellMar>
      </w:tblPr>
      <w:tblGrid>
        <w:gridCol w:w="737"/>
        <w:gridCol w:w="716"/>
        <w:gridCol w:w="742"/>
        <w:gridCol w:w="2799"/>
        <w:gridCol w:w="615"/>
        <w:gridCol w:w="680"/>
        <w:gridCol w:w="754"/>
        <w:gridCol w:w="1341"/>
      </w:tblGrid>
      <w:tr w14:paraId="4463984F">
        <w:tblPrEx>
          <w:tblCellMar>
            <w:top w:w="0" w:type="dxa"/>
            <w:left w:w="0" w:type="dxa"/>
            <w:bottom w:w="0" w:type="dxa"/>
            <w:right w:w="0" w:type="dxa"/>
          </w:tblCellMar>
        </w:tblPrEx>
        <w:trPr>
          <w:trHeight w:val="568" w:hRule="atLeast"/>
        </w:trPr>
        <w:tc>
          <w:tcPr>
            <w:tcW w:w="737"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DAA88A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序号</w:t>
            </w:r>
          </w:p>
        </w:tc>
        <w:tc>
          <w:tcPr>
            <w:tcW w:w="716"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52484DF2">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证明名称</w:t>
            </w:r>
          </w:p>
        </w:tc>
        <w:tc>
          <w:tcPr>
            <w:tcW w:w="742"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AE3255D">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证明用途</w:t>
            </w:r>
          </w:p>
        </w:tc>
        <w:tc>
          <w:tcPr>
            <w:tcW w:w="3414" w:type="dxa"/>
            <w:gridSpan w:val="2"/>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71D429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设定依据</w:t>
            </w:r>
          </w:p>
        </w:tc>
        <w:tc>
          <w:tcPr>
            <w:tcW w:w="680"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88F9016">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索要单位</w:t>
            </w:r>
          </w:p>
        </w:tc>
        <w:tc>
          <w:tcPr>
            <w:tcW w:w="754"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6978CE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开具单位</w:t>
            </w:r>
          </w:p>
        </w:tc>
        <w:tc>
          <w:tcPr>
            <w:tcW w:w="1341" w:type="dxa"/>
            <w:vMerge w:val="restart"/>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6F05964A">
            <w:pPr>
              <w:widowControl/>
              <w:wordWrap w:val="0"/>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涉及的行政权力事 项、政务服务事项</w:t>
            </w:r>
          </w:p>
        </w:tc>
      </w:tr>
      <w:tr w14:paraId="64EA081B">
        <w:tblPrEx>
          <w:tblCellMar>
            <w:top w:w="0" w:type="dxa"/>
            <w:left w:w="0" w:type="dxa"/>
            <w:bottom w:w="0" w:type="dxa"/>
            <w:right w:w="0" w:type="dxa"/>
          </w:tblCellMar>
        </w:tblPrEx>
        <w:trPr>
          <w:trHeight w:val="568" w:hRule="atLeast"/>
        </w:trPr>
        <w:tc>
          <w:tcPr>
            <w:tcW w:w="0" w:type="auto"/>
            <w:vMerge w:val="continue"/>
            <w:tcBorders>
              <w:top w:val="single" w:color="auto" w:sz="8" w:space="0"/>
              <w:left w:val="single" w:color="auto" w:sz="8" w:space="0"/>
              <w:bottom w:val="nil"/>
              <w:right w:val="nil"/>
            </w:tcBorders>
            <w:shd w:val="clear" w:color="auto" w:fill="FFFFFF"/>
            <w:vAlign w:val="center"/>
          </w:tcPr>
          <w:p w14:paraId="3BD6D941">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nil"/>
            </w:tcBorders>
            <w:shd w:val="clear" w:color="auto" w:fill="FFFFFF"/>
            <w:vAlign w:val="center"/>
          </w:tcPr>
          <w:p w14:paraId="3C596230">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nil"/>
            </w:tcBorders>
            <w:shd w:val="clear" w:color="auto" w:fill="FFFFFF"/>
            <w:vAlign w:val="center"/>
          </w:tcPr>
          <w:p w14:paraId="4C18A188">
            <w:pPr>
              <w:widowControl/>
              <w:jc w:val="center"/>
              <w:rPr>
                <w:rFonts w:ascii="Times New Roman" w:hAnsi="Times New Roman" w:eastAsia="宋体" w:cs="Times New Roman"/>
                <w:color w:val="333333"/>
                <w:kern w:val="0"/>
                <w:sz w:val="32"/>
                <w:szCs w:val="32"/>
                <w14:ligatures w14:val="none"/>
              </w:rPr>
            </w:pPr>
          </w:p>
        </w:tc>
        <w:tc>
          <w:tcPr>
            <w:tcW w:w="279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67F9ACE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依据名称、文号及条文内容</w:t>
            </w:r>
          </w:p>
        </w:tc>
        <w:tc>
          <w:tcPr>
            <w:tcW w:w="61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06C0E16">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效力层级</w:t>
            </w:r>
          </w:p>
        </w:tc>
        <w:tc>
          <w:tcPr>
            <w:tcW w:w="0" w:type="auto"/>
            <w:vMerge w:val="continue"/>
            <w:tcBorders>
              <w:top w:val="single" w:color="auto" w:sz="8" w:space="0"/>
              <w:left w:val="single" w:color="auto" w:sz="8" w:space="0"/>
              <w:bottom w:val="nil"/>
              <w:right w:val="nil"/>
            </w:tcBorders>
            <w:shd w:val="clear" w:color="auto" w:fill="FFFFFF"/>
            <w:vAlign w:val="center"/>
          </w:tcPr>
          <w:p w14:paraId="7C6543D8">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nil"/>
            </w:tcBorders>
            <w:shd w:val="clear" w:color="auto" w:fill="FFFFFF"/>
            <w:vAlign w:val="center"/>
          </w:tcPr>
          <w:p w14:paraId="53E8BE5D">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single" w:color="auto" w:sz="8" w:space="0"/>
            </w:tcBorders>
            <w:shd w:val="clear" w:color="auto" w:fill="FFFFFF"/>
            <w:vAlign w:val="center"/>
          </w:tcPr>
          <w:p w14:paraId="22DBCA3B">
            <w:pPr>
              <w:widowControl/>
              <w:jc w:val="center"/>
              <w:rPr>
                <w:rFonts w:ascii="Times New Roman" w:hAnsi="Times New Roman" w:eastAsia="宋体" w:cs="Times New Roman"/>
                <w:color w:val="333333"/>
                <w:kern w:val="0"/>
                <w:sz w:val="32"/>
                <w:szCs w:val="32"/>
                <w14:ligatures w14:val="none"/>
              </w:rPr>
            </w:pPr>
          </w:p>
        </w:tc>
      </w:tr>
      <w:tr w14:paraId="3D8D5EFB">
        <w:tblPrEx>
          <w:tblCellMar>
            <w:top w:w="0" w:type="dxa"/>
            <w:left w:w="0" w:type="dxa"/>
            <w:bottom w:w="0" w:type="dxa"/>
            <w:right w:w="0" w:type="dxa"/>
          </w:tblCellMar>
        </w:tblPrEx>
        <w:trPr>
          <w:trHeight w:val="568" w:hRule="atLeast"/>
        </w:trPr>
        <w:tc>
          <w:tcPr>
            <w:tcW w:w="73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0145E96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1</w:t>
            </w:r>
          </w:p>
        </w:tc>
        <w:tc>
          <w:tcPr>
            <w:tcW w:w="71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216BB2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42"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6D159DC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2799"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151E67A">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61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6E03CFC7">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68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2346F01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5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3748FD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1341"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59C033BA">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r>
      <w:tr w14:paraId="2FFAC212">
        <w:tblPrEx>
          <w:shd w:val="clear" w:color="auto" w:fill="FFFFFF"/>
          <w:tblCellMar>
            <w:top w:w="0" w:type="dxa"/>
            <w:left w:w="0" w:type="dxa"/>
            <w:bottom w:w="0" w:type="dxa"/>
            <w:right w:w="0" w:type="dxa"/>
          </w:tblCellMar>
        </w:tblPrEx>
        <w:trPr>
          <w:trHeight w:val="568" w:hRule="atLeast"/>
        </w:trPr>
        <w:tc>
          <w:tcPr>
            <w:tcW w:w="737"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7381990C">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2</w:t>
            </w:r>
          </w:p>
        </w:tc>
        <w:tc>
          <w:tcPr>
            <w:tcW w:w="716"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4DD967B5">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42"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286C5875">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2799"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5F8A41D7">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61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560CBDE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680"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41DF31B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5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2A834D04">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1341"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0A2E5EE2">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r>
    </w:tbl>
    <w:p w14:paraId="41F3E855">
      <w:pPr>
        <w:widowControl/>
        <w:shd w:val="clear" w:color="auto" w:fill="FFFFFF"/>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p w14:paraId="4524DCC5">
      <w:pPr>
        <w:widowControl/>
        <w:shd w:val="clear" w:color="auto" w:fill="FFFFFF"/>
        <w:spacing w:line="560" w:lineRule="atLeast"/>
        <w:ind w:firstLine="640"/>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000000"/>
          <w:kern w:val="0"/>
          <w:sz w:val="32"/>
          <w:szCs w:val="32"/>
          <w14:ligatures w14:val="none"/>
        </w:rPr>
        <w:t>填表单位</w:t>
      </w:r>
      <w:r>
        <w:rPr>
          <w:rFonts w:hint="eastAsia" w:ascii="仿宋_GB2312" w:hAnsi="Times New Roman" w:eastAsia="仿宋_GB2312" w:cs="Times New Roman"/>
          <w:color w:val="000000"/>
          <w:kern w:val="0"/>
          <w:sz w:val="32"/>
          <w:szCs w:val="32"/>
          <w14:ligatures w14:val="none"/>
        </w:rPr>
        <w:t>:                    </w:t>
      </w:r>
      <w:r>
        <w:rPr>
          <w:rFonts w:hint="eastAsia" w:ascii="微软雅黑" w:hAnsi="微软雅黑" w:eastAsia="微软雅黑" w:cs="Times New Roman"/>
          <w:color w:val="000000"/>
          <w:kern w:val="0"/>
          <w:sz w:val="32"/>
          <w:szCs w:val="32"/>
          <w14:ligatures w14:val="none"/>
        </w:rPr>
        <w:t>填表人</w:t>
      </w:r>
      <w:r>
        <w:rPr>
          <w:rFonts w:hint="eastAsia" w:ascii="仿宋_GB2312" w:hAnsi="Times New Roman" w:eastAsia="仿宋_GB2312" w:cs="Times New Roman"/>
          <w:color w:val="000000"/>
          <w:kern w:val="0"/>
          <w:sz w:val="32"/>
          <w:szCs w:val="32"/>
          <w14:ligatures w14:val="none"/>
        </w:rPr>
        <w:t>:                     </w:t>
      </w:r>
      <w:r>
        <w:rPr>
          <w:rFonts w:hint="eastAsia" w:ascii="微软雅黑" w:hAnsi="微软雅黑" w:eastAsia="微软雅黑" w:cs="Times New Roman"/>
          <w:color w:val="000000"/>
          <w:kern w:val="0"/>
          <w:sz w:val="32"/>
          <w:szCs w:val="32"/>
          <w14:ligatures w14:val="none"/>
        </w:rPr>
        <w:t>联系电话：</w:t>
      </w:r>
    </w:p>
    <w:p w14:paraId="32364DE1">
      <w:pPr>
        <w:widowControl/>
        <w:shd w:val="clear" w:color="auto" w:fill="FFFFFF"/>
        <w:spacing w:line="560" w:lineRule="atLeast"/>
        <w:rPr>
          <w:rFonts w:ascii="Times New Roman" w:hAnsi="Times New Roman" w:eastAsia="宋体" w:cs="Times New Roman"/>
          <w:color w:val="333333"/>
          <w:kern w:val="0"/>
          <w:sz w:val="32"/>
          <w:szCs w:val="32"/>
          <w14:ligatures w14:val="none"/>
        </w:rPr>
      </w:pPr>
      <w:bookmarkStart w:id="3" w:name="bookmark47"/>
      <w:bookmarkEnd w:id="3"/>
      <w:bookmarkStart w:id="4" w:name="bookmark46"/>
      <w:bookmarkEnd w:id="4"/>
      <w:bookmarkStart w:id="5" w:name="bookmark48"/>
      <w:r>
        <w:rPr>
          <w:rFonts w:hint="eastAsia" w:ascii="微软雅黑" w:hAnsi="微软雅黑" w:eastAsia="微软雅黑" w:cs="Times New Roman"/>
          <w:color w:val="000000"/>
          <w:kern w:val="0"/>
          <w:sz w:val="32"/>
          <w:szCs w:val="32"/>
          <w14:ligatures w14:val="none"/>
        </w:rPr>
        <w:t>附件</w:t>
      </w:r>
      <w:r>
        <w:rPr>
          <w:rFonts w:hint="eastAsia" w:ascii="黑体" w:hAnsi="黑体" w:eastAsia="黑体" w:cs="Times New Roman"/>
          <w:color w:val="000000"/>
          <w:kern w:val="0"/>
          <w:sz w:val="32"/>
          <w:szCs w:val="32"/>
          <w14:ligatures w14:val="none"/>
        </w:rPr>
        <w:t>3</w:t>
      </w:r>
      <w:bookmarkEnd w:id="5"/>
    </w:p>
    <w:p w14:paraId="6856822F">
      <w:pPr>
        <w:widowControl/>
        <w:shd w:val="clear" w:color="auto" w:fill="FFFFFF"/>
        <w:spacing w:line="560" w:lineRule="atLeast"/>
        <w:rPr>
          <w:rFonts w:ascii="Times New Roman" w:hAnsi="Times New Roman" w:eastAsia="宋体" w:cs="Times New Roman"/>
          <w:color w:val="333333"/>
          <w:kern w:val="0"/>
          <w:sz w:val="32"/>
          <w:szCs w:val="32"/>
          <w14:ligatures w14:val="none"/>
        </w:rPr>
      </w:pPr>
      <w:r>
        <w:rPr>
          <w:rFonts w:ascii="Calibri" w:hAnsi="Calibri" w:eastAsia="黑体" w:cs="Calibri"/>
          <w:color w:val="333333"/>
          <w:kern w:val="0"/>
          <w:sz w:val="32"/>
          <w:szCs w:val="32"/>
          <w14:ligatures w14:val="none"/>
        </w:rPr>
        <w:t> </w:t>
      </w:r>
    </w:p>
    <w:p w14:paraId="59CD2FEC">
      <w:pPr>
        <w:widowControl/>
        <w:shd w:val="clear" w:color="auto" w:fill="FFFFFF"/>
        <w:spacing w:line="560" w:lineRule="atLeast"/>
        <w:jc w:val="center"/>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000000"/>
          <w:kern w:val="0"/>
          <w:sz w:val="44"/>
          <w:szCs w:val="44"/>
          <w14:ligatures w14:val="none"/>
        </w:rPr>
        <w:t>康巴什区本级取消的证明事项目录</w:t>
      </w:r>
    </w:p>
    <w:p w14:paraId="2FB44B53">
      <w:pPr>
        <w:widowControl/>
        <w:shd w:val="clear" w:color="auto" w:fill="FFFFFF"/>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bl>
      <w:tblPr>
        <w:tblStyle w:val="3"/>
        <w:tblW w:w="8035" w:type="dxa"/>
        <w:tblInd w:w="135" w:type="dxa"/>
        <w:shd w:val="clear" w:color="auto" w:fill="FFFFFF"/>
        <w:tblLayout w:type="autofit"/>
        <w:tblCellMar>
          <w:top w:w="0" w:type="dxa"/>
          <w:left w:w="0" w:type="dxa"/>
          <w:bottom w:w="0" w:type="dxa"/>
          <w:right w:w="0" w:type="dxa"/>
        </w:tblCellMar>
      </w:tblPr>
      <w:tblGrid>
        <w:gridCol w:w="776"/>
        <w:gridCol w:w="754"/>
        <w:gridCol w:w="781"/>
        <w:gridCol w:w="3596"/>
        <w:gridCol w:w="716"/>
        <w:gridCol w:w="1412"/>
      </w:tblGrid>
      <w:tr w14:paraId="29DA69B2">
        <w:tblPrEx>
          <w:shd w:val="clear" w:color="auto" w:fill="FFFFFF"/>
          <w:tblCellMar>
            <w:top w:w="0" w:type="dxa"/>
            <w:left w:w="0" w:type="dxa"/>
            <w:bottom w:w="0" w:type="dxa"/>
            <w:right w:w="0" w:type="dxa"/>
          </w:tblCellMar>
        </w:tblPrEx>
        <w:trPr>
          <w:trHeight w:val="456" w:hRule="atLeast"/>
        </w:trPr>
        <w:tc>
          <w:tcPr>
            <w:tcW w:w="776"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2BA79C8">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序号</w:t>
            </w:r>
          </w:p>
        </w:tc>
        <w:tc>
          <w:tcPr>
            <w:tcW w:w="754"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6DEC43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证明名称</w:t>
            </w:r>
          </w:p>
        </w:tc>
        <w:tc>
          <w:tcPr>
            <w:tcW w:w="781"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1B19AA8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证明用途</w:t>
            </w:r>
          </w:p>
        </w:tc>
        <w:tc>
          <w:tcPr>
            <w:tcW w:w="359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2AEBF66">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设定依据</w:t>
            </w:r>
          </w:p>
        </w:tc>
        <w:tc>
          <w:tcPr>
            <w:tcW w:w="716" w:type="dxa"/>
            <w:vMerge w:val="restar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4F1902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索要单位</w:t>
            </w:r>
          </w:p>
        </w:tc>
        <w:tc>
          <w:tcPr>
            <w:tcW w:w="1412" w:type="dxa"/>
            <w:vMerge w:val="restart"/>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02344226">
            <w:pPr>
              <w:widowControl/>
              <w:wordWrap w:val="0"/>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清理结果</w:t>
            </w:r>
          </w:p>
        </w:tc>
      </w:tr>
      <w:tr w14:paraId="5AACC0CA">
        <w:tblPrEx>
          <w:tblCellMar>
            <w:top w:w="0" w:type="dxa"/>
            <w:left w:w="0" w:type="dxa"/>
            <w:bottom w:w="0" w:type="dxa"/>
            <w:right w:w="0" w:type="dxa"/>
          </w:tblCellMar>
        </w:tblPrEx>
        <w:trPr>
          <w:trHeight w:val="456" w:hRule="atLeast"/>
        </w:trPr>
        <w:tc>
          <w:tcPr>
            <w:tcW w:w="0" w:type="auto"/>
            <w:vMerge w:val="continue"/>
            <w:tcBorders>
              <w:top w:val="single" w:color="auto" w:sz="8" w:space="0"/>
              <w:left w:val="single" w:color="auto" w:sz="8" w:space="0"/>
              <w:bottom w:val="nil"/>
              <w:right w:val="nil"/>
            </w:tcBorders>
            <w:shd w:val="clear" w:color="auto" w:fill="FFFFFF"/>
            <w:vAlign w:val="center"/>
          </w:tcPr>
          <w:p w14:paraId="3B15ACDB">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nil"/>
            </w:tcBorders>
            <w:shd w:val="clear" w:color="auto" w:fill="FFFFFF"/>
            <w:vAlign w:val="center"/>
          </w:tcPr>
          <w:p w14:paraId="49951A36">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nil"/>
            </w:tcBorders>
            <w:shd w:val="clear" w:color="auto" w:fill="FFFFFF"/>
            <w:vAlign w:val="center"/>
          </w:tcPr>
          <w:p w14:paraId="781B5C7C">
            <w:pPr>
              <w:widowControl/>
              <w:jc w:val="center"/>
              <w:rPr>
                <w:rFonts w:ascii="Times New Roman" w:hAnsi="Times New Roman" w:eastAsia="宋体" w:cs="Times New Roman"/>
                <w:color w:val="333333"/>
                <w:kern w:val="0"/>
                <w:sz w:val="32"/>
                <w:szCs w:val="32"/>
                <w14:ligatures w14:val="none"/>
              </w:rPr>
            </w:pPr>
          </w:p>
        </w:tc>
        <w:tc>
          <w:tcPr>
            <w:tcW w:w="359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CB7FD34">
            <w:pPr>
              <w:widowControl/>
              <w:wordWrap w:val="0"/>
              <w:spacing w:line="560" w:lineRule="atLeast"/>
              <w:ind w:firstLine="1200"/>
              <w:jc w:val="left"/>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依据名称、文号及条文内容</w:t>
            </w:r>
          </w:p>
        </w:tc>
        <w:tc>
          <w:tcPr>
            <w:tcW w:w="0" w:type="auto"/>
            <w:vMerge w:val="continue"/>
            <w:tcBorders>
              <w:top w:val="single" w:color="auto" w:sz="8" w:space="0"/>
              <w:left w:val="single" w:color="auto" w:sz="8" w:space="0"/>
              <w:bottom w:val="nil"/>
              <w:right w:val="nil"/>
            </w:tcBorders>
            <w:shd w:val="clear" w:color="auto" w:fill="FFFFFF"/>
            <w:vAlign w:val="center"/>
          </w:tcPr>
          <w:p w14:paraId="49798CFB">
            <w:pPr>
              <w:widowControl/>
              <w:jc w:val="center"/>
              <w:rPr>
                <w:rFonts w:ascii="Times New Roman" w:hAnsi="Times New Roman" w:eastAsia="宋体" w:cs="Times New Roman"/>
                <w:color w:val="333333"/>
                <w:kern w:val="0"/>
                <w:sz w:val="32"/>
                <w:szCs w:val="32"/>
                <w14:ligatures w14:val="none"/>
              </w:rPr>
            </w:pPr>
          </w:p>
        </w:tc>
        <w:tc>
          <w:tcPr>
            <w:tcW w:w="0" w:type="auto"/>
            <w:vMerge w:val="continue"/>
            <w:tcBorders>
              <w:top w:val="single" w:color="auto" w:sz="8" w:space="0"/>
              <w:left w:val="single" w:color="auto" w:sz="8" w:space="0"/>
              <w:bottom w:val="nil"/>
              <w:right w:val="single" w:color="auto" w:sz="8" w:space="0"/>
            </w:tcBorders>
            <w:shd w:val="clear" w:color="auto" w:fill="FFFFFF"/>
            <w:vAlign w:val="center"/>
          </w:tcPr>
          <w:p w14:paraId="572251E6">
            <w:pPr>
              <w:widowControl/>
              <w:jc w:val="center"/>
              <w:rPr>
                <w:rFonts w:ascii="Times New Roman" w:hAnsi="Times New Roman" w:eastAsia="宋体" w:cs="Times New Roman"/>
                <w:color w:val="333333"/>
                <w:kern w:val="0"/>
                <w:sz w:val="32"/>
                <w:szCs w:val="32"/>
                <w14:ligatures w14:val="none"/>
              </w:rPr>
            </w:pPr>
          </w:p>
        </w:tc>
      </w:tr>
      <w:tr w14:paraId="5A5853F8">
        <w:tblPrEx>
          <w:tblCellMar>
            <w:top w:w="0" w:type="dxa"/>
            <w:left w:w="0" w:type="dxa"/>
            <w:bottom w:w="0" w:type="dxa"/>
            <w:right w:w="0" w:type="dxa"/>
          </w:tblCellMar>
        </w:tblPrEx>
        <w:trPr>
          <w:trHeight w:val="456" w:hRule="atLeast"/>
        </w:trPr>
        <w:tc>
          <w:tcPr>
            <w:tcW w:w="77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306CF63A">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1</w:t>
            </w:r>
          </w:p>
        </w:tc>
        <w:tc>
          <w:tcPr>
            <w:tcW w:w="75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5F2ED7AD">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81"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2314E21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359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3314DF6">
            <w:pPr>
              <w:widowControl/>
              <w:wordWrap w:val="0"/>
              <w:spacing w:line="560" w:lineRule="atLeast"/>
              <w:jc w:val="left"/>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16"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588C184">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141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2A74B534">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r>
      <w:tr w14:paraId="60E433EA">
        <w:tblPrEx>
          <w:tblCellMar>
            <w:top w:w="0" w:type="dxa"/>
            <w:left w:w="0" w:type="dxa"/>
            <w:bottom w:w="0" w:type="dxa"/>
            <w:right w:w="0" w:type="dxa"/>
          </w:tblCellMar>
        </w:tblPrEx>
        <w:trPr>
          <w:trHeight w:val="456" w:hRule="atLeast"/>
        </w:trPr>
        <w:tc>
          <w:tcPr>
            <w:tcW w:w="776"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099A4742">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2</w:t>
            </w:r>
          </w:p>
        </w:tc>
        <w:tc>
          <w:tcPr>
            <w:tcW w:w="75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7EAC739B">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81"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38DC103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3596"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6D6636FC">
            <w:pPr>
              <w:widowControl/>
              <w:wordWrap w:val="0"/>
              <w:spacing w:line="560" w:lineRule="atLeast"/>
              <w:jc w:val="left"/>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716"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0558662D">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c>
          <w:tcPr>
            <w:tcW w:w="1412"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2B546CF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24"/>
                <w:szCs w:val="24"/>
                <w14:ligatures w14:val="none"/>
              </w:rPr>
              <w:t> </w:t>
            </w:r>
          </w:p>
        </w:tc>
      </w:tr>
    </w:tbl>
    <w:p w14:paraId="2DA87419">
      <w:pPr>
        <w:widowControl/>
        <w:shd w:val="clear" w:color="auto" w:fill="FFFFFF"/>
        <w:spacing w:line="560" w:lineRule="atLeast"/>
        <w:jc w:val="left"/>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000000"/>
          <w:kern w:val="0"/>
          <w:sz w:val="32"/>
          <w:szCs w:val="32"/>
          <w14:ligatures w14:val="none"/>
        </w:rPr>
        <w:t> </w:t>
      </w:r>
    </w:p>
    <w:p w14:paraId="327A9FA0">
      <w:pPr>
        <w:widowControl/>
        <w:shd w:val="clear" w:color="auto" w:fill="FFFFFF"/>
        <w:spacing w:line="560" w:lineRule="atLeast"/>
        <w:ind w:firstLine="640"/>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000000"/>
          <w:kern w:val="0"/>
          <w:sz w:val="32"/>
          <w:szCs w:val="32"/>
          <w14:ligatures w14:val="none"/>
        </w:rPr>
        <w:t>填表单位</w:t>
      </w:r>
      <w:r>
        <w:rPr>
          <w:rFonts w:hint="eastAsia" w:ascii="仿宋_GB2312" w:hAnsi="Times New Roman" w:eastAsia="仿宋_GB2312" w:cs="Times New Roman"/>
          <w:color w:val="000000"/>
          <w:kern w:val="0"/>
          <w:sz w:val="32"/>
          <w:szCs w:val="32"/>
          <w14:ligatures w14:val="none"/>
        </w:rPr>
        <w:t>:                    </w:t>
      </w:r>
      <w:r>
        <w:rPr>
          <w:rFonts w:hint="eastAsia" w:ascii="微软雅黑" w:hAnsi="微软雅黑" w:eastAsia="微软雅黑" w:cs="Times New Roman"/>
          <w:color w:val="000000"/>
          <w:kern w:val="0"/>
          <w:sz w:val="32"/>
          <w:szCs w:val="32"/>
          <w14:ligatures w14:val="none"/>
        </w:rPr>
        <w:t>填表人</w:t>
      </w:r>
      <w:r>
        <w:rPr>
          <w:rFonts w:hint="eastAsia" w:ascii="仿宋_GB2312" w:hAnsi="Times New Roman" w:eastAsia="仿宋_GB2312" w:cs="Times New Roman"/>
          <w:color w:val="000000"/>
          <w:kern w:val="0"/>
          <w:sz w:val="32"/>
          <w:szCs w:val="32"/>
          <w14:ligatures w14:val="none"/>
        </w:rPr>
        <w:t>:                     </w:t>
      </w:r>
      <w:r>
        <w:rPr>
          <w:rFonts w:hint="eastAsia" w:ascii="微软雅黑" w:hAnsi="微软雅黑" w:eastAsia="微软雅黑" w:cs="Times New Roman"/>
          <w:color w:val="000000"/>
          <w:kern w:val="0"/>
          <w:sz w:val="32"/>
          <w:szCs w:val="32"/>
          <w14:ligatures w14:val="none"/>
        </w:rPr>
        <w:t>联系电话：</w:t>
      </w:r>
    </w:p>
    <w:p w14:paraId="254A8DF9">
      <w:pPr>
        <w:widowControl/>
        <w:shd w:val="clear" w:color="auto" w:fill="FFFFFF"/>
        <w:spacing w:line="560" w:lineRule="atLeast"/>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附件</w:t>
      </w:r>
      <w:r>
        <w:rPr>
          <w:rFonts w:hint="eastAsia" w:ascii="黑体" w:hAnsi="黑体" w:eastAsia="黑体" w:cs="Times New Roman"/>
          <w:color w:val="333333"/>
          <w:kern w:val="0"/>
          <w:sz w:val="32"/>
          <w:szCs w:val="32"/>
          <w14:ligatures w14:val="none"/>
        </w:rPr>
        <w:t>4</w:t>
      </w:r>
    </w:p>
    <w:p w14:paraId="383562EC">
      <w:pPr>
        <w:widowControl/>
        <w:shd w:val="clear" w:color="auto" w:fill="FFFFFF"/>
        <w:spacing w:line="560" w:lineRule="atLeast"/>
        <w:ind w:firstLine="2200"/>
        <w:rPr>
          <w:rFonts w:ascii="Times New Roman" w:hAnsi="Times New Roman" w:eastAsia="宋体" w:cs="Times New Roman"/>
          <w:color w:val="333333"/>
          <w:kern w:val="0"/>
          <w:sz w:val="32"/>
          <w:szCs w:val="32"/>
          <w14:ligatures w14:val="none"/>
        </w:rPr>
      </w:pPr>
      <w:r>
        <w:rPr>
          <w:rFonts w:hint="eastAsia" w:ascii="方正小标宋简体" w:hAnsi="Times New Roman" w:eastAsia="方正小标宋简体" w:cs="Times New Roman"/>
          <w:color w:val="333333"/>
          <w:kern w:val="0"/>
          <w:sz w:val="44"/>
          <w:szCs w:val="44"/>
          <w14:ligatures w14:val="none"/>
        </w:rPr>
        <w:t> </w:t>
      </w:r>
    </w:p>
    <w:p w14:paraId="7320CCED">
      <w:pPr>
        <w:widowControl/>
        <w:shd w:val="clear" w:color="auto" w:fill="FFFFFF"/>
        <w:spacing w:line="560" w:lineRule="atLeast"/>
        <w:ind w:firstLine="2200"/>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333333"/>
          <w:kern w:val="0"/>
          <w:sz w:val="44"/>
          <w:szCs w:val="44"/>
          <w14:ligatures w14:val="none"/>
        </w:rPr>
        <w:t>康巴什区本级实行告知承诺制证明事项目录</w:t>
      </w:r>
    </w:p>
    <w:tbl>
      <w:tblPr>
        <w:tblStyle w:val="3"/>
        <w:tblW w:w="7888" w:type="dxa"/>
        <w:tblInd w:w="135" w:type="dxa"/>
        <w:shd w:val="clear" w:color="auto" w:fill="FFFFFF"/>
        <w:tblLayout w:type="autofit"/>
        <w:tblCellMar>
          <w:top w:w="0" w:type="dxa"/>
          <w:left w:w="0" w:type="dxa"/>
          <w:bottom w:w="0" w:type="dxa"/>
          <w:right w:w="0" w:type="dxa"/>
        </w:tblCellMar>
      </w:tblPr>
      <w:tblGrid>
        <w:gridCol w:w="300"/>
        <w:gridCol w:w="260"/>
        <w:gridCol w:w="858"/>
        <w:gridCol w:w="888"/>
        <w:gridCol w:w="2930"/>
        <w:gridCol w:w="723"/>
        <w:gridCol w:w="642"/>
        <w:gridCol w:w="723"/>
        <w:gridCol w:w="564"/>
      </w:tblGrid>
      <w:tr w14:paraId="159E0418">
        <w:tblPrEx>
          <w:shd w:val="clear" w:color="auto" w:fill="FFFFFF"/>
          <w:tblCellMar>
            <w:top w:w="0" w:type="dxa"/>
            <w:left w:w="0" w:type="dxa"/>
            <w:bottom w:w="0" w:type="dxa"/>
            <w:right w:w="0" w:type="dxa"/>
          </w:tblCellMar>
        </w:tblPrEx>
        <w:trPr>
          <w:trHeight w:val="423" w:hRule="atLeast"/>
        </w:trPr>
        <w:tc>
          <w:tcPr>
            <w:tcW w:w="30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C628E18">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序</w:t>
            </w:r>
          </w:p>
          <w:p w14:paraId="7BF1FB1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号</w:t>
            </w:r>
          </w:p>
        </w:tc>
        <w:tc>
          <w:tcPr>
            <w:tcW w:w="245"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0D39BEE7">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事</w:t>
            </w:r>
          </w:p>
          <w:p w14:paraId="7B5D63FA">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项</w:t>
            </w:r>
          </w:p>
          <w:p w14:paraId="48D179A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类</w:t>
            </w:r>
          </w:p>
          <w:p w14:paraId="273439F5">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别</w:t>
            </w:r>
          </w:p>
        </w:tc>
        <w:tc>
          <w:tcPr>
            <w:tcW w:w="860"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19A03A62">
            <w:pPr>
              <w:widowControl/>
              <w:wordWrap w:val="0"/>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政务服务</w:t>
            </w:r>
          </w:p>
          <w:p w14:paraId="32EC74EE">
            <w:pPr>
              <w:widowControl/>
              <w:wordWrap w:val="0"/>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事项名称</w:t>
            </w:r>
          </w:p>
        </w:tc>
        <w:tc>
          <w:tcPr>
            <w:tcW w:w="890"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344E9232">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证明事项名称</w:t>
            </w:r>
          </w:p>
        </w:tc>
        <w:tc>
          <w:tcPr>
            <w:tcW w:w="2937"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454B69CC">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法律依据</w:t>
            </w:r>
          </w:p>
        </w:tc>
        <w:tc>
          <w:tcPr>
            <w:tcW w:w="724"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79268495">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开具单位</w:t>
            </w:r>
          </w:p>
        </w:tc>
        <w:tc>
          <w:tcPr>
            <w:tcW w:w="643"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55B9414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实施方式</w:t>
            </w:r>
          </w:p>
        </w:tc>
        <w:tc>
          <w:tcPr>
            <w:tcW w:w="724" w:type="dxa"/>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14:paraId="3F0A82C8">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核查方式</w:t>
            </w:r>
          </w:p>
        </w:tc>
        <w:tc>
          <w:tcPr>
            <w:tcW w:w="562" w:type="dxa"/>
            <w:tcBorders>
              <w:top w:val="single" w:color="auto" w:sz="8" w:space="0"/>
              <w:left w:val="single" w:color="auto" w:sz="8" w:space="0"/>
              <w:bottom w:val="single" w:color="auto" w:sz="4" w:space="0"/>
              <w:right w:val="single" w:color="auto" w:sz="8" w:space="0"/>
            </w:tcBorders>
            <w:shd w:val="clear" w:color="auto" w:fill="FFFFFF"/>
            <w:tcMar>
              <w:top w:w="0" w:type="dxa"/>
              <w:left w:w="10" w:type="dxa"/>
              <w:bottom w:w="0" w:type="dxa"/>
              <w:right w:w="10" w:type="dxa"/>
            </w:tcMar>
            <w:vAlign w:val="center"/>
          </w:tcPr>
          <w:p w14:paraId="114816C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备注</w:t>
            </w:r>
          </w:p>
        </w:tc>
      </w:tr>
      <w:tr w14:paraId="7ADC9DDB">
        <w:tblPrEx>
          <w:tblCellMar>
            <w:top w:w="0" w:type="dxa"/>
            <w:left w:w="0" w:type="dxa"/>
            <w:bottom w:w="0" w:type="dxa"/>
            <w:right w:w="0" w:type="dxa"/>
          </w:tblCellMar>
        </w:tblPrEx>
        <w:trPr>
          <w:trHeight w:val="423" w:hRule="atLeast"/>
        </w:trPr>
        <w:tc>
          <w:tcPr>
            <w:tcW w:w="7888" w:type="dxa"/>
            <w:gridSpan w:val="9"/>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6A0FCA9B">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（一）单位名称</w:t>
            </w:r>
          </w:p>
        </w:tc>
      </w:tr>
      <w:tr w14:paraId="59F04A6A">
        <w:tblPrEx>
          <w:shd w:val="clear" w:color="auto" w:fill="FFFFFF"/>
          <w:tblCellMar>
            <w:top w:w="0" w:type="dxa"/>
            <w:left w:w="0" w:type="dxa"/>
            <w:bottom w:w="0" w:type="dxa"/>
            <w:right w:w="0" w:type="dxa"/>
          </w:tblCellMar>
        </w:tblPrEx>
        <w:trPr>
          <w:trHeight w:val="423" w:hRule="atLeast"/>
        </w:trPr>
        <w:tc>
          <w:tcPr>
            <w:tcW w:w="30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CA0DCE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1</w:t>
            </w:r>
          </w:p>
        </w:tc>
        <w:tc>
          <w:tcPr>
            <w:tcW w:w="245"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24898C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86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761945E1">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890"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29ACF2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2937"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80A2CA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72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495F53C3">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643"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691D44EA">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724" w:type="dxa"/>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14:paraId="22E9C67C">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56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7D705816">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r>
      <w:tr w14:paraId="599D443D">
        <w:tblPrEx>
          <w:tblCellMar>
            <w:top w:w="0" w:type="dxa"/>
            <w:left w:w="0" w:type="dxa"/>
            <w:bottom w:w="0" w:type="dxa"/>
            <w:right w:w="0" w:type="dxa"/>
          </w:tblCellMar>
        </w:tblPrEx>
        <w:trPr>
          <w:trHeight w:val="423" w:hRule="atLeast"/>
        </w:trPr>
        <w:tc>
          <w:tcPr>
            <w:tcW w:w="300"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7263994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2</w:t>
            </w:r>
          </w:p>
        </w:tc>
        <w:tc>
          <w:tcPr>
            <w:tcW w:w="245"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71FB16CC">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860"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48A67556">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890"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34F04D5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2937"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01D4E2EC">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72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5F122E0E">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643"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577DC36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724" w:type="dxa"/>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center"/>
          </w:tcPr>
          <w:p w14:paraId="0EBD2720">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c>
          <w:tcPr>
            <w:tcW w:w="562"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0992A3A9">
            <w:pPr>
              <w:widowControl/>
              <w:wordWrap w:val="0"/>
              <w:spacing w:line="560" w:lineRule="atLeast"/>
              <w:jc w:val="center"/>
              <w:rPr>
                <w:rFonts w:ascii="Times New Roman" w:hAnsi="Times New Roman" w:eastAsia="宋体" w:cs="Times New Roman"/>
                <w:color w:val="333333"/>
                <w:kern w:val="0"/>
                <w:sz w:val="32"/>
                <w:szCs w:val="32"/>
                <w14:ligatures w14:val="none"/>
              </w:rPr>
            </w:pPr>
            <w:r>
              <w:rPr>
                <w:rFonts w:hint="eastAsia" w:ascii="仿宋_GB2312" w:hAnsi="Times New Roman" w:eastAsia="仿宋_GB2312" w:cs="Times New Roman"/>
                <w:color w:val="333333"/>
                <w:kern w:val="0"/>
                <w:sz w:val="24"/>
                <w:szCs w:val="24"/>
                <w14:ligatures w14:val="none"/>
              </w:rPr>
              <w:t> </w:t>
            </w:r>
          </w:p>
        </w:tc>
      </w:tr>
    </w:tbl>
    <w:p w14:paraId="014FBAB2">
      <w:pPr>
        <w:widowControl/>
        <w:shd w:val="clear" w:color="auto" w:fill="FFFFFF"/>
        <w:spacing w:line="560" w:lineRule="atLeast"/>
        <w:rPr>
          <w:rFonts w:ascii="Times New Roman" w:hAnsi="Times New Roman" w:eastAsia="宋体" w:cs="Times New Roman"/>
          <w:color w:val="333333"/>
          <w:kern w:val="0"/>
          <w:sz w:val="32"/>
          <w:szCs w:val="32"/>
          <w14:ligatures w14:val="none"/>
        </w:rPr>
      </w:pPr>
      <w:r>
        <w:rPr>
          <w:rFonts w:hint="eastAsia" w:ascii="微软雅黑" w:hAnsi="微软雅黑" w:eastAsia="微软雅黑" w:cs="Times New Roman"/>
          <w:color w:val="333333"/>
          <w:kern w:val="0"/>
          <w:sz w:val="32"/>
          <w:szCs w:val="32"/>
          <w14:ligatures w14:val="none"/>
        </w:rPr>
        <w:t>填表单位</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填表人：</w:t>
      </w:r>
      <w:r>
        <w:rPr>
          <w:rFonts w:hint="eastAsia" w:ascii="仿宋_GB2312" w:hAnsi="Times New Roman" w:eastAsia="仿宋_GB2312" w:cs="Times New Roman"/>
          <w:color w:val="333333"/>
          <w:kern w:val="0"/>
          <w:sz w:val="32"/>
          <w:szCs w:val="32"/>
          <w14:ligatures w14:val="none"/>
        </w:rPr>
        <w:t>                     </w:t>
      </w:r>
      <w:r>
        <w:rPr>
          <w:rFonts w:hint="eastAsia" w:ascii="微软雅黑" w:hAnsi="微软雅黑" w:eastAsia="微软雅黑" w:cs="Times New Roman"/>
          <w:color w:val="333333"/>
          <w:kern w:val="0"/>
          <w:sz w:val="32"/>
          <w:szCs w:val="32"/>
          <w14:ligatures w14:val="none"/>
        </w:rPr>
        <w:t>联系电话：</w:t>
      </w:r>
    </w:p>
    <w:p w14:paraId="737E243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6F"/>
    <w:rsid w:val="0049648B"/>
    <w:rsid w:val="006334DE"/>
    <w:rsid w:val="007B17C9"/>
    <w:rsid w:val="00ED696F"/>
    <w:rsid w:val="26C9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p"/>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17"/>
    <w:basedOn w:val="4"/>
    <w:uiPriority w:val="0"/>
  </w:style>
  <w:style w:type="paragraph" w:customStyle="1" w:styleId="7">
    <w:name w:val="pre"/>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16"/>
    <w:basedOn w:val="4"/>
    <w:uiPriority w:val="0"/>
  </w:style>
  <w:style w:type="paragraph" w:customStyle="1" w:styleId="9">
    <w:name w:val="18"/>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标题 1 字符"/>
    <w:basedOn w:val="4"/>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5148</Words>
  <Characters>5284</Characters>
  <Lines>45</Lines>
  <Paragraphs>12</Paragraphs>
  <TotalTime>2</TotalTime>
  <ScaleCrop>false</ScaleCrop>
  <LinksUpToDate>false</LinksUpToDate>
  <CharactersWithSpaces>5999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2024-07-18T01:42:00Z</dcterms:created>
  <dc:creator>Administrator</dc:creator>
  <cp:lastModifiedBy>踢足球的彭于晏</cp:lastModifiedBy>
  <dcterms:modified xsi:type="dcterms:W3CDTF">2026-01-30T06:49:01Z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CD91532203164789AC6AE530ABC7E991_12</vt:lpwstr>
  </property>
</Properties>
</file>