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6DC8" w14:textId="77777777" w:rsidR="003B301C" w:rsidRPr="003B301C" w:rsidRDefault="003B301C" w:rsidP="003B301C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2"/>
          <w:szCs w:val="32"/>
          <w14:ligatures w14:val="none"/>
        </w:rPr>
      </w:pPr>
      <w:r w:rsidRPr="003B301C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  <w14:ligatures w14:val="none"/>
        </w:rPr>
        <w:t>鄂尔多斯市康巴什区人民政府办公室关于</w:t>
      </w:r>
    </w:p>
    <w:p w14:paraId="0C1EB9D2" w14:textId="7B307DD3" w:rsidR="003B301C" w:rsidRDefault="003B301C" w:rsidP="003B301C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2"/>
          <w:szCs w:val="32"/>
          <w14:ligatures w14:val="none"/>
        </w:rPr>
      </w:pPr>
      <w:r w:rsidRPr="003B301C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  <w14:ligatures w14:val="none"/>
        </w:rPr>
        <w:t>成立2020“雷霆斩污”专项行动组的通知</w:t>
      </w:r>
    </w:p>
    <w:p w14:paraId="0E57F234" w14:textId="77777777" w:rsidR="003B301C" w:rsidRPr="003B301C" w:rsidRDefault="003B301C" w:rsidP="003B301C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  <w14:ligatures w14:val="none"/>
        </w:rPr>
      </w:pPr>
    </w:p>
    <w:p w14:paraId="45FA3D05" w14:textId="358CF219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区污染防治攻坚工作领导小组成员单位：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C03B2FF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按照《鄂尔多斯市市污染防治攻坚工作领导小组关于开展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2020年“雷霆斩污”生态环境专项执法行动的通知》（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鄂污防治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发〔2020〕6号）文件要求，为扎实有效做好市级现场检查组转办生态环境问题的跟踪整改，经区政府研究，决定成立康巴什区2020“雷霆斩污”专项行动组。现就有关事宜通知如下：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4F6B3BC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一、专项行动组成员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759F7A2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组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长：李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冬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区委副书记、政府区长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17DCE81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常务副组长：张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平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区政府副区长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267FDBD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副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组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长：程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杰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区生态环境分局局长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A7DEB17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成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员：</w:t>
      </w:r>
      <w:proofErr w:type="gramStart"/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袁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proofErr w:type="gramStart"/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鑫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proofErr w:type="gramStart"/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区决策</w:t>
      </w:r>
      <w:proofErr w:type="gramEnd"/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咨询中心副主任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BB0AA60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 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张跃诚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proofErr w:type="gramStart"/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区产业</w:t>
      </w:r>
      <w:proofErr w:type="gramEnd"/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发展中心副主任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384D043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  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邵名峰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区生态环境分局副局长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9365455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 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梁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英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区生态环境分局副局长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44E3158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专项行动组下设办公室，办公室设在区生态环境分局，办公室主任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由程杰兼任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6C7EF76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二、专项行动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组及其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办公室工作职责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F3A4A52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</w:rPr>
        <w:t>区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“雷霆斩污”专项行动组负责联系市专项执法行动领导小组，定期召开会议听取区“雷霆斩污”专项行动进展情况，研究制定现场检查组反馈问题整改措施和工作方案，定期向市“雷霆斩污”专项执法行动领导小组报送整改进度。区“雷霆斩污”专项行动组办公室负责协调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对接市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专项执法行动领导小组办公室、市“雷霆斩污”第一检查组，及时认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lastRenderedPageBreak/>
        <w:t>领交办的各项生态环境问题，并定期向专项行动组汇报工作进展，对检查组反馈的问题逐项建立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整改台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账，并在区专项行动组的领导下督促各相关部门落实问题整改措施，确保按期完成各类环境问题的整改销号。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A421E6E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596385B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EFCBF18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康巴什区人民政府办公室  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13BD2DD" w14:textId="77777777" w:rsidR="003B301C" w:rsidRDefault="003B301C" w:rsidP="003B301C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2020年3月16日      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5382384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62"/>
    <w:rsid w:val="003B301C"/>
    <w:rsid w:val="006334DE"/>
    <w:rsid w:val="00B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53AD"/>
  <w15:chartTrackingRefBased/>
  <w15:docId w15:val="{051A0EA8-53D7-4B86-B172-F22610D5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B30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01C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3B30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2024-08-06T08:50:00Z</dcterms:created>
  <dcterms:modified xsi:type="dcterms:W3CDTF">2024-08-06T08:51:00Z</dcterms:modified>
</cp:coreProperties>
</file>