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atLeast"/>
        <w:jc w:val="left"/>
        <w:textAlignment w:val="auto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atLeas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康巴什区</w:t>
      </w:r>
      <w:r>
        <w:rPr>
          <w:rFonts w:hint="eastAsia" w:ascii="方正小标宋简体" w:hAnsi="宋体" w:eastAsia="方正小标宋简体"/>
          <w:sz w:val="44"/>
          <w:szCs w:val="44"/>
        </w:rPr>
        <w:t>“无证明城市”清单动态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atLeast"/>
        <w:jc w:val="center"/>
        <w:textAlignment w:val="auto"/>
        <w:rPr>
          <w:rFonts w:ascii="黑体" w:hAnsi="宋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方正小标宋简体" w:hAnsi="宋体" w:eastAsia="方正小标宋简体"/>
          <w:sz w:val="44"/>
          <w:szCs w:val="44"/>
        </w:rPr>
        <w:t>调整管理办法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textAlignment w:val="auto"/>
        <w:rPr>
          <w:rFonts w:eastAsia="仿宋_GB2312" w:cs="仿宋_GB2312"/>
          <w:sz w:val="32"/>
          <w:szCs w:val="32"/>
        </w:rPr>
      </w:pPr>
      <w:r>
        <w:rPr>
          <w:rFonts w:ascii="黑体" w:hAnsi="宋体" w:eastAsia="黑体" w:cs="黑体"/>
          <w:color w:val="000000"/>
          <w:sz w:val="32"/>
          <w:szCs w:val="32"/>
          <w:shd w:val="clear" w:color="auto" w:fill="FFFFFF"/>
        </w:rPr>
        <w:t>第一条</w:t>
      </w:r>
      <w:r>
        <w:rPr>
          <w:rFonts w:hint="eastAsia" w:ascii="黑体" w:hAnsi="宋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eastAsia="仿宋_GB2312" w:cs="仿宋_GB2312"/>
          <w:sz w:val="32"/>
          <w:szCs w:val="32"/>
        </w:rPr>
        <w:t>为了规范</w:t>
      </w:r>
      <w:r>
        <w:rPr>
          <w:rFonts w:hint="eastAsia" w:eastAsia="仿宋_GB2312" w:cs="仿宋_GB2312"/>
          <w:sz w:val="32"/>
          <w:szCs w:val="32"/>
          <w:lang w:eastAsia="zh-CN"/>
        </w:rPr>
        <w:t>康巴什区</w:t>
      </w:r>
      <w:r>
        <w:rPr>
          <w:rFonts w:hint="eastAsia" w:eastAsia="仿宋_GB2312" w:cs="仿宋_GB2312"/>
          <w:sz w:val="32"/>
          <w:szCs w:val="32"/>
        </w:rPr>
        <w:t>“无证明城市”</w:t>
      </w:r>
      <w:r>
        <w:rPr>
          <w:rFonts w:hint="eastAsia" w:ascii="仿宋" w:hAnsi="仿宋" w:eastAsia="仿宋" w:cs="仿宋"/>
          <w:sz w:val="32"/>
          <w:szCs w:val="32"/>
        </w:rPr>
        <w:t>实施过程中的清单内容调整</w:t>
      </w:r>
      <w:r>
        <w:rPr>
          <w:rFonts w:hint="eastAsia" w:eastAsia="仿宋_GB2312" w:cs="仿宋_GB2312"/>
          <w:sz w:val="32"/>
          <w:szCs w:val="32"/>
        </w:rPr>
        <w:t>，保障“无证明城市”的有效运行，依据《鄂尔多斯市康巴什区推进政府职能转变和“放管服”改革协调小组办公室关于创建“无证明城市”实施方案》的规定，制定本办法。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shd w:val="clear" w:color="auto" w:fill="FFFFFF"/>
        </w:rPr>
        <w:t>第二条</w:t>
      </w:r>
      <w:r>
        <w:rPr>
          <w:rFonts w:hint="eastAsia" w:ascii="黑体" w:hAnsi="宋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eastAsia="仿宋_GB2312" w:cs="仿宋_GB2312"/>
          <w:sz w:val="32"/>
          <w:szCs w:val="32"/>
          <w:lang w:val="en-US" w:eastAsia="zh-CN"/>
        </w:rPr>
        <w:t>街道、</w:t>
      </w:r>
      <w:r>
        <w:rPr>
          <w:rFonts w:hint="eastAsia" w:eastAsia="仿宋_GB2312" w:cs="仿宋_GB2312"/>
          <w:sz w:val="32"/>
          <w:szCs w:val="32"/>
        </w:rPr>
        <w:t>部门实施办</w:t>
      </w:r>
      <w:r>
        <w:rPr>
          <w:rFonts w:hint="eastAsia" w:eastAsia="仿宋_GB2312" w:cs="仿宋_GB2312"/>
          <w:sz w:val="32"/>
          <w:szCs w:val="32"/>
          <w:lang w:val="en-US" w:eastAsia="zh-CN"/>
        </w:rPr>
        <w:t>理</w:t>
      </w:r>
      <w:r>
        <w:rPr>
          <w:rFonts w:hint="eastAsia" w:eastAsia="仿宋_GB2312" w:cs="仿宋_GB2312"/>
          <w:sz w:val="32"/>
          <w:szCs w:val="32"/>
        </w:rPr>
        <w:t>事项过程中对清单内容的动态调整，适用本办法。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textAlignment w:val="auto"/>
        <w:rPr>
          <w:rFonts w:eastAsia="仿宋_GB2312" w:cs="仿宋_GB2312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第三条</w:t>
      </w: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 w:cs="仿宋_GB2312"/>
          <w:sz w:val="32"/>
          <w:szCs w:val="32"/>
        </w:rPr>
        <w:t>清单的动态调整严格遵循证明法定、实事求是、便民高效、公开透明原则。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textAlignment w:val="auto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证明法定原则是指清单中证明材料的新增、变更和取消必须依照法律、法规规定。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实事求是原则是指清单可依据</w:t>
      </w:r>
      <w:r>
        <w:rPr>
          <w:rFonts w:hint="eastAsia" w:eastAsia="仿宋_GB2312" w:cs="仿宋_GB2312"/>
          <w:sz w:val="32"/>
          <w:szCs w:val="32"/>
          <w:lang w:val="en-US" w:eastAsia="zh-CN"/>
        </w:rPr>
        <w:t>街道、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</w:t>
      </w:r>
      <w:r>
        <w:rPr>
          <w:rFonts w:hint="eastAsia" w:eastAsia="仿宋_GB2312" w:cs="仿宋_GB2312"/>
          <w:sz w:val="32"/>
          <w:szCs w:val="32"/>
        </w:rPr>
        <w:t>实际使用的证明进行调整，确保清单之外无证明。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便民高效原则是指清单动态调整要方便群众办</w:t>
      </w:r>
      <w:r>
        <w:rPr>
          <w:rFonts w:hint="eastAsia" w:eastAsia="仿宋_GB2312" w:cs="仿宋_GB2312"/>
          <w:sz w:val="32"/>
          <w:szCs w:val="32"/>
          <w:lang w:val="en-US" w:eastAsia="zh-CN"/>
        </w:rPr>
        <w:t>理事项</w:t>
      </w:r>
      <w:r>
        <w:rPr>
          <w:rFonts w:hint="eastAsia" w:eastAsia="仿宋_GB2312" w:cs="仿宋_GB2312"/>
          <w:sz w:val="32"/>
          <w:szCs w:val="32"/>
        </w:rPr>
        <w:t>和提高</w:t>
      </w:r>
      <w:r>
        <w:rPr>
          <w:rFonts w:hint="eastAsia" w:eastAsia="仿宋_GB2312" w:cs="仿宋_GB2312"/>
          <w:sz w:val="32"/>
          <w:szCs w:val="32"/>
          <w:lang w:val="en-US" w:eastAsia="zh-CN"/>
        </w:rPr>
        <w:t>受理部门（街道）和审批部门（街道）申请和审批</w:t>
      </w:r>
      <w:r>
        <w:rPr>
          <w:rFonts w:hint="eastAsia" w:eastAsia="仿宋_GB2312" w:cs="仿宋_GB2312"/>
          <w:sz w:val="32"/>
          <w:szCs w:val="32"/>
        </w:rPr>
        <w:t>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公开透明原则是指清单的新增、变更、取消的全过程一律公开。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黑体" w:hAnsi="宋体" w:eastAsia="黑体" w:cs="黑体"/>
          <w:sz w:val="32"/>
          <w:szCs w:val="32"/>
        </w:rPr>
        <w:t>第四条</w:t>
      </w: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康巴什区政务服务局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负责组织实施本办法，负责全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清单动态调整工作。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街道、部门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要按照各自职责，做好本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街道、部门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和本系统清单动态调整工作。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atLeas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第五条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清单原则上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实施即时调整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。一般在每年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月底公布动态调整。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atLeas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</w:pPr>
      <w:r>
        <w:rPr>
          <w:rFonts w:hint="eastAsia" w:ascii="黑体" w:hAnsi="宋体" w:eastAsia="黑体" w:cs="黑体"/>
          <w:kern w:val="2"/>
          <w:sz w:val="32"/>
          <w:szCs w:val="32"/>
          <w:highlight w:val="none"/>
        </w:rPr>
        <w:t>第六条</w:t>
      </w:r>
      <w:r>
        <w:rPr>
          <w:rFonts w:hint="eastAsia" w:ascii="黑体" w:hAnsi="宋体" w:eastAsia="黑体" w:cs="黑体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具有下列情形之一的，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应当申请增加清单内容：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atLeas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因法律、法规颁布、修订需增加证明材料的；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atLeas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上级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决定下放的权力事项，按要求需承接的，且涉及证明材料的；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atLeas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（三）因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街道、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职能调整，需增加</w:t>
      </w:r>
      <w:r>
        <w:rPr>
          <w:rFonts w:hint="eastAsia" w:eastAsia="仿宋_GB2312"/>
          <w:kern w:val="2"/>
          <w:sz w:val="32"/>
          <w:szCs w:val="32"/>
          <w:highlight w:val="none"/>
        </w:rPr>
        <w:t>证明事项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的；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atLeas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街道、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部门仍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要求出具证明材料，且清单遗漏的；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atLeas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（五）其他应当增加清单内容的情形。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atLeas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shd w:val="clear" w:color="auto" w:fill="FFFFFF"/>
        </w:rPr>
        <w:t>第七条</w:t>
      </w:r>
      <w:r>
        <w:rPr>
          <w:rFonts w:hint="eastAsia" w:ascii="黑体" w:hAnsi="黑体" w:eastAsia="黑体" w:cs="黑体"/>
          <w:sz w:val="32"/>
          <w:szCs w:val="32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具有下列情形之一的，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街道、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应当申请变更清单内容：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atLeas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受理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部门或出具证明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变更的；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atLeas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（二）</w:t>
      </w:r>
      <w:r>
        <w:rPr>
          <w:rFonts w:hint="eastAsia" w:eastAsia="仿宋_GB2312"/>
          <w:kern w:val="2"/>
          <w:sz w:val="32"/>
          <w:szCs w:val="32"/>
          <w:highlight w:val="none"/>
        </w:rPr>
        <w:t>证明事项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名称变更的；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atLeas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（三）证明材料名称或者种类变更的；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atLeas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（四）办理方式变更的；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atLeas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（五）其他应当变更清单内容的情形。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atLeas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黑体" w:hAnsi="宋体" w:eastAsia="黑体" w:cs="黑体"/>
          <w:kern w:val="2"/>
          <w:sz w:val="32"/>
          <w:szCs w:val="32"/>
          <w:highlight w:val="none"/>
        </w:rPr>
        <w:t>第八条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具有下列情形之一的，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应当申请取消清单内容：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atLeas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（一）因法律法规规章颁布、修订、废止，需取消办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事项的；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atLeas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（二）国务院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自治区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、市决定取消办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事项的；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atLeas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（三）因职能调整，相关办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事项不再办理或通过改变管理方式可以达到目的的；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atLeas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（四）其他应当取消清单内容的情形。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atLeas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</w:pPr>
      <w:r>
        <w:rPr>
          <w:rFonts w:hint="eastAsia" w:ascii="黑体" w:hAnsi="宋体" w:eastAsia="黑体" w:cs="黑体"/>
          <w:sz w:val="32"/>
          <w:szCs w:val="32"/>
          <w:highlight w:val="none"/>
          <w:shd w:val="clear" w:color="auto" w:fill="FFFFFF"/>
        </w:rPr>
        <w:t>第九条</w:t>
      </w:r>
      <w:r>
        <w:rPr>
          <w:rFonts w:hint="eastAsia" w:ascii="黑体" w:hAnsi="宋体" w:eastAsia="黑体" w:cs="黑体"/>
          <w:sz w:val="32"/>
          <w:szCs w:val="32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康巴什区政务服务局</w:t>
      </w:r>
      <w:r>
        <w:rPr>
          <w:rFonts w:hint="eastAsia" w:eastAsia="仿宋_GB2312" w:cs="仿宋_GB2312"/>
          <w:sz w:val="32"/>
          <w:szCs w:val="32"/>
          <w:highlight w:val="none"/>
        </w:rPr>
        <w:t>根据“无证明城市”实施情况，可主动启动清单的动态调整。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因本办法第六条、第七条、第八条所列情形需要调整清单内容的，街道、部门应当在调整事由发生之日起7个工作日内向康巴什区政务服务局提出书面申请，填报《清单动态调整申请表》。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部门在调整事由发生之日起至康巴什区政务服务局公布实施前，选择证明材料受理方式，通过取消、告知承诺、部门核验和线上开具的方式，不得向申请人索取证明材料。如果证明材料必须由申请人提供，变更时需提供设定该证明材料的依据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atLeas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shd w:val="clear" w:color="auto" w:fill="FFFFFF"/>
        </w:rPr>
        <w:t>第十条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康巴什区政务服务局应及时组织相关街道、部门对需调整的内容进行研究，提出审核意见。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atLeas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highlight w:val="none"/>
          <w:shd w:val="clear" w:color="auto" w:fill="FFFFFF"/>
        </w:rPr>
        <w:t>第十</w:t>
      </w:r>
      <w:r>
        <w:rPr>
          <w:rFonts w:hint="eastAsia" w:ascii="黑体" w:hAnsi="黑体" w:eastAsia="黑体" w:cs="黑体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一</w:t>
      </w:r>
      <w:r>
        <w:rPr>
          <w:rFonts w:hint="eastAsia" w:ascii="黑体" w:hAnsi="黑体" w:eastAsia="黑体" w:cs="黑体"/>
          <w:color w:val="333333"/>
          <w:sz w:val="32"/>
          <w:szCs w:val="32"/>
          <w:highlight w:val="none"/>
          <w:shd w:val="clear" w:color="auto" w:fill="FFFFFF"/>
        </w:rPr>
        <w:t>条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经康巴什区政务服务局研究审核后，街道、部门应将拟调整的清单内容对外公示5个工作日，面向社会公开。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atLeas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shd w:val="clear" w:color="auto" w:fill="FFFFFF"/>
        </w:rPr>
        <w:t>第十</w:t>
      </w:r>
      <w:r>
        <w:rPr>
          <w:rFonts w:hint="eastAsia" w:ascii="黑体" w:hAnsi="黑体" w:eastAsia="黑体" w:cs="黑体"/>
          <w:sz w:val="32"/>
          <w:szCs w:val="32"/>
          <w:highlight w:val="none"/>
          <w:shd w:val="clear" w:color="auto" w:fill="FFFFFF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  <w:highlight w:val="none"/>
          <w:shd w:val="clear" w:color="auto" w:fill="FFFFFF"/>
        </w:rPr>
        <w:t>条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经审核的清单调整内容由康巴什区政务服务局公布后实施。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atLeas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shd w:val="clear" w:color="auto" w:fill="FFFFFF"/>
        </w:rPr>
        <w:t>第十</w:t>
      </w:r>
      <w:r>
        <w:rPr>
          <w:rFonts w:hint="eastAsia" w:ascii="黑体" w:hAnsi="黑体" w:eastAsia="黑体" w:cs="黑体"/>
          <w:sz w:val="32"/>
          <w:szCs w:val="32"/>
          <w:highlight w:val="none"/>
          <w:shd w:val="clear" w:color="auto" w:fill="FFFFFF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highlight w:val="none"/>
          <w:shd w:val="clear" w:color="auto" w:fill="FFFFFF"/>
        </w:rPr>
        <w:t>条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自然人、法人或其他组织有权对清单动态调整提出意见、建议，进行监督。对街道、部门违反本办法规定的行为，可以向有关部门进行投诉、举报。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黑体" w:hAnsi="宋体" w:eastAsia="黑体" w:cs="黑体"/>
          <w:sz w:val="32"/>
          <w:szCs w:val="32"/>
        </w:rPr>
        <w:t>第十</w:t>
      </w: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宋体" w:eastAsia="黑体" w:cs="黑体"/>
          <w:sz w:val="32"/>
          <w:szCs w:val="32"/>
        </w:rPr>
        <w:t>条</w:t>
      </w:r>
      <w:r>
        <w:rPr>
          <w:rFonts w:hint="eastAsia" w:ascii="黑体" w:hAnsi="宋体" w:eastAsia="黑体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本办法自2023年8月21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atLeas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atLeas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atLeast"/>
        <w:rPr>
          <w:rFonts w:ascii="黑体" w:hAnsi="黑体" w:eastAsia="黑体" w:cs="黑体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atLeast"/>
        <w:jc w:val="center"/>
        <w:textAlignment w:val="auto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清单动态调整申请表</w:t>
      </w:r>
    </w:p>
    <w:tbl>
      <w:tblPr>
        <w:tblStyle w:val="3"/>
        <w:tblpPr w:leftFromText="180" w:rightFromText="180" w:vertAnchor="text" w:horzAnchor="page" w:tblpXSpec="center" w:tblpY="625"/>
        <w:tblOverlap w:val="never"/>
        <w:tblW w:w="87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5"/>
        <w:gridCol w:w="2079"/>
        <w:gridCol w:w="1905"/>
        <w:gridCol w:w="2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申请单位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调整事由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发生日期</w:t>
            </w:r>
          </w:p>
        </w:tc>
        <w:tc>
          <w:tcPr>
            <w:tcW w:w="25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需调整事项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名称与编码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需调整证明材料名称</w:t>
            </w:r>
          </w:p>
        </w:tc>
        <w:tc>
          <w:tcPr>
            <w:tcW w:w="25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动态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调整类型</w:t>
            </w:r>
          </w:p>
        </w:tc>
        <w:tc>
          <w:tcPr>
            <w:tcW w:w="65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新增（ ）    变更（ ）   取消（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0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申请理由（包括但不限于法律、法规依据）：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1" w:hRule="atLeast"/>
          <w:jc w:val="center"/>
        </w:trPr>
        <w:tc>
          <w:tcPr>
            <w:tcW w:w="870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atLeas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主要负责人签字并加盖公章：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atLeast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378F7E"/>
    <w:multiLevelType w:val="singleLevel"/>
    <w:tmpl w:val="31378F7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1ZjBiNjZkNjQ1OWFhMGIyYTRmYmFhMzZlNWViYjcifQ=="/>
  </w:docVars>
  <w:rsids>
    <w:rsidRoot w:val="1F335E8F"/>
    <w:rsid w:val="01482911"/>
    <w:rsid w:val="04901AD4"/>
    <w:rsid w:val="06193BD7"/>
    <w:rsid w:val="13FF2E42"/>
    <w:rsid w:val="19E13894"/>
    <w:rsid w:val="1F335E8F"/>
    <w:rsid w:val="22793306"/>
    <w:rsid w:val="24AC5278"/>
    <w:rsid w:val="2A634439"/>
    <w:rsid w:val="40414551"/>
    <w:rsid w:val="4458370B"/>
    <w:rsid w:val="47CF641B"/>
    <w:rsid w:val="4B8A114D"/>
    <w:rsid w:val="523C1E1F"/>
    <w:rsid w:val="65C32E17"/>
    <w:rsid w:val="68D058B2"/>
    <w:rsid w:val="6B444832"/>
    <w:rsid w:val="73724CC1"/>
    <w:rsid w:val="7B74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 w:line="365" w:lineRule="atLeast"/>
      <w:jc w:val="left"/>
      <w:textAlignment w:val="bottom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1374</Words>
  <Characters>1377</Characters>
  <Lines>0</Lines>
  <Paragraphs>0</Paragraphs>
  <TotalTime>31</TotalTime>
  <ScaleCrop>false</ScaleCrop>
  <LinksUpToDate>false</LinksUpToDate>
  <CharactersWithSpaces>1435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2023-04-13T03:23:00Z</dcterms:created>
  <dc:creator>WPS_1662348081</dc:creator>
  <cp:lastModifiedBy>ʚ祁晔廷ɞ</cp:lastModifiedBy>
  <cp:lastPrinted>2023-07-13T07:19:00Z</cp:lastPrinted>
  <dcterms:modified xsi:type="dcterms:W3CDTF">2023-08-21T02:10:18Z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0C4DCDBDDB6346B8B14574006EDFB832_13</vt:lpwstr>
  </property>
</Properties>
</file>