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EB73D">
      <w:pPr>
        <w:rPr>
          <w:rFonts w:hint="eastAsia" w:ascii="黑体" w:hAnsi="黑体" w:eastAsia="黑体" w:cs="黑体"/>
          <w:b w:val="0"/>
          <w:bCs w:val="0"/>
          <w:sz w:val="32"/>
          <w:szCs w:val="32"/>
        </w:rPr>
      </w:pPr>
      <w:r>
        <w:rPr>
          <w:rFonts w:hint="eastAsia" w:ascii="黑体" w:hAnsi="黑体" w:eastAsia="黑体" w:cs="黑体"/>
          <w:b w:val="0"/>
          <w:bCs w:val="0"/>
          <w:sz w:val="32"/>
          <w:szCs w:val="32"/>
        </w:rPr>
        <w:t>附件</w:t>
      </w:r>
    </w:p>
    <w:p w14:paraId="1CBEE1A6">
      <w:pPr>
        <w:pStyle w:val="2"/>
        <w:rPr>
          <w:rFonts w:hint="eastAsia"/>
        </w:rPr>
      </w:pPr>
      <w:bookmarkStart w:id="29" w:name="_GoBack"/>
      <w:bookmarkEnd w:id="29"/>
    </w:p>
    <w:p w14:paraId="7B5DCC3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napToGrid/>
          <w:sz w:val="44"/>
          <w:szCs w:val="44"/>
        </w:rPr>
      </w:pPr>
      <w:r>
        <w:rPr>
          <w:rFonts w:hint="eastAsia" w:ascii="方正小标宋简体" w:hAnsi="方正小标宋简体" w:eastAsia="方正小标宋简体" w:cs="方正小标宋简体"/>
          <w:snapToGrid/>
          <w:sz w:val="44"/>
          <w:szCs w:val="44"/>
        </w:rPr>
        <w:t>鄂尔多斯市</w:t>
      </w:r>
      <w:r>
        <w:rPr>
          <w:rFonts w:hint="eastAsia" w:ascii="方正小标宋简体" w:hAnsi="方正小标宋简体" w:eastAsia="方正小标宋简体" w:cs="方正小标宋简体"/>
          <w:snapToGrid/>
          <w:sz w:val="44"/>
          <w:szCs w:val="44"/>
          <w:lang w:val="en-US" w:eastAsia="zh-CN"/>
        </w:rPr>
        <w:t>康巴什</w:t>
      </w:r>
      <w:r>
        <w:rPr>
          <w:rFonts w:hint="eastAsia" w:ascii="方正小标宋简体" w:hAnsi="方正小标宋简体" w:eastAsia="方正小标宋简体" w:cs="方正小标宋简体"/>
          <w:snapToGrid/>
          <w:sz w:val="44"/>
          <w:szCs w:val="44"/>
        </w:rPr>
        <w:t>区2026年分散式风电、分布式光伏开发建设实施方案</w:t>
      </w:r>
    </w:p>
    <w:p w14:paraId="5D00616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napToGrid/>
          <w:sz w:val="44"/>
          <w:szCs w:val="44"/>
        </w:rPr>
      </w:pPr>
    </w:p>
    <w:p w14:paraId="23ABA247">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为加快推进</w:t>
      </w:r>
      <w:r>
        <w:rPr>
          <w:rFonts w:hint="eastAsia" w:ascii="仿宋_GB2312" w:hAnsi="仿宋_GB2312" w:eastAsia="仿宋_GB2312" w:cs="仿宋_GB2312"/>
          <w:sz w:val="32"/>
          <w:szCs w:val="32"/>
          <w:lang w:val="en-US" w:eastAsia="zh-CN"/>
        </w:rPr>
        <w:t>康巴什</w:t>
      </w:r>
      <w:r>
        <w:rPr>
          <w:rFonts w:hint="eastAsia" w:ascii="仿宋_GB2312" w:hAnsi="仿宋_GB2312" w:eastAsia="仿宋_GB2312" w:cs="仿宋_GB2312"/>
          <w:sz w:val="32"/>
          <w:szCs w:val="32"/>
        </w:rPr>
        <w:t>区分散式风电、分布式光伏发电项目建设，依据《国家能源局关于印发〈分布式光伏发电开发建设管理办法〉的通知》(国能发新能规〔2025〕7号)、《内蒙古自治区能源局关于印发〈内蒙古自治区分布式光伏项目开发建设管理实施细则〉的通知》(内能源发〔2025〕5号)、《内蒙古自治区能源局关于全区能源领域简政放权优化程序优化服务的通知》(内能源法改字〔2025〕83号)、《内蒙古自治区能源局关于印发〈内蒙古自治区单一电力用户绿电直连项目开发建设实施方案(试行)〉的通知》(内能源新能发〔2026〕1号，以下简称“绿电直连实施方案”)等要求，结合我区新能源项目建设情况，现就有关事项</w:t>
      </w:r>
      <w:r>
        <w:rPr>
          <w:rFonts w:hint="eastAsia" w:ascii="仿宋_GB2312" w:hAnsi="仿宋_GB2312" w:eastAsia="仿宋_GB2312" w:cs="仿宋_GB2312"/>
          <w:sz w:val="32"/>
          <w:szCs w:val="32"/>
          <w:highlight w:val="none"/>
          <w:u w:val="none"/>
          <w:lang w:eastAsia="zh-CN"/>
        </w:rPr>
        <w:t>制定</w:t>
      </w:r>
      <w:r>
        <w:rPr>
          <w:rFonts w:hint="eastAsia" w:ascii="仿宋_GB2312" w:hAnsi="仿宋_GB2312" w:eastAsia="仿宋_GB2312" w:cs="仿宋_GB2312"/>
          <w:sz w:val="32"/>
          <w:szCs w:val="32"/>
        </w:rPr>
        <w:t>如下实施细则：</w:t>
      </w:r>
    </w:p>
    <w:p w14:paraId="701684EC">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一、开发原则</w:t>
      </w:r>
    </w:p>
    <w:p w14:paraId="13B9D2C6">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(一)总体原则</w:t>
      </w:r>
    </w:p>
    <w:p w14:paraId="699DAC17">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分布式新能源项目开发建设依照“因地制宜、就近接入、就地消纳、安全规范、多元融合”的原则，鼓励与乡村振兴、产业发展、公共服务等领域深度结合。</w:t>
      </w:r>
    </w:p>
    <w:p w14:paraId="2885A5B7">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)接入要求</w:t>
      </w:r>
    </w:p>
    <w:p w14:paraId="1200920B">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布式新能源项目优先支持在接入条件成熟、消纳能力强的区域布局，应以110千伏及以下电压等级接入，不得升压外送，按自愿原则自行灵活配置储能。分散式风电与公共电网连接点电压等级不超过110千伏、总装机容量不超过50兆瓦；自然人户用分布式光伏与公共电网连接点电压等级不超过380伏；非自然人户用分布式光伏与公共电网连接点电压等级不超过10千伏(20千伏)、总装机容量不超过6兆瓦；一般工商业分布式光伏与公共电网连接点电压等级不超过10千伏(20千伏)、总装机容量原则上不超过6兆瓦；大型工商业分布式光伏与公共电网连接点电压等级为35千伏、总装机容量原则上不超过20兆瓦或者与公共电网连接点电压等级为110千伏(66千伏)、总装机容量原则上不超过50兆瓦。</w:t>
      </w:r>
    </w:p>
    <w:p w14:paraId="1AEF8A3A">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)模式选择</w:t>
      </w:r>
    </w:p>
    <w:p w14:paraId="4B77EB6D">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分散式风电可选择全额上网模式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满足《绿电直连实施方案》要求的项自可选择自发自用模式，须依托新增负荷或方案支持的存量负荷建设，上网模式及比例要求按相关政策执行。自然人户用、非自然人户用分布式光伏可选择全额上网、全部自发自用或者自发自用余电上网模式。一般工商业分布式光伏可选择全部自发自用或者自发自用余电上网模式；采用自发自用余电上网的，年自发自用电量占发电量的比例不应低于80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。大型工商业分布式光伏原则上按照国家及自治区相关政策实施。</w:t>
      </w:r>
    </w:p>
    <w:p w14:paraId="1AC4D2B0">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)建设要求</w:t>
      </w:r>
    </w:p>
    <w:p w14:paraId="40BE1257">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分布式光伏项目</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实施前，应对屋顶使用年限、周边环境安全等进行评估，确保安全性和建设可行性。非自然人户用光伏、一般工商业光伏、大型工商业分布式光伏项目在实施前应对屋顶荷载能力进行第三方评估。分散式风电实施前应做好用地预审与选址、环境影响评价、水土保持等方面评估论证，并取得相关支持性文件，确保项目依法合规、安全可行。</w:t>
      </w:r>
    </w:p>
    <w:p w14:paraId="1805A250">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)融合发展</w:t>
      </w:r>
    </w:p>
    <w:p w14:paraId="07BAED84">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采用“零碳(低碳)+”发展模式，分布式新能源项目重点支持零碳(低碳)应用场景的园区、嘎查村、小镇、航铁运输、校园、陆港、矿区等零碳(低碳)项目；重点支持将部分发电收益用于支持乡村振兴的分布式新能源项目。支持村集体、农牧民以多种方式参与分布式新能源项目建设以获得长期稳定的分红收益。</w:t>
      </w:r>
    </w:p>
    <w:p w14:paraId="0BCD65C0">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、申报材料</w:t>
      </w:r>
      <w:r>
        <w:rPr>
          <w:rFonts w:hint="eastAsia" w:ascii="黑体" w:hAnsi="黑体" w:eastAsia="黑体" w:cs="黑体"/>
          <w:sz w:val="32"/>
          <w:szCs w:val="32"/>
          <w:lang w:val="en-US" w:eastAsia="zh-CN"/>
        </w:rPr>
        <w:t>及相关要求</w:t>
      </w:r>
    </w:p>
    <w:p w14:paraId="4610E972">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申报材料内容及要求</w:t>
      </w:r>
    </w:p>
    <w:p w14:paraId="4E5E3402">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1.分散式风电项目</w:t>
      </w:r>
    </w:p>
    <w:p w14:paraId="74F64A38">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3"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企业综合能力：</w:t>
      </w:r>
      <w:r>
        <w:rPr>
          <w:rFonts w:hint="eastAsia" w:ascii="仿宋_GB2312" w:hAnsi="仿宋_GB2312" w:eastAsia="仿宋_GB2312" w:cs="仿宋_GB2312"/>
          <w:sz w:val="32"/>
          <w:szCs w:val="32"/>
          <w:lang w:val="en-US" w:eastAsia="zh-CN"/>
        </w:rPr>
        <w:t>企业应提供身份材料，包括</w:t>
      </w:r>
      <w:r>
        <w:rPr>
          <w:rFonts w:hint="eastAsia" w:ascii="仿宋_GB2312" w:hAnsi="仿宋_GB2312" w:eastAsia="仿宋_GB2312" w:cs="仿宋_GB2312"/>
          <w:sz w:val="32"/>
          <w:szCs w:val="32"/>
        </w:rPr>
        <w:t>申报企业营业执照复印件、法定代表人身份证复印件、法定代表人身份证明等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企业提供已投运并网的风电项目业绩及证明材料，需提供的证明材料包括但不限于：电力业务许可证、并网投产证明或并网通知书等有效文件。</w:t>
      </w:r>
    </w:p>
    <w:p w14:paraId="29D3286D">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3" w:firstLineChars="200"/>
        <w:jc w:val="both"/>
        <w:textAlignment w:val="baseline"/>
        <w:rPr>
          <w:rFonts w:hint="eastAsia" w:eastAsia="仿宋_GB2312"/>
          <w:color w:val="000000" w:themeColor="text1"/>
          <w:kern w:val="0"/>
          <w:szCs w:val="21"/>
          <w:lang w:val="en-US" w:eastAsia="zh-CN"/>
          <w14:textFill>
            <w14:solidFill>
              <w14:schemeClr w14:val="tx1"/>
            </w14:solidFill>
          </w14:textFill>
        </w:rPr>
      </w:pPr>
      <w:r>
        <w:rPr>
          <w:rFonts w:hint="eastAsia" w:ascii="仿宋_GB2312" w:hAnsi="仿宋_GB2312" w:eastAsia="仿宋_GB2312" w:cs="仿宋_GB2312"/>
          <w:b/>
          <w:bCs/>
          <w:sz w:val="32"/>
          <w:szCs w:val="32"/>
          <w:lang w:val="en-US" w:eastAsia="zh-CN"/>
        </w:rPr>
        <w:t>前期工作进展：</w:t>
      </w:r>
      <w:r>
        <w:rPr>
          <w:rFonts w:hint="eastAsia" w:ascii="仿宋_GB2312" w:hAnsi="仿宋_GB2312" w:eastAsia="仿宋_GB2312" w:cs="仿宋_GB2312"/>
          <w:sz w:val="32"/>
          <w:szCs w:val="32"/>
          <w:lang w:val="en-US" w:eastAsia="zh-CN"/>
        </w:rPr>
        <w:t>申报企业提供</w:t>
      </w:r>
      <w:r>
        <w:rPr>
          <w:rFonts w:hint="eastAsia" w:ascii="仿宋_GB2312" w:hAnsi="仿宋_GB2312" w:eastAsia="仿宋_GB2312" w:cs="仿宋_GB2312"/>
          <w:sz w:val="32"/>
          <w:szCs w:val="32"/>
        </w:rPr>
        <w:t>项目申报方案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可行性研究报告、接入系统及消纳分析方案、</w:t>
      </w:r>
      <w:r>
        <w:rPr>
          <w:rFonts w:hint="eastAsia" w:ascii="仿宋_GB2312" w:hAnsi="仿宋_GB2312" w:eastAsia="仿宋_GB2312" w:cs="仿宋_GB2312"/>
          <w:sz w:val="32"/>
          <w:szCs w:val="32"/>
        </w:rPr>
        <w:t>负荷规模及特性分析方案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项目限制性因素排查文件等。项目申报方案中</w:t>
      </w:r>
      <w:r>
        <w:rPr>
          <w:rFonts w:hint="eastAsia" w:ascii="仿宋_GB2312" w:hAnsi="仿宋_GB2312" w:eastAsia="仿宋_GB2312" w:cs="仿宋_GB2312"/>
          <w:sz w:val="32"/>
          <w:szCs w:val="32"/>
        </w:rPr>
        <w:t>主要内容应包括项目名称、投资主体、项目类型、上网模式、建设地点等项目基本信息；所在土地红线范围、用地四至坐标、用地类型</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w:t>
      </w:r>
    </w:p>
    <w:p w14:paraId="30F7E1BB">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区域协调发展：</w:t>
      </w:r>
      <w:r>
        <w:rPr>
          <w:rFonts w:hint="eastAsia" w:ascii="仿宋_GB2312" w:hAnsi="仿宋_GB2312" w:eastAsia="仿宋_GB2312" w:cs="仿宋_GB2312"/>
          <w:sz w:val="32"/>
          <w:szCs w:val="32"/>
          <w:lang w:val="en-US" w:eastAsia="zh-CN"/>
        </w:rPr>
        <w:t>申报企业提供与街道办事处签订的合作协议，未签订正式合作协议的需提交合作方案及书面承诺。重点聚焦申报企业对街道办事处的年平均收益分配规模。</w:t>
      </w:r>
    </w:p>
    <w:p w14:paraId="315B8FA2">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3"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项目准入条件：</w:t>
      </w:r>
      <w:r>
        <w:rPr>
          <w:rFonts w:hint="eastAsia" w:ascii="仿宋_GB2312" w:hAnsi="仿宋_GB2312" w:eastAsia="仿宋_GB2312" w:cs="仿宋_GB2312"/>
          <w:sz w:val="32"/>
          <w:szCs w:val="32"/>
          <w:lang w:val="en-US" w:eastAsia="zh-CN"/>
        </w:rPr>
        <w:t>申报企业提供项目总规模不超过40MW、110千伏及以下电压等级接入、项目申报方案或接入系统及消纳分析报告编制单位有相应资质、未纳入失信企业名单或失信被执行人名单的相关证明材料。不满足上述条件的项目将取消优选资格。</w:t>
      </w:r>
    </w:p>
    <w:p w14:paraId="26F10423">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2.分布式光伏项目</w:t>
      </w:r>
    </w:p>
    <w:p w14:paraId="75855C67">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3"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企业综合能力：</w:t>
      </w:r>
      <w:r>
        <w:rPr>
          <w:rFonts w:hint="eastAsia" w:ascii="仿宋_GB2312" w:hAnsi="仿宋_GB2312" w:eastAsia="仿宋_GB2312" w:cs="仿宋_GB2312"/>
          <w:sz w:val="32"/>
          <w:szCs w:val="32"/>
          <w:lang w:val="en-US" w:eastAsia="zh-CN"/>
        </w:rPr>
        <w:t>企业应提供身份材料，包括</w:t>
      </w:r>
      <w:r>
        <w:rPr>
          <w:rFonts w:hint="eastAsia" w:ascii="仿宋_GB2312" w:hAnsi="仿宋_GB2312" w:eastAsia="仿宋_GB2312" w:cs="仿宋_GB2312"/>
          <w:sz w:val="32"/>
          <w:szCs w:val="32"/>
        </w:rPr>
        <w:t>申报企业营业执照复印件、法定代表人身份证复印件、法定代表人身份证明等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企业提供已投运并网的光伏项目业绩及证明材料，需提供的证明材料包括但不限于：电力业务许可证、并网投产证明或并网通知书等有效文件。</w:t>
      </w:r>
    </w:p>
    <w:p w14:paraId="4AE617D0">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前期工作进展：</w:t>
      </w:r>
      <w:r>
        <w:rPr>
          <w:rFonts w:hint="eastAsia" w:ascii="仿宋_GB2312" w:hAnsi="仿宋_GB2312" w:eastAsia="仿宋_GB2312" w:cs="仿宋_GB2312"/>
          <w:sz w:val="32"/>
          <w:szCs w:val="32"/>
          <w:lang w:val="en-US" w:eastAsia="zh-CN"/>
        </w:rPr>
        <w:t>申报企业提供项目申报方案、可行性研究报告、接入系统及消纳分析方案、消纳负荷证明材料。项目申报方案中</w:t>
      </w:r>
      <w:r>
        <w:rPr>
          <w:rFonts w:hint="eastAsia" w:ascii="仿宋_GB2312" w:hAnsi="仿宋_GB2312" w:eastAsia="仿宋_GB2312" w:cs="仿宋_GB2312"/>
          <w:sz w:val="32"/>
          <w:szCs w:val="32"/>
        </w:rPr>
        <w:t>主要内容应包括项目名称、投资主体、项目类型、上网模式、建设地点等项目基本信息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分布式光伏需提供屋顶荷载能力第三方评估报告等用地基本信息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并明确自我消纳比例。重点支持能够融合零碳(低碳)应用场景的园区、嘎查村、小镇、航铁运输、校园、陆港、矿区等零碳(低碳)项目。</w:t>
      </w:r>
    </w:p>
    <w:p w14:paraId="522A51FA">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3"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项目准入条件：</w:t>
      </w:r>
      <w:r>
        <w:rPr>
          <w:rFonts w:hint="eastAsia" w:ascii="仿宋_GB2312" w:hAnsi="仿宋_GB2312" w:eastAsia="仿宋_GB2312" w:cs="仿宋_GB2312"/>
          <w:sz w:val="32"/>
          <w:szCs w:val="32"/>
          <w:lang w:val="en-US" w:eastAsia="zh-CN"/>
        </w:rPr>
        <w:t>申报企业提供项目年自发自用电量比例不低于80%、根据要求接入对应电压等级以下的用户变、项目申报方案或接入系统及消纳分析报告编制单位有相应资质、光伏项目与的依附建筑物及其附属场所所在同一用地红线、项目自有用地的产权证明或非自有用地的租用协议、未纳入失信企业名单或失信被执行人名单的相关证明材料。不满足上述条件的项目将取消优选资格。</w:t>
      </w:r>
    </w:p>
    <w:p w14:paraId="0A9E0830">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（二）申报材料封装要求</w:t>
      </w:r>
    </w:p>
    <w:p w14:paraId="4271F063">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1.除接入及消纳分析报告外，所有资料文件统一密封在一个收纳箱中，接入及消纳分析报告单独密封在一个收纳盒中。以正式文件上报区发改委，</w:t>
      </w:r>
      <w:r>
        <w:rPr>
          <w:rFonts w:hint="eastAsia" w:ascii="仿宋_GB2312" w:hAnsi="仿宋_GB2312" w:eastAsia="仿宋_GB2312" w:cs="仿宋_GB2312"/>
          <w:spacing w:val="14"/>
          <w:sz w:val="32"/>
          <w:szCs w:val="32"/>
          <w:highlight w:val="none"/>
          <w:lang w:val="en-US" w:eastAsia="zh-CN"/>
        </w:rPr>
        <w:t>格式请自拟，</w:t>
      </w:r>
      <w:r>
        <w:rPr>
          <w:rFonts w:hint="eastAsia" w:ascii="仿宋_GB2312" w:hAnsi="仿宋_GB2312" w:eastAsia="仿宋_GB2312" w:cs="仿宋_GB2312"/>
          <w:sz w:val="32"/>
          <w:szCs w:val="32"/>
          <w:lang w:val="en-US" w:eastAsia="zh-CN"/>
        </w:rPr>
        <w:t>提交资料时单独提供。</w:t>
      </w:r>
    </w:p>
    <w:p w14:paraId="281FE74C">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2.申报企业资料文件递交要求：申报企业以面呈方式送达至指定地点。授权代表需携带本人身份证、法人代表授权书。</w:t>
      </w:r>
    </w:p>
    <w:p w14:paraId="6AF92693">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3.如申报企业未在规定时间内递交文件，资料文件不予接收；所提交的文件不满足上述形式要求的，申报资料文件作废，不予退回。</w:t>
      </w:r>
    </w:p>
    <w:p w14:paraId="66CFBBF1">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、优选流程</w:t>
      </w:r>
    </w:p>
    <w:p w14:paraId="520356D7">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申报流程</w:t>
      </w:r>
    </w:p>
    <w:p w14:paraId="030AF3A1">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企业按照要求编制分散式风电项目、分布式光伏项目申报方案等申报材料(具体材料要求详见附件)。</w:t>
      </w:r>
      <w:r>
        <w:rPr>
          <w:rFonts w:hint="eastAsia" w:ascii="仿宋_GB2312" w:hAnsi="仿宋_GB2312" w:eastAsia="仿宋_GB2312" w:cs="仿宋_GB2312"/>
          <w:sz w:val="32"/>
          <w:szCs w:val="32"/>
          <w:lang w:val="en-US" w:eastAsia="zh-CN"/>
        </w:rPr>
        <w:t>康巴什区发改委</w:t>
      </w:r>
      <w:r>
        <w:rPr>
          <w:rFonts w:hint="eastAsia" w:ascii="仿宋_GB2312" w:hAnsi="仿宋_GB2312" w:eastAsia="仿宋_GB2312" w:cs="仿宋_GB2312"/>
          <w:sz w:val="32"/>
          <w:szCs w:val="32"/>
        </w:rPr>
        <w:t>向电网企业征求申报项目意见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并委托第三方专业机构进行优选评审。根据</w:t>
      </w:r>
      <w:r>
        <w:rPr>
          <w:rFonts w:hint="eastAsia" w:ascii="仿宋_GB2312" w:hAnsi="仿宋_GB2312" w:eastAsia="仿宋_GB2312" w:cs="仿宋_GB2312"/>
          <w:spacing w:val="14"/>
          <w:sz w:val="32"/>
          <w:szCs w:val="32"/>
          <w:lang w:val="en-US" w:eastAsia="zh-CN"/>
        </w:rPr>
        <w:t>下达的年度建设规模及优选评审结果，择优确定优选项目清</w:t>
      </w:r>
      <w:r>
        <w:rPr>
          <w:rFonts w:hint="eastAsia" w:ascii="仿宋_GB2312" w:hAnsi="仿宋_GB2312" w:eastAsia="仿宋_GB2312" w:cs="仿宋_GB2312"/>
          <w:sz w:val="32"/>
          <w:szCs w:val="32"/>
          <w:lang w:val="en-US" w:eastAsia="zh-CN"/>
        </w:rPr>
        <w:t>单并报市能源局复核。未通过优选的项目本期不予安排建设。</w:t>
      </w:r>
    </w:p>
    <w:p w14:paraId="7D9DF08E">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(二)优选工作过程</w:t>
      </w:r>
    </w:p>
    <w:p w14:paraId="3E51F272">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优选工作自企业递交申报文件截止日期后开始。优选工作由专家组在相关监督人员的全程监督下开展，具体分为两个阶段，第一阶段为初步评审，第二阶段为详细评审。</w:t>
      </w:r>
    </w:p>
    <w:p w14:paraId="2E24A366">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en-US"/>
        </w:rPr>
        <w:t>初步评审</w:t>
      </w:r>
    </w:p>
    <w:p w14:paraId="42C8E849">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对申报企业基础资料进行资格性评审，包含企业基本信息、营业执照、项目申报方案、接入及消纳分析报告、项目准入条件等，未提供上述基础资料文件的企业取消优选资格。</w:t>
      </w:r>
    </w:p>
    <w:p w14:paraId="53CCFB98">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lang w:val="en-US" w:eastAsia="en-US"/>
        </w:rPr>
      </w:pPr>
      <w:bookmarkStart w:id="0" w:name="_Toc216086364"/>
      <w:bookmarkEnd w:id="0"/>
      <w:bookmarkStart w:id="1" w:name="_Toc216066566"/>
      <w:bookmarkEnd w:id="1"/>
      <w:bookmarkStart w:id="2" w:name="_Toc216086363"/>
      <w:bookmarkEnd w:id="2"/>
      <w:bookmarkStart w:id="3" w:name="_Toc216066561"/>
      <w:bookmarkEnd w:id="3"/>
      <w:bookmarkStart w:id="4" w:name="_Toc216086362"/>
      <w:bookmarkEnd w:id="4"/>
      <w:bookmarkStart w:id="5" w:name="_Toc216268932"/>
      <w:bookmarkEnd w:id="5"/>
      <w:bookmarkStart w:id="6" w:name="_Toc216066187"/>
      <w:bookmarkEnd w:id="6"/>
      <w:bookmarkStart w:id="7" w:name="_Toc216086358"/>
      <w:bookmarkEnd w:id="7"/>
      <w:bookmarkStart w:id="8" w:name="_Toc216268935"/>
      <w:bookmarkEnd w:id="8"/>
      <w:bookmarkStart w:id="9" w:name="_Toc216066188"/>
      <w:bookmarkEnd w:id="9"/>
      <w:bookmarkStart w:id="10" w:name="_Toc215974683"/>
      <w:bookmarkEnd w:id="10"/>
      <w:bookmarkStart w:id="11" w:name="_Toc216066186"/>
      <w:bookmarkEnd w:id="11"/>
      <w:bookmarkStart w:id="12" w:name="_Toc216066184"/>
      <w:bookmarkEnd w:id="12"/>
      <w:bookmarkStart w:id="13" w:name="_Toc216086361"/>
      <w:bookmarkEnd w:id="13"/>
      <w:bookmarkStart w:id="14" w:name="_Toc216268930"/>
      <w:bookmarkEnd w:id="14"/>
      <w:bookmarkStart w:id="15" w:name="_Toc216268933"/>
      <w:bookmarkEnd w:id="15"/>
      <w:bookmarkStart w:id="16" w:name="_Toc216268934"/>
      <w:bookmarkEnd w:id="16"/>
      <w:bookmarkStart w:id="17" w:name="_Toc216066565"/>
      <w:bookmarkEnd w:id="17"/>
      <w:bookmarkStart w:id="18" w:name="_Toc216268931"/>
      <w:bookmarkEnd w:id="18"/>
      <w:bookmarkStart w:id="19" w:name="_Toc216066564"/>
      <w:bookmarkEnd w:id="19"/>
      <w:bookmarkStart w:id="20" w:name="_Toc216086360"/>
      <w:bookmarkEnd w:id="20"/>
      <w:bookmarkStart w:id="21" w:name="_Toc216066183"/>
      <w:bookmarkEnd w:id="21"/>
      <w:bookmarkStart w:id="22" w:name="_Toc216066182"/>
      <w:bookmarkEnd w:id="22"/>
      <w:bookmarkStart w:id="23" w:name="_Toc216066567"/>
      <w:bookmarkEnd w:id="23"/>
      <w:bookmarkStart w:id="24" w:name="_Toc216086359"/>
      <w:bookmarkEnd w:id="24"/>
      <w:bookmarkStart w:id="25" w:name="_Toc216066563"/>
      <w:bookmarkEnd w:id="25"/>
      <w:bookmarkStart w:id="26" w:name="_Toc216066562"/>
      <w:bookmarkEnd w:id="26"/>
      <w:bookmarkStart w:id="27" w:name="_Toc216268929"/>
      <w:bookmarkEnd w:id="27"/>
      <w:bookmarkStart w:id="28" w:name="_Toc216066185"/>
      <w:bookmarkEnd w:id="28"/>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en-US"/>
        </w:rPr>
        <w:t>详细评审</w:t>
      </w:r>
    </w:p>
    <w:p w14:paraId="79DCEA21">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通过初步评审的申报项目，优选评审将根据企业综合能力、前期工作进展、</w:t>
      </w:r>
      <w:r>
        <w:rPr>
          <w:rFonts w:hint="eastAsia" w:ascii="仿宋_GB2312" w:hAnsi="仿宋_GB2312" w:eastAsia="仿宋_GB2312" w:cs="仿宋_GB2312"/>
          <w:sz w:val="32"/>
          <w:szCs w:val="32"/>
          <w:lang w:val="en-US" w:eastAsia="zh-CN"/>
        </w:rPr>
        <w:t>区域协调发展、多场景融合方面的</w:t>
      </w:r>
      <w:r>
        <w:rPr>
          <w:rFonts w:hint="eastAsia" w:ascii="仿宋_GB2312" w:hAnsi="仿宋_GB2312" w:eastAsia="仿宋_GB2312" w:cs="仿宋_GB2312"/>
          <w:sz w:val="32"/>
          <w:szCs w:val="32"/>
          <w:lang w:val="en-US" w:eastAsia="en-US"/>
        </w:rPr>
        <w:t>情况，进行客观评分并分项目排序。</w:t>
      </w:r>
    </w:p>
    <w:p w14:paraId="310A5BFC">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p>
    <w:sectPr>
      <w:pgSz w:w="12000" w:h="16930"/>
      <w:pgMar w:top="1439" w:right="1565" w:bottom="1213" w:left="1529" w:header="0" w:footer="87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2D237A-83F7-466E-AADF-A632ED6158B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1B8A3A63-751E-48F1-855C-81162F541D2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2E53F3"/>
    <w:multiLevelType w:val="multilevel"/>
    <w:tmpl w:val="742E53F3"/>
    <w:lvl w:ilvl="0" w:tentative="0">
      <w:start w:val="1"/>
      <w:numFmt w:val="chineseCountingThousand"/>
      <w:pStyle w:val="3"/>
      <w:lvlText w:val="%1、"/>
      <w:lvlJc w:val="left"/>
      <w:pPr>
        <w:tabs>
          <w:tab w:val="left" w:pos="680"/>
        </w:tabs>
        <w:ind w:left="680" w:hanging="680"/>
      </w:pPr>
      <w:rPr>
        <w:rFonts w:hint="eastAsia"/>
        <w:sz w:val="30"/>
      </w:rPr>
    </w:lvl>
    <w:lvl w:ilvl="1" w:tentative="0">
      <w:start w:val="1"/>
      <w:numFmt w:val="decimal"/>
      <w:lvlRestart w:val="0"/>
      <w:pStyle w:val="4"/>
      <w:isLgl/>
      <w:lvlText w:val="（%2）"/>
      <w:lvlJc w:val="left"/>
      <w:pPr>
        <w:tabs>
          <w:tab w:val="left" w:pos="964"/>
        </w:tabs>
        <w:ind w:left="964" w:hanging="964"/>
      </w:pPr>
      <w:rPr>
        <w:rFonts w:ascii="Times New Roman" w:hAnsi="Times New Roman" w:cs="Times New Roman" w:eastAsiaTheme="majorEastAsia"/>
        <w:b w:val="0"/>
        <w:i w:val="0"/>
        <w:sz w:val="24"/>
        <w:szCs w:val="24"/>
      </w:rPr>
    </w:lvl>
    <w:lvl w:ilvl="2" w:tentative="0">
      <w:start w:val="1"/>
      <w:numFmt w:val="decimal"/>
      <w:isLgl/>
      <w:lvlText w:val="%2.%3"/>
      <w:lvlJc w:val="left"/>
      <w:pPr>
        <w:tabs>
          <w:tab w:val="left" w:pos="1384"/>
        </w:tabs>
        <w:ind w:left="1384" w:hanging="964"/>
      </w:pPr>
      <w:rPr>
        <w:rFonts w:hint="default" w:ascii="Times New Roman" w:hAnsi="Times New Roman" w:eastAsia="宋体"/>
      </w:rPr>
    </w:lvl>
    <w:lvl w:ilvl="3" w:tentative="0">
      <w:start w:val="1"/>
      <w:numFmt w:val="decimal"/>
      <w:pStyle w:val="5"/>
      <w:lvlText w:val="%2.%3.%4"/>
      <w:lvlJc w:val="left"/>
      <w:pPr>
        <w:tabs>
          <w:tab w:val="left" w:pos="964"/>
        </w:tabs>
        <w:ind w:left="964" w:hanging="964"/>
      </w:pPr>
      <w:rPr>
        <w:rFonts w:hint="default" w:ascii="Times New Roman" w:hAnsi="Times New Roman" w:eastAsia="宋体"/>
        <w:b w:val="0"/>
        <w:i w:val="0"/>
        <w:sz w:val="28"/>
      </w:rPr>
    </w:lvl>
    <w:lvl w:ilvl="4" w:tentative="0">
      <w:start w:val="1"/>
      <w:numFmt w:val="decimal"/>
      <w:lvlText w:val="%2.%3.%4.%5"/>
      <w:lvlJc w:val="left"/>
      <w:pPr>
        <w:tabs>
          <w:tab w:val="left" w:pos="964"/>
        </w:tabs>
        <w:ind w:left="964" w:hanging="964"/>
      </w:pPr>
      <w:rPr>
        <w:rFonts w:hint="eastAsia"/>
      </w:rPr>
    </w:lvl>
    <w:lvl w:ilvl="5" w:tentative="0">
      <w:start w:val="1"/>
      <w:numFmt w:val="decimal"/>
      <w:isLgl/>
      <w:lvlText w:val="%6)"/>
      <w:lvlJc w:val="left"/>
      <w:pPr>
        <w:tabs>
          <w:tab w:val="left" w:pos="964"/>
        </w:tabs>
        <w:ind w:left="964" w:hanging="397"/>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AE2136"/>
    <w:rsid w:val="00FE2D68"/>
    <w:rsid w:val="02480FC0"/>
    <w:rsid w:val="06167753"/>
    <w:rsid w:val="063A6059"/>
    <w:rsid w:val="08BF382E"/>
    <w:rsid w:val="08F31FA8"/>
    <w:rsid w:val="091066B6"/>
    <w:rsid w:val="0D2D7BCF"/>
    <w:rsid w:val="1AA86881"/>
    <w:rsid w:val="1B4C51DF"/>
    <w:rsid w:val="1F311D72"/>
    <w:rsid w:val="1F316F2E"/>
    <w:rsid w:val="1F95570F"/>
    <w:rsid w:val="22372AAE"/>
    <w:rsid w:val="228D6B72"/>
    <w:rsid w:val="23975438"/>
    <w:rsid w:val="26F15921"/>
    <w:rsid w:val="28F37E00"/>
    <w:rsid w:val="29225A8C"/>
    <w:rsid w:val="2BC2085A"/>
    <w:rsid w:val="2DAE2136"/>
    <w:rsid w:val="2DFA2600"/>
    <w:rsid w:val="315C42DF"/>
    <w:rsid w:val="3A8E392E"/>
    <w:rsid w:val="3C567F3D"/>
    <w:rsid w:val="3CDE4A69"/>
    <w:rsid w:val="40C11845"/>
    <w:rsid w:val="422029D0"/>
    <w:rsid w:val="438860B1"/>
    <w:rsid w:val="46F16FC5"/>
    <w:rsid w:val="481B23A6"/>
    <w:rsid w:val="4B3A0FB5"/>
    <w:rsid w:val="4FC3080D"/>
    <w:rsid w:val="512A5C74"/>
    <w:rsid w:val="52122A39"/>
    <w:rsid w:val="53E61793"/>
    <w:rsid w:val="581B5AAA"/>
    <w:rsid w:val="5C063701"/>
    <w:rsid w:val="5CFC1A01"/>
    <w:rsid w:val="673152EA"/>
    <w:rsid w:val="6769130B"/>
    <w:rsid w:val="67D619EE"/>
    <w:rsid w:val="68CA50AF"/>
    <w:rsid w:val="6CF12041"/>
    <w:rsid w:val="6D0C24E6"/>
    <w:rsid w:val="73D56FFD"/>
    <w:rsid w:val="77F43EF6"/>
    <w:rsid w:val="7AA94B13"/>
    <w:rsid w:val="7B533629"/>
    <w:rsid w:val="7BFD7332"/>
    <w:rsid w:val="CFE6ABFB"/>
    <w:rsid w:val="FDEB6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99"/>
    <w:pPr>
      <w:numPr>
        <w:ilvl w:val="0"/>
        <w:numId w:val="1"/>
      </w:numPr>
      <w:spacing w:beforeLines="50" w:afterLines="50" w:line="500" w:lineRule="exact"/>
      <w:jc w:val="left"/>
      <w:outlineLvl w:val="1"/>
    </w:pPr>
    <w:rPr>
      <w:rFonts w:ascii="Times New Roman" w:hAnsi="Times New Roman" w:eastAsia="宋体" w:cs="Times New Roman"/>
      <w:b/>
      <w:bCs/>
      <w:color w:val="000000"/>
      <w:sz w:val="28"/>
      <w:szCs w:val="28"/>
    </w:rPr>
  </w:style>
  <w:style w:type="paragraph" w:styleId="4">
    <w:name w:val="heading 3"/>
    <w:basedOn w:val="1"/>
    <w:next w:val="1"/>
    <w:qFormat/>
    <w:uiPriority w:val="99"/>
    <w:pPr>
      <w:numPr>
        <w:ilvl w:val="1"/>
        <w:numId w:val="1"/>
      </w:numPr>
      <w:tabs>
        <w:tab w:val="left" w:pos="680"/>
        <w:tab w:val="left" w:pos="1389"/>
      </w:tabs>
      <w:spacing w:before="260" w:after="160" w:line="415" w:lineRule="auto"/>
      <w:outlineLvl w:val="2"/>
    </w:pPr>
    <w:rPr>
      <w:rFonts w:ascii="Times New Roman" w:hAnsi="Times New Roman" w:eastAsia="宋体" w:cs="Times New Roman"/>
      <w:color w:val="000000"/>
      <w:sz w:val="28"/>
      <w:szCs w:val="32"/>
    </w:rPr>
  </w:style>
  <w:style w:type="paragraph" w:styleId="5">
    <w:name w:val="heading 5"/>
    <w:basedOn w:val="1"/>
    <w:next w:val="1"/>
    <w:qFormat/>
    <w:uiPriority w:val="99"/>
    <w:pPr>
      <w:numPr>
        <w:ilvl w:val="3"/>
        <w:numId w:val="1"/>
      </w:numPr>
      <w:tabs>
        <w:tab w:val="left" w:pos="680"/>
      </w:tabs>
      <w:spacing w:line="500" w:lineRule="exact"/>
      <w:outlineLvl w:val="4"/>
    </w:pPr>
    <w:rPr>
      <w:rFonts w:ascii="宋体" w:hAnsi="宋体"/>
      <w:kern w:val="0"/>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rPr>
      <w:rFonts w:eastAsia="仿宋"/>
      <w:sz w:val="32"/>
    </w:rPr>
  </w:style>
  <w:style w:type="paragraph" w:styleId="6">
    <w:name w:val="annotation text"/>
    <w:basedOn w:val="1"/>
    <w:qFormat/>
    <w:uiPriority w:val="0"/>
    <w:pPr>
      <w:jc w:val="left"/>
    </w:pPr>
  </w:style>
  <w:style w:type="paragraph" w:styleId="7">
    <w:name w:val="Body Text"/>
    <w:basedOn w:val="1"/>
    <w:semiHidden/>
    <w:qFormat/>
    <w:uiPriority w:val="0"/>
    <w:rPr>
      <w:rFonts w:ascii="仿宋" w:hAnsi="仿宋" w:eastAsia="仿宋" w:cs="仿宋"/>
      <w:sz w:val="32"/>
      <w:szCs w:val="32"/>
      <w:lang w:val="en-US" w:eastAsia="en-US"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2">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2777</Words>
  <Characters>2830</Characters>
  <Lines>0</Lines>
  <Paragraphs>0</Paragraphs>
  <TotalTime>16</TotalTime>
  <ScaleCrop>false</ScaleCrop>
  <LinksUpToDate>false</LinksUpToDate>
  <CharactersWithSpaces>2830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2026-06-02T18:18:00Z</dcterms:created>
  <dc:creator>扬刀立马</dc:creator>
  <cp:lastModifiedBy>一天</cp:lastModifiedBy>
  <cp:lastPrinted>2026-07-20T06:54:00Z</cp:lastPrinted>
  <dcterms:modified xsi:type="dcterms:W3CDTF">2026-07-20T07:16:57Z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5BF50EE985C847088B8A76449B1ACFB7_13</vt:lpwstr>
  </property>
  <property fmtid="{D5CDD505-2E9C-101B-9397-08002B2CF9AE}" pid="4" name="KSOTemplateDocerSaveRecord">
    <vt:lpwstr>eyJoZGlkIjoiZmI2NWQxZjMxODE3YjdmZmI1YTFlNGNmNmY2OGRkZjUiLCJ1c2VySWQiOiI0MzczNzA3MTQifQ==</vt:lpwstr>
  </property>
</Properties>
</file>