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康巴什区居家社区养老服务实施方案</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(征求意见稿）</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进一步提升居家社区养老服务的规范化、专业化水平，推进居家社区养老服务高质量发展，促进市民福祉中心建设，提升老年人的生活幸福指数，根据《关于加强社区养老服务设施规划建设的通知》（内民政发〔</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75号</w:t>
      </w:r>
      <w:r>
        <w:rPr>
          <w:rFonts w:hint="eastAsia" w:ascii="仿宋_GB2312" w:hAnsi="仿宋_GB2312" w:eastAsia="仿宋_GB2312" w:cs="仿宋_GB2312"/>
          <w:sz w:val="32"/>
          <w:szCs w:val="32"/>
          <w:lang w:eastAsia="zh-CN"/>
        </w:rPr>
        <w:t>）、《鄂尔多斯市民政局</w:t>
      </w:r>
      <w:r>
        <w:rPr>
          <w:rFonts w:hint="eastAsia" w:ascii="仿宋_GB2312" w:hAnsi="仿宋_GB2312" w:eastAsia="仿宋_GB2312" w:cs="仿宋_GB2312"/>
          <w:sz w:val="32"/>
          <w:szCs w:val="32"/>
          <w:lang w:val="en-US" w:eastAsia="zh-CN"/>
        </w:rPr>
        <w:t xml:space="preserve"> 鄂尔多斯市财政局关于印发鄂尔多斯市政府购买居家社区养老服务制度的通知</w:t>
      </w:r>
      <w:r>
        <w:rPr>
          <w:rFonts w:hint="eastAsia" w:ascii="仿宋_GB2312" w:hAnsi="仿宋_GB2312" w:eastAsia="仿宋_GB2312" w:cs="仿宋_GB2312"/>
          <w:sz w:val="32"/>
          <w:szCs w:val="32"/>
          <w:lang w:eastAsia="zh-CN"/>
        </w:rPr>
        <w:t>》（鄂民发〔2021〕</w:t>
      </w:r>
      <w:r>
        <w:rPr>
          <w:rFonts w:hint="eastAsia" w:ascii="仿宋_GB2312" w:hAnsi="仿宋_GB2312" w:eastAsia="仿宋_GB2312" w:cs="仿宋_GB2312"/>
          <w:sz w:val="32"/>
          <w:szCs w:val="32"/>
          <w:lang w:val="en-US" w:eastAsia="zh-CN"/>
        </w:rPr>
        <w:t>103</w:t>
      </w:r>
      <w:r>
        <w:rPr>
          <w:rFonts w:hint="eastAsia" w:ascii="仿宋_GB2312" w:hAnsi="仿宋_GB2312" w:eastAsia="仿宋_GB2312" w:cs="仿宋_GB2312"/>
          <w:sz w:val="32"/>
          <w:szCs w:val="32"/>
          <w:lang w:eastAsia="zh-CN"/>
        </w:rPr>
        <w:t>号）、《鄂尔多斯市民政局</w:t>
      </w:r>
      <w:r>
        <w:rPr>
          <w:rFonts w:hint="eastAsia" w:ascii="仿宋_GB2312" w:hAnsi="仿宋_GB2312" w:eastAsia="仿宋_GB2312" w:cs="仿宋_GB2312"/>
          <w:sz w:val="32"/>
          <w:szCs w:val="32"/>
          <w:lang w:val="en-US" w:eastAsia="zh-CN"/>
        </w:rPr>
        <w:t xml:space="preserve"> 鄂尔多斯市财政局关于印发鄂尔多斯市居家社区养老服务发展奖补制度的通知</w:t>
      </w:r>
      <w:r>
        <w:rPr>
          <w:rFonts w:hint="eastAsia" w:ascii="仿宋_GB2312" w:hAnsi="仿宋_GB2312" w:eastAsia="仿宋_GB2312" w:cs="仿宋_GB2312"/>
          <w:sz w:val="32"/>
          <w:szCs w:val="32"/>
          <w:lang w:eastAsia="zh-CN"/>
        </w:rPr>
        <w:t>》（鄂民发〔2021〕</w:t>
      </w:r>
      <w:r>
        <w:rPr>
          <w:rFonts w:hint="eastAsia" w:ascii="仿宋_GB2312" w:hAnsi="仿宋_GB2312" w:eastAsia="仿宋_GB2312" w:cs="仿宋_GB2312"/>
          <w:sz w:val="32"/>
          <w:szCs w:val="32"/>
          <w:lang w:val="en-US" w:eastAsia="zh-CN"/>
        </w:rPr>
        <w:t>103</w:t>
      </w:r>
      <w:r>
        <w:rPr>
          <w:rFonts w:hint="eastAsia" w:ascii="仿宋_GB2312" w:hAnsi="仿宋_GB2312" w:eastAsia="仿宋_GB2312" w:cs="仿宋_GB2312"/>
          <w:sz w:val="32"/>
          <w:szCs w:val="32"/>
          <w:lang w:eastAsia="zh-CN"/>
        </w:rPr>
        <w:t>号）文件要求，结合实际，制定本实施方案。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总体目标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通过政府向社会力量购买服务的方式，建立居家社区养老服务站点运营补贴机制，规范各养老服务站点运营管理，培育和扶持居家社区养老服务机构发展，撬动银发经济市场活力，提升居家社区养老服务质量。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二、服务内容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服务内容包括</w:t>
      </w:r>
      <w:r>
        <w:rPr>
          <w:rFonts w:hint="default" w:ascii="仿宋" w:hAnsi="仿宋" w:eastAsia="仿宋" w:cs="仿宋"/>
          <w:sz w:val="32"/>
          <w:szCs w:val="32"/>
          <w:lang w:val="en-US" w:eastAsia="zh-CN"/>
        </w:rPr>
        <w:t>生活照料</w:t>
      </w:r>
      <w:r>
        <w:rPr>
          <w:rFonts w:hint="eastAsia" w:ascii="仿宋" w:hAnsi="仿宋" w:eastAsia="仿宋" w:cs="仿宋"/>
          <w:sz w:val="32"/>
          <w:szCs w:val="32"/>
          <w:lang w:val="en-US" w:eastAsia="zh-CN"/>
        </w:rPr>
        <w:t>服务、</w:t>
      </w:r>
      <w:r>
        <w:rPr>
          <w:rFonts w:hint="default" w:ascii="仿宋" w:hAnsi="仿宋" w:eastAsia="仿宋" w:cs="仿宋"/>
          <w:sz w:val="32"/>
          <w:szCs w:val="32"/>
          <w:lang w:val="en-US" w:eastAsia="zh-CN"/>
        </w:rPr>
        <w:t>家政</w:t>
      </w:r>
      <w:r>
        <w:rPr>
          <w:rFonts w:hint="eastAsia" w:ascii="仿宋" w:hAnsi="仿宋" w:eastAsia="仿宋" w:cs="仿宋"/>
          <w:sz w:val="32"/>
          <w:szCs w:val="32"/>
          <w:lang w:val="en-US" w:eastAsia="zh-CN"/>
        </w:rPr>
        <w:t>服务、</w:t>
      </w:r>
      <w:r>
        <w:rPr>
          <w:rFonts w:hint="default" w:ascii="仿宋" w:hAnsi="仿宋" w:eastAsia="仿宋" w:cs="仿宋"/>
          <w:sz w:val="32"/>
          <w:szCs w:val="32"/>
          <w:lang w:val="en-US" w:eastAsia="zh-CN"/>
        </w:rPr>
        <w:t>精神慰藉</w:t>
      </w:r>
      <w:r>
        <w:rPr>
          <w:rFonts w:hint="eastAsia" w:ascii="仿宋" w:hAnsi="仿宋" w:eastAsia="仿宋" w:cs="仿宋"/>
          <w:sz w:val="32"/>
          <w:szCs w:val="32"/>
          <w:lang w:val="en-US" w:eastAsia="zh-CN"/>
        </w:rPr>
        <w:t>服务、</w:t>
      </w:r>
      <w:r>
        <w:rPr>
          <w:rFonts w:hint="eastAsia" w:ascii="仿宋" w:hAnsi="仿宋" w:eastAsia="仿宋"/>
          <w:sz w:val="32"/>
          <w:szCs w:val="32"/>
        </w:rPr>
        <w:t>医疗保健</w:t>
      </w:r>
      <w:r>
        <w:rPr>
          <w:rFonts w:hint="eastAsia" w:ascii="仿宋" w:hAnsi="仿宋" w:eastAsia="仿宋"/>
          <w:sz w:val="32"/>
          <w:szCs w:val="32"/>
          <w:lang w:eastAsia="zh-CN"/>
        </w:rPr>
        <w:t>服务、文化娱乐服务等</w:t>
      </w:r>
      <w:r>
        <w:rPr>
          <w:rFonts w:hint="default" w:ascii="仿宋" w:hAnsi="仿宋" w:eastAsia="仿宋" w:cs="仿宋"/>
          <w:sz w:val="32"/>
          <w:szCs w:val="32"/>
          <w:lang w:val="en-US" w:eastAsia="zh-CN"/>
        </w:rPr>
        <w:t>方面</w:t>
      </w:r>
      <w:r>
        <w:rPr>
          <w:rFonts w:hint="eastAsia" w:ascii="仿宋" w:hAnsi="仿宋" w:eastAsia="仿宋" w:cs="仿宋"/>
          <w:sz w:val="32"/>
          <w:szCs w:val="32"/>
          <w:lang w:val="en-US" w:eastAsia="zh-CN"/>
        </w:rPr>
        <w:t>，有餐厅的养老服务站点需为老人提供助餐服务，没有餐厅的养老服务站点可以为有助餐需求的老人通过送餐、上门帮厨等多种方式方式提供助餐服务。除要求提供的服务内容外，各养老服务站点可以创新开拓服务内容，满足老年人的养老需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三、补贴对象及补贴标准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（一）在康巴什区居住的鄂尔多斯市户籍的60周岁及以上老年人均可以享受助餐补贴。</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60周岁以上低保、特困、重病、重残老年人和百岁老人：早餐3元；午餐8元；晚餐6元。</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60-79周岁老人：早餐2元；午餐3元；晚餐2元。</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sz w:val="32"/>
          <w:szCs w:val="32"/>
          <w:lang w:val="en-US" w:eastAsia="zh-CN"/>
        </w:rPr>
      </w:pPr>
      <w:r>
        <w:rPr>
          <w:rFonts w:hint="eastAsia" w:ascii="仿宋_GB2312" w:hAnsi="仿宋_GB2312" w:eastAsia="仿宋_GB2312" w:cs="仿宋_GB2312"/>
          <w:b w:val="0"/>
          <w:bCs/>
          <w:sz w:val="32"/>
          <w:szCs w:val="32"/>
          <w:lang w:val="en-US" w:eastAsia="zh-CN"/>
        </w:rPr>
        <w:t>80-99周岁老人：早餐2元；午餐6元；晚餐4元。</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320" w:firstLineChars="100"/>
        <w:textAlignment w:val="auto"/>
        <w:rPr>
          <w:rFonts w:hint="default"/>
          <w:lang w:val="en-US" w:eastAsia="zh-CN"/>
        </w:rPr>
      </w:pPr>
      <w:r>
        <w:rPr>
          <w:rFonts w:hint="eastAsia" w:ascii="仿宋" w:hAnsi="仿宋" w:eastAsia="仿宋" w:cs="仿宋"/>
          <w:b w:val="0"/>
          <w:bCs/>
          <w:sz w:val="32"/>
          <w:szCs w:val="32"/>
          <w:lang w:val="en-US" w:eastAsia="zh-CN"/>
        </w:rPr>
        <w:t>（二）在康巴什区居住的鄂尔多斯市户籍70周岁以上无固定收入的老年人享受每月物质积分的发放，用于定点居家社区养老服务机构购买养老服务使用，每月底清零。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70-74周岁：每人每月发放5000物质积分。</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75-79周岁：每人每月发放10000物质积分。</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b w:val="0"/>
          <w:bCs w:val="0"/>
          <w:sz w:val="32"/>
          <w:szCs w:val="32"/>
          <w:lang w:val="en-US" w:eastAsia="zh-CN"/>
        </w:rPr>
        <w:t>80周岁以上：每人每月发放15000物质积分。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四、设施建设和运营管理</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仿宋_GB2312" w:hAnsi="仿宋_GB2312" w:eastAsia="仿宋_GB2312" w:cs="仿宋_GB2312"/>
          <w:b w:val="0"/>
          <w:bCs/>
          <w:color w:val="0000FF"/>
          <w:sz w:val="32"/>
          <w:szCs w:val="32"/>
          <w:lang w:val="en-US" w:eastAsia="zh-CN"/>
        </w:rPr>
      </w:pPr>
      <w:r>
        <w:rPr>
          <w:rFonts w:hint="eastAsia" w:ascii="仿宋_GB2312" w:hAnsi="仿宋_GB2312" w:eastAsia="仿宋_GB2312" w:cs="仿宋_GB2312"/>
          <w:b w:val="0"/>
          <w:bCs/>
          <w:sz w:val="32"/>
          <w:szCs w:val="32"/>
          <w:lang w:val="en-US" w:eastAsia="zh-CN"/>
        </w:rPr>
        <w:t>（一）设施建设</w:t>
      </w:r>
      <w:r>
        <w:rPr>
          <w:rFonts w:hint="eastAsia" w:ascii="仿宋_GB2312" w:hAnsi="仿宋_GB2312" w:cs="仿宋_GB2312"/>
          <w:b w:val="0"/>
          <w:bCs/>
          <w:sz w:val="32"/>
          <w:szCs w:val="32"/>
          <w:lang w:val="en-US" w:eastAsia="zh-CN"/>
        </w:rPr>
        <w:t>：由各街道统筹整合辖区的阵地，可以采取与现有的阵地进行合建，或者新建的方式进行为老服务设施的建设</w:t>
      </w:r>
      <w:r>
        <w:rPr>
          <w:rFonts w:hint="eastAsia" w:ascii="仿宋_GB2312" w:hAnsi="仿宋_GB2312" w:cs="仿宋_GB2312"/>
          <w:b w:val="0"/>
          <w:bCs/>
          <w:color w:val="auto"/>
          <w:sz w:val="32"/>
          <w:szCs w:val="32"/>
          <w:lang w:val="en-US" w:eastAsia="zh-CN"/>
        </w:rPr>
        <w:t>。区民政局负责区级为老服务智慧调度中心的建设</w:t>
      </w:r>
      <w:r>
        <w:rPr>
          <w:rFonts w:hint="eastAsia" w:ascii="仿宋_GB2312" w:hAnsi="仿宋_GB2312" w:cs="仿宋_GB2312"/>
          <w:b w:val="0"/>
          <w:bCs/>
          <w:color w:val="0000FF"/>
          <w:sz w:val="32"/>
          <w:szCs w:val="32"/>
          <w:lang w:val="en-US"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（二）设施运营及管理：为老服务中心的设施设备纳入各相应街道固定资产管理，并与委托运营的承接方按照合同约定签订资产移交使用名录，形成固定资产管理台账。</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区民政局负责委托第三方运营全区的养老服务站点和助餐点，制定考核标准，进行日常行业监管，依据考核结果发放运营和助餐补贴。</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b w:val="0"/>
          <w:bCs/>
          <w:sz w:val="32"/>
          <w:szCs w:val="32"/>
          <w:lang w:val="en-US" w:eastAsia="zh-CN"/>
        </w:rPr>
        <w:t>第三方配合街道做好设施设备的管理和维护</w:t>
      </w:r>
      <w:r>
        <w:rPr>
          <w:rFonts w:hint="eastAsia" w:ascii="仿宋_GB2312" w:hAnsi="仿宋_GB2312" w:eastAsia="仿宋_GB2312" w:cs="仿宋_GB2312"/>
          <w:b w:val="0"/>
          <w:bCs/>
          <w:color w:val="auto"/>
          <w:sz w:val="32"/>
          <w:szCs w:val="32"/>
          <w:lang w:val="en-US" w:eastAsia="zh-CN"/>
        </w:rPr>
        <w:t>，承担场所运营期间的水电气暖等费用，助餐点要按照助餐补</w:t>
      </w:r>
      <w:r>
        <w:rPr>
          <w:rFonts w:hint="eastAsia" w:ascii="仿宋_GB2312" w:hAnsi="仿宋_GB2312" w:eastAsia="仿宋_GB2312" w:cs="仿宋_GB2312"/>
          <w:b w:val="0"/>
          <w:bCs/>
          <w:sz w:val="32"/>
          <w:szCs w:val="32"/>
          <w:lang w:val="en-US" w:eastAsia="zh-CN"/>
        </w:rPr>
        <w:t>贴标准保障特殊人群的用餐，同时可以向社会开放。第三方机构可以承接街道的其他服务内容。鼓励从事家政服务、餐饮配送、物业企业、信息技术等品牌化、连锁化、规模化的社会组织或企业管理运营居家和社区养老服务设施，承接居家和社区养老服务。</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黑体" w:hAnsi="黑体" w:eastAsia="黑体" w:cs="黑体"/>
          <w:b w:val="0"/>
          <w:bCs/>
          <w:lang w:val="en-US" w:eastAsia="zh-CN"/>
        </w:rPr>
      </w:pPr>
      <w:r>
        <w:rPr>
          <w:rFonts w:hint="eastAsia" w:ascii="黑体" w:hAnsi="黑体" w:eastAsia="黑体" w:cs="黑体"/>
          <w:b w:val="0"/>
          <w:bCs/>
          <w:sz w:val="32"/>
          <w:szCs w:val="32"/>
          <w:lang w:val="en-US" w:eastAsia="zh-CN"/>
        </w:rPr>
        <w:t>五、保障措施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制度保障。成立康巴什区居家社区养老服务工作领导小组，定期召开会议调度工作中存在的问题，明确相关部门的职责，统筹推进全区居家社区为老服务工作。居家社区为老服务工作为市对旗区考核重要指标，我区将此项工作纳入区政府对各部门的考核内容，切实推进此项工作开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（二）资金保障</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性的养老服务中心每年给与20-30万元补贴，助餐点给予10-20万元补贴。区民政局制定相应的考核方案，根据考核结果给予发放补贴。登记为民办非企业运营居家社区养老服务站点的社会组织，用水、用电、用气、用热享受居民价格优惠。鼓励各个街道向承接为老服务的第三方购买相关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（三）考核监督。</w:t>
      </w:r>
      <w:r>
        <w:rPr>
          <w:rFonts w:hint="default" w:ascii="仿宋" w:hAnsi="仿宋" w:eastAsia="仿宋" w:cs="仿宋"/>
          <w:sz w:val="32"/>
          <w:szCs w:val="32"/>
          <w:lang w:val="en-US" w:eastAsia="zh-CN"/>
        </w:rPr>
        <w:t>建立健全居家养老服务实体评估机制。项目评估坚持过程与结果评估、短期效果与长远效果评估、社会效益与经济效益评估相结合，确保评估全面、客观和科学。民政部门</w:t>
      </w:r>
      <w:r>
        <w:rPr>
          <w:rFonts w:hint="eastAsia" w:ascii="仿宋" w:hAnsi="仿宋" w:eastAsia="仿宋" w:cs="仿宋"/>
          <w:sz w:val="32"/>
          <w:szCs w:val="32"/>
          <w:lang w:val="en-US" w:eastAsia="zh-CN"/>
        </w:rPr>
        <w:t>每年</w:t>
      </w:r>
      <w:r>
        <w:rPr>
          <w:rFonts w:hint="default" w:ascii="仿宋" w:hAnsi="仿宋" w:eastAsia="仿宋" w:cs="仿宋"/>
          <w:sz w:val="32"/>
          <w:szCs w:val="32"/>
          <w:lang w:val="en-US" w:eastAsia="zh-CN"/>
        </w:rPr>
        <w:t>组织专人或第三方对居家养老服务实体的财务运行、服务质量予以监督考评。评估内容包括项目资金规范性使用和专业服务质量评估，评估结果作为年度编制政府购买居家养老服务预算安排及选择承接主体的重要依据。</w:t>
      </w:r>
    </w:p>
    <w:p>
      <w:pPr>
        <w:pStyle w:val="2"/>
        <w:rPr>
          <w:rFonts w:hint="default" w:ascii="仿宋" w:hAnsi="仿宋" w:eastAsia="仿宋" w:cs="仿宋"/>
          <w:sz w:val="32"/>
          <w:szCs w:val="32"/>
          <w:lang w:val="en-US" w:eastAsia="zh-CN"/>
        </w:rPr>
      </w:pPr>
    </w:p>
    <w:p>
      <w:pPr>
        <w:pStyle w:val="3"/>
        <w:rPr>
          <w:rFonts w:hint="default"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pStyle w:val="3"/>
        <w:rPr>
          <w:rFonts w:hint="eastAsia" w:ascii="仿宋" w:hAnsi="仿宋" w:eastAsia="仿宋" w:cs="仿宋"/>
          <w:b w:val="0"/>
          <w:bCs/>
          <w:sz w:val="32"/>
          <w:szCs w:val="32"/>
          <w:lang w:val="en-US" w:eastAsia="zh-CN"/>
        </w:rPr>
      </w:pPr>
    </w:p>
    <w:p>
      <w:pPr>
        <w:pStyle w:val="3"/>
        <w:rPr>
          <w:rFonts w:hint="eastAsia" w:ascii="仿宋" w:hAnsi="仿宋" w:eastAsia="仿宋" w:cs="仿宋"/>
          <w:b w:val="0"/>
          <w:bCs/>
          <w:sz w:val="32"/>
          <w:szCs w:val="32"/>
          <w:lang w:val="en-US" w:eastAsia="zh-CN"/>
        </w:rPr>
      </w:pPr>
    </w:p>
    <w:p>
      <w:pPr>
        <w:pStyle w:val="3"/>
        <w:rPr>
          <w:rFonts w:hint="eastAsia" w:ascii="仿宋" w:hAnsi="仿宋" w:eastAsia="仿宋" w:cs="仿宋"/>
          <w:b w:val="0"/>
          <w:bCs/>
          <w:sz w:val="32"/>
          <w:szCs w:val="32"/>
          <w:lang w:val="en-US" w:eastAsia="zh-CN"/>
        </w:rPr>
      </w:pPr>
    </w:p>
    <w:p>
      <w:pPr>
        <w:pStyle w:val="3"/>
        <w:rPr>
          <w:rFonts w:hint="eastAsia" w:ascii="仿宋" w:hAnsi="仿宋" w:eastAsia="仿宋" w:cs="仿宋"/>
          <w:b w:val="0"/>
          <w:bCs/>
          <w:sz w:val="32"/>
          <w:szCs w:val="32"/>
          <w:lang w:val="en-US" w:eastAsia="zh-CN"/>
        </w:rPr>
      </w:pPr>
    </w:p>
    <w:p>
      <w:pPr>
        <w:pStyle w:val="3"/>
        <w:rPr>
          <w:rFonts w:hint="eastAsia" w:ascii="仿宋" w:hAnsi="仿宋" w:eastAsia="仿宋" w:cs="仿宋"/>
          <w:b w:val="0"/>
          <w:bCs/>
          <w:sz w:val="32"/>
          <w:szCs w:val="32"/>
          <w:lang w:val="en-US" w:eastAsia="zh-CN"/>
        </w:rPr>
      </w:pPr>
    </w:p>
    <w:p>
      <w:pPr>
        <w:pStyle w:val="3"/>
        <w:rPr>
          <w:rFonts w:hint="eastAsia" w:ascii="仿宋" w:hAnsi="仿宋" w:eastAsia="仿宋" w:cs="仿宋"/>
          <w:b w:val="0"/>
          <w:bCs/>
          <w:sz w:val="32"/>
          <w:szCs w:val="32"/>
          <w:lang w:val="en-US" w:eastAsia="zh-CN"/>
        </w:rPr>
      </w:pPr>
    </w:p>
    <w:p>
      <w:pPr>
        <w:pStyle w:val="3"/>
        <w:rPr>
          <w:rFonts w:hint="eastAsia" w:ascii="仿宋" w:hAnsi="仿宋" w:eastAsia="仿宋" w:cs="仿宋"/>
          <w:b w:val="0"/>
          <w:bCs/>
          <w:sz w:val="32"/>
          <w:szCs w:val="32"/>
          <w:lang w:val="en-US" w:eastAsia="zh-CN"/>
        </w:rPr>
      </w:pPr>
    </w:p>
    <w:p>
      <w:pPr>
        <w:pStyle w:val="3"/>
        <w:rPr>
          <w:rFonts w:hint="eastAsia" w:ascii="仿宋" w:hAnsi="仿宋" w:eastAsia="仿宋" w:cs="仿宋"/>
          <w:b w:val="0"/>
          <w:bCs/>
          <w:sz w:val="32"/>
          <w:szCs w:val="32"/>
          <w:lang w:val="en-US" w:eastAsia="zh-CN"/>
        </w:rPr>
      </w:pPr>
    </w:p>
    <w:p>
      <w:pPr>
        <w:keepNext w:val="0"/>
        <w:keepLines w:val="0"/>
        <w:pageBreakBefore w:val="0"/>
        <w:widowControl w:val="0"/>
        <w:tabs>
          <w:tab w:val="left" w:pos="876"/>
        </w:tabs>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tabs>
          <w:tab w:val="left" w:pos="876"/>
        </w:tabs>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70周岁以上鄂尔多斯市户籍无固定收入</w:t>
      </w:r>
    </w:p>
    <w:p>
      <w:pPr>
        <w:keepNext w:val="0"/>
        <w:keepLines w:val="0"/>
        <w:pageBreakBefore w:val="0"/>
        <w:widowControl w:val="0"/>
        <w:tabs>
          <w:tab w:val="left" w:pos="876"/>
        </w:tabs>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常住老年人统计表</w:t>
      </w:r>
    </w:p>
    <w:p>
      <w:pPr>
        <w:keepNext w:val="0"/>
        <w:keepLines w:val="0"/>
        <w:pageBreakBefore w:val="0"/>
        <w:widowControl w:val="0"/>
        <w:tabs>
          <w:tab w:val="left" w:pos="5121"/>
        </w:tabs>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default" w:ascii="仿宋_GB2312" w:hAnsi="仿宋_GB2312" w:eastAsia="仿宋_GB2312" w:cs="仿宋_GB2312"/>
          <w:sz w:val="44"/>
          <w:szCs w:val="44"/>
          <w:lang w:val="en-US" w:eastAsia="zh-CN"/>
        </w:rPr>
      </w:pP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3"/>
        <w:gridCol w:w="2086"/>
        <w:gridCol w:w="1805"/>
        <w:gridCol w:w="2219"/>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138" w:type="pct"/>
            <w:vMerge w:val="restart"/>
            <w:noWrap w:val="0"/>
            <w:vAlign w:val="center"/>
          </w:tcPr>
          <w:p>
            <w:pPr>
              <w:keepNext w:val="0"/>
              <w:keepLines w:val="0"/>
              <w:pageBreakBefore w:val="0"/>
              <w:widowControl w:val="0"/>
              <w:tabs>
                <w:tab w:val="left" w:pos="5121"/>
              </w:tabs>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街道名称</w:t>
            </w:r>
          </w:p>
        </w:tc>
        <w:tc>
          <w:tcPr>
            <w:tcW w:w="3371" w:type="pct"/>
            <w:gridSpan w:val="3"/>
            <w:noWrap w:val="0"/>
            <w:vAlign w:val="center"/>
          </w:tcPr>
          <w:p>
            <w:pPr>
              <w:keepNext w:val="0"/>
              <w:keepLines w:val="0"/>
              <w:pageBreakBefore w:val="0"/>
              <w:widowControl w:val="0"/>
              <w:tabs>
                <w:tab w:val="left" w:pos="5121"/>
              </w:tabs>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年龄段人数</w:t>
            </w:r>
          </w:p>
        </w:tc>
        <w:tc>
          <w:tcPr>
            <w:tcW w:w="489" w:type="pct"/>
            <w:vMerge w:val="restart"/>
            <w:noWrap w:val="0"/>
            <w:vAlign w:val="center"/>
          </w:tcPr>
          <w:p>
            <w:pPr>
              <w:keepNext w:val="0"/>
              <w:keepLines w:val="0"/>
              <w:pageBreakBefore w:val="0"/>
              <w:widowControl w:val="0"/>
              <w:tabs>
                <w:tab w:val="left" w:pos="5121"/>
              </w:tabs>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138" w:type="pct"/>
            <w:vMerge w:val="continue"/>
            <w:noWrap w:val="0"/>
            <w:vAlign w:val="center"/>
          </w:tcPr>
          <w:p>
            <w:pPr>
              <w:keepNext w:val="0"/>
              <w:keepLines w:val="0"/>
              <w:pageBreakBefore w:val="0"/>
              <w:widowControl w:val="0"/>
              <w:tabs>
                <w:tab w:val="left" w:pos="5121"/>
              </w:tabs>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sz w:val="24"/>
                <w:szCs w:val="24"/>
              </w:rPr>
            </w:pPr>
          </w:p>
        </w:tc>
        <w:tc>
          <w:tcPr>
            <w:tcW w:w="1151" w:type="pct"/>
            <w:noWrap w:val="0"/>
            <w:vAlign w:val="center"/>
          </w:tcPr>
          <w:p>
            <w:pPr>
              <w:keepNext w:val="0"/>
              <w:keepLines w:val="0"/>
              <w:pageBreakBefore w:val="0"/>
              <w:widowControl w:val="0"/>
              <w:tabs>
                <w:tab w:val="left" w:pos="5121"/>
              </w:tabs>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70-74周岁</w:t>
            </w:r>
          </w:p>
        </w:tc>
        <w:tc>
          <w:tcPr>
            <w:tcW w:w="996" w:type="pct"/>
            <w:noWrap w:val="0"/>
            <w:vAlign w:val="center"/>
          </w:tcPr>
          <w:p>
            <w:pPr>
              <w:keepNext w:val="0"/>
              <w:keepLines w:val="0"/>
              <w:pageBreakBefore w:val="0"/>
              <w:widowControl w:val="0"/>
              <w:tabs>
                <w:tab w:val="left" w:pos="5121"/>
              </w:tabs>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75-79周岁</w:t>
            </w:r>
          </w:p>
        </w:tc>
        <w:tc>
          <w:tcPr>
            <w:tcW w:w="1224" w:type="pct"/>
            <w:noWrap w:val="0"/>
            <w:vAlign w:val="center"/>
          </w:tcPr>
          <w:p>
            <w:pPr>
              <w:keepNext w:val="0"/>
              <w:keepLines w:val="0"/>
              <w:pageBreakBefore w:val="0"/>
              <w:widowControl w:val="0"/>
              <w:tabs>
                <w:tab w:val="left" w:pos="5121"/>
              </w:tabs>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80周岁及以上</w:t>
            </w:r>
          </w:p>
        </w:tc>
        <w:tc>
          <w:tcPr>
            <w:tcW w:w="489" w:type="pct"/>
            <w:vMerge w:val="continue"/>
            <w:noWrap w:val="0"/>
            <w:vAlign w:val="center"/>
          </w:tcPr>
          <w:p>
            <w:pPr>
              <w:keepNext w:val="0"/>
              <w:keepLines w:val="0"/>
              <w:pageBreakBefore w:val="0"/>
              <w:widowControl w:val="0"/>
              <w:tabs>
                <w:tab w:val="left" w:pos="5121"/>
              </w:tabs>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pct"/>
            <w:noWrap w:val="0"/>
            <w:vAlign w:val="center"/>
          </w:tcPr>
          <w:p>
            <w:pPr>
              <w:keepNext w:val="0"/>
              <w:keepLines w:val="0"/>
              <w:pageBreakBefore w:val="0"/>
              <w:widowControl w:val="0"/>
              <w:tabs>
                <w:tab w:val="left" w:pos="5121"/>
              </w:tabs>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哈巴格希街道</w:t>
            </w:r>
          </w:p>
        </w:tc>
        <w:tc>
          <w:tcPr>
            <w:tcW w:w="1151" w:type="pct"/>
            <w:noWrap w:val="0"/>
            <w:vAlign w:val="center"/>
          </w:tcPr>
          <w:p>
            <w:pPr>
              <w:keepNext w:val="0"/>
              <w:keepLines w:val="0"/>
              <w:pageBreakBefore w:val="0"/>
              <w:widowControl w:val="0"/>
              <w:tabs>
                <w:tab w:val="left" w:pos="5121"/>
              </w:tabs>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229</w:t>
            </w:r>
          </w:p>
        </w:tc>
        <w:tc>
          <w:tcPr>
            <w:tcW w:w="996" w:type="pct"/>
            <w:noWrap w:val="0"/>
            <w:vAlign w:val="center"/>
          </w:tcPr>
          <w:p>
            <w:pPr>
              <w:keepNext w:val="0"/>
              <w:keepLines w:val="0"/>
              <w:pageBreakBefore w:val="0"/>
              <w:widowControl w:val="0"/>
              <w:tabs>
                <w:tab w:val="left" w:pos="5121"/>
              </w:tabs>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163</w:t>
            </w:r>
          </w:p>
        </w:tc>
        <w:tc>
          <w:tcPr>
            <w:tcW w:w="1224" w:type="pct"/>
            <w:noWrap w:val="0"/>
            <w:vAlign w:val="center"/>
          </w:tcPr>
          <w:p>
            <w:pPr>
              <w:keepNext w:val="0"/>
              <w:keepLines w:val="0"/>
              <w:pageBreakBefore w:val="0"/>
              <w:widowControl w:val="0"/>
              <w:tabs>
                <w:tab w:val="left" w:pos="5121"/>
              </w:tabs>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196</w:t>
            </w:r>
          </w:p>
        </w:tc>
        <w:tc>
          <w:tcPr>
            <w:tcW w:w="489" w:type="pct"/>
            <w:noWrap w:val="0"/>
            <w:vAlign w:val="center"/>
          </w:tcPr>
          <w:p>
            <w:pPr>
              <w:keepNext w:val="0"/>
              <w:keepLines w:val="0"/>
              <w:pageBreakBefore w:val="0"/>
              <w:widowControl w:val="0"/>
              <w:tabs>
                <w:tab w:val="left" w:pos="5121"/>
              </w:tabs>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pct"/>
            <w:noWrap w:val="0"/>
            <w:vAlign w:val="center"/>
          </w:tcPr>
          <w:p>
            <w:pPr>
              <w:keepNext w:val="0"/>
              <w:keepLines w:val="0"/>
              <w:pageBreakBefore w:val="0"/>
              <w:widowControl w:val="0"/>
              <w:tabs>
                <w:tab w:val="left" w:pos="5121"/>
              </w:tabs>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青春山街道</w:t>
            </w:r>
          </w:p>
        </w:tc>
        <w:tc>
          <w:tcPr>
            <w:tcW w:w="1151" w:type="pct"/>
            <w:noWrap w:val="0"/>
            <w:vAlign w:val="top"/>
          </w:tcPr>
          <w:p>
            <w:pPr>
              <w:keepNext w:val="0"/>
              <w:keepLines w:val="0"/>
              <w:pageBreakBefore w:val="0"/>
              <w:widowControl w:val="0"/>
              <w:tabs>
                <w:tab w:val="left" w:pos="5121"/>
              </w:tabs>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150</w:t>
            </w:r>
          </w:p>
        </w:tc>
        <w:tc>
          <w:tcPr>
            <w:tcW w:w="996" w:type="pct"/>
            <w:noWrap w:val="0"/>
            <w:vAlign w:val="top"/>
          </w:tcPr>
          <w:p>
            <w:pPr>
              <w:keepNext w:val="0"/>
              <w:keepLines w:val="0"/>
              <w:pageBreakBefore w:val="0"/>
              <w:widowControl w:val="0"/>
              <w:tabs>
                <w:tab w:val="left" w:pos="5121"/>
              </w:tabs>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75</w:t>
            </w:r>
          </w:p>
        </w:tc>
        <w:tc>
          <w:tcPr>
            <w:tcW w:w="1224" w:type="pct"/>
            <w:noWrap w:val="0"/>
            <w:vAlign w:val="top"/>
          </w:tcPr>
          <w:p>
            <w:pPr>
              <w:keepNext w:val="0"/>
              <w:keepLines w:val="0"/>
              <w:pageBreakBefore w:val="0"/>
              <w:widowControl w:val="0"/>
              <w:tabs>
                <w:tab w:val="left" w:pos="5121"/>
              </w:tabs>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53</w:t>
            </w:r>
          </w:p>
        </w:tc>
        <w:tc>
          <w:tcPr>
            <w:tcW w:w="489" w:type="pct"/>
            <w:noWrap w:val="0"/>
            <w:vAlign w:val="center"/>
          </w:tcPr>
          <w:p>
            <w:pPr>
              <w:keepNext w:val="0"/>
              <w:keepLines w:val="0"/>
              <w:pageBreakBefore w:val="0"/>
              <w:widowControl w:val="0"/>
              <w:tabs>
                <w:tab w:val="left" w:pos="5121"/>
              </w:tabs>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pct"/>
            <w:noWrap w:val="0"/>
            <w:vAlign w:val="center"/>
          </w:tcPr>
          <w:p>
            <w:pPr>
              <w:keepNext w:val="0"/>
              <w:keepLines w:val="0"/>
              <w:pageBreakBefore w:val="0"/>
              <w:widowControl w:val="0"/>
              <w:tabs>
                <w:tab w:val="left" w:pos="5121"/>
              </w:tabs>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滨河街道</w:t>
            </w:r>
          </w:p>
        </w:tc>
        <w:tc>
          <w:tcPr>
            <w:tcW w:w="1151" w:type="pct"/>
            <w:noWrap w:val="0"/>
            <w:vAlign w:val="center"/>
          </w:tcPr>
          <w:p>
            <w:pPr>
              <w:keepNext w:val="0"/>
              <w:keepLines w:val="0"/>
              <w:pageBreakBefore w:val="0"/>
              <w:widowControl w:val="0"/>
              <w:tabs>
                <w:tab w:val="left" w:pos="5121"/>
              </w:tabs>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140</w:t>
            </w:r>
          </w:p>
        </w:tc>
        <w:tc>
          <w:tcPr>
            <w:tcW w:w="996" w:type="pct"/>
            <w:noWrap w:val="0"/>
            <w:vAlign w:val="center"/>
          </w:tcPr>
          <w:p>
            <w:pPr>
              <w:keepNext w:val="0"/>
              <w:keepLines w:val="0"/>
              <w:pageBreakBefore w:val="0"/>
              <w:widowControl w:val="0"/>
              <w:tabs>
                <w:tab w:val="left" w:pos="5121"/>
              </w:tabs>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77</w:t>
            </w:r>
          </w:p>
        </w:tc>
        <w:tc>
          <w:tcPr>
            <w:tcW w:w="1224" w:type="pct"/>
            <w:noWrap w:val="0"/>
            <w:vAlign w:val="center"/>
          </w:tcPr>
          <w:p>
            <w:pPr>
              <w:keepNext w:val="0"/>
              <w:keepLines w:val="0"/>
              <w:pageBreakBefore w:val="0"/>
              <w:widowControl w:val="0"/>
              <w:tabs>
                <w:tab w:val="left" w:pos="5121"/>
              </w:tabs>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74</w:t>
            </w:r>
          </w:p>
        </w:tc>
        <w:tc>
          <w:tcPr>
            <w:tcW w:w="489" w:type="pct"/>
            <w:noWrap w:val="0"/>
            <w:vAlign w:val="center"/>
          </w:tcPr>
          <w:p>
            <w:pPr>
              <w:keepNext w:val="0"/>
              <w:keepLines w:val="0"/>
              <w:pageBreakBefore w:val="0"/>
              <w:widowControl w:val="0"/>
              <w:tabs>
                <w:tab w:val="left" w:pos="5121"/>
              </w:tabs>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pct"/>
            <w:noWrap w:val="0"/>
            <w:vAlign w:val="center"/>
          </w:tcPr>
          <w:p>
            <w:pPr>
              <w:keepNext w:val="0"/>
              <w:keepLines w:val="0"/>
              <w:pageBreakBefore w:val="0"/>
              <w:widowControl w:val="0"/>
              <w:tabs>
                <w:tab w:val="left" w:pos="5121"/>
              </w:tabs>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康新街道</w:t>
            </w:r>
          </w:p>
        </w:tc>
        <w:tc>
          <w:tcPr>
            <w:tcW w:w="1151" w:type="pct"/>
            <w:noWrap w:val="0"/>
            <w:vAlign w:val="center"/>
          </w:tcPr>
          <w:p>
            <w:pPr>
              <w:keepNext w:val="0"/>
              <w:keepLines w:val="0"/>
              <w:pageBreakBefore w:val="0"/>
              <w:widowControl w:val="0"/>
              <w:tabs>
                <w:tab w:val="left" w:pos="5121"/>
              </w:tabs>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134</w:t>
            </w:r>
          </w:p>
        </w:tc>
        <w:tc>
          <w:tcPr>
            <w:tcW w:w="996" w:type="pct"/>
            <w:noWrap w:val="0"/>
            <w:vAlign w:val="center"/>
          </w:tcPr>
          <w:p>
            <w:pPr>
              <w:keepNext w:val="0"/>
              <w:keepLines w:val="0"/>
              <w:pageBreakBefore w:val="0"/>
              <w:widowControl w:val="0"/>
              <w:tabs>
                <w:tab w:val="left" w:pos="5121"/>
              </w:tabs>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105</w:t>
            </w:r>
          </w:p>
        </w:tc>
        <w:tc>
          <w:tcPr>
            <w:tcW w:w="1224" w:type="pct"/>
            <w:noWrap w:val="0"/>
            <w:vAlign w:val="center"/>
          </w:tcPr>
          <w:p>
            <w:pPr>
              <w:keepNext w:val="0"/>
              <w:keepLines w:val="0"/>
              <w:pageBreakBefore w:val="0"/>
              <w:widowControl w:val="0"/>
              <w:tabs>
                <w:tab w:val="left" w:pos="5121"/>
              </w:tabs>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90</w:t>
            </w:r>
          </w:p>
        </w:tc>
        <w:tc>
          <w:tcPr>
            <w:tcW w:w="489" w:type="pct"/>
            <w:noWrap w:val="0"/>
            <w:vAlign w:val="center"/>
          </w:tcPr>
          <w:p>
            <w:pPr>
              <w:keepNext w:val="0"/>
              <w:keepLines w:val="0"/>
              <w:pageBreakBefore w:val="0"/>
              <w:widowControl w:val="0"/>
              <w:tabs>
                <w:tab w:val="left" w:pos="5121"/>
              </w:tabs>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pct"/>
            <w:noWrap w:val="0"/>
            <w:vAlign w:val="center"/>
          </w:tcPr>
          <w:p>
            <w:pPr>
              <w:keepNext w:val="0"/>
              <w:keepLines w:val="0"/>
              <w:pageBreakBefore w:val="0"/>
              <w:widowControl w:val="0"/>
              <w:tabs>
                <w:tab w:val="left" w:pos="5121"/>
              </w:tabs>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合计</w:t>
            </w:r>
          </w:p>
        </w:tc>
        <w:tc>
          <w:tcPr>
            <w:tcW w:w="1151" w:type="pct"/>
            <w:noWrap w:val="0"/>
            <w:vAlign w:val="center"/>
          </w:tcPr>
          <w:p>
            <w:pPr>
              <w:keepNext w:val="0"/>
              <w:keepLines w:val="0"/>
              <w:pageBreakBefore w:val="0"/>
              <w:widowControl w:val="0"/>
              <w:tabs>
                <w:tab w:val="left" w:pos="5121"/>
              </w:tabs>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653</w:t>
            </w:r>
          </w:p>
        </w:tc>
        <w:tc>
          <w:tcPr>
            <w:tcW w:w="996" w:type="pct"/>
            <w:noWrap w:val="0"/>
            <w:vAlign w:val="center"/>
          </w:tcPr>
          <w:p>
            <w:pPr>
              <w:keepNext w:val="0"/>
              <w:keepLines w:val="0"/>
              <w:pageBreakBefore w:val="0"/>
              <w:widowControl w:val="0"/>
              <w:tabs>
                <w:tab w:val="left" w:pos="5121"/>
              </w:tabs>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420</w:t>
            </w:r>
          </w:p>
        </w:tc>
        <w:tc>
          <w:tcPr>
            <w:tcW w:w="1224" w:type="pct"/>
            <w:noWrap w:val="0"/>
            <w:vAlign w:val="center"/>
          </w:tcPr>
          <w:p>
            <w:pPr>
              <w:keepNext w:val="0"/>
              <w:keepLines w:val="0"/>
              <w:pageBreakBefore w:val="0"/>
              <w:widowControl w:val="0"/>
              <w:tabs>
                <w:tab w:val="left" w:pos="5121"/>
              </w:tabs>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413</w:t>
            </w:r>
          </w:p>
        </w:tc>
        <w:tc>
          <w:tcPr>
            <w:tcW w:w="489" w:type="pct"/>
            <w:noWrap w:val="0"/>
            <w:vAlign w:val="center"/>
          </w:tcPr>
          <w:p>
            <w:pPr>
              <w:keepNext w:val="0"/>
              <w:keepLines w:val="0"/>
              <w:pageBreakBefore w:val="0"/>
              <w:widowControl w:val="0"/>
              <w:tabs>
                <w:tab w:val="left" w:pos="5121"/>
              </w:tabs>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1486</w:t>
            </w:r>
          </w:p>
        </w:tc>
      </w:tr>
    </w:tbl>
    <w:p>
      <w:pPr>
        <w:pStyle w:val="3"/>
        <w:ind w:left="0" w:leftChars="0" w:firstLine="640" w:firstLineChars="200"/>
        <w:rPr>
          <w:rFonts w:hint="eastAsia" w:ascii="仿宋_GB2312" w:hAnsi="仿宋_GB2312" w:eastAsia="仿宋_GB2312" w:cs="仿宋_GB2312"/>
          <w:sz w:val="32"/>
          <w:szCs w:val="32"/>
          <w:vertAlign w:val="baseline"/>
          <w:lang w:val="en-US" w:eastAsia="zh-CN"/>
        </w:rPr>
      </w:pPr>
      <w:r>
        <w:rPr>
          <w:rFonts w:hint="eastAsia" w:ascii="仿宋" w:hAnsi="仿宋" w:eastAsia="仿宋" w:cs="仿宋"/>
          <w:b w:val="0"/>
          <w:bCs/>
          <w:sz w:val="32"/>
          <w:szCs w:val="32"/>
          <w:lang w:val="en-US" w:eastAsia="zh-CN"/>
        </w:rPr>
        <w:t>按照每人每月物质积分全部消费完进行计</w:t>
      </w:r>
      <w:r>
        <w:rPr>
          <w:rFonts w:hint="eastAsia" w:ascii="仿宋_GB2312" w:hAnsi="仿宋_GB2312" w:eastAsia="仿宋_GB2312" w:cs="仿宋_GB2312"/>
          <w:b w:val="0"/>
          <w:bCs/>
          <w:sz w:val="32"/>
          <w:szCs w:val="32"/>
          <w:lang w:val="en-US" w:eastAsia="zh-CN"/>
        </w:rPr>
        <w:t>算。</w:t>
      </w:r>
      <w:r>
        <w:rPr>
          <w:rFonts w:hint="eastAsia" w:ascii="仿宋_GB2312" w:hAnsi="仿宋_GB2312" w:eastAsia="仿宋_GB2312" w:cs="仿宋_GB2312"/>
          <w:sz w:val="32"/>
          <w:szCs w:val="32"/>
          <w:vertAlign w:val="baseline"/>
          <w:lang w:val="en-US" w:eastAsia="zh-CN"/>
        </w:rPr>
        <w:t>70-74周岁653人，每年39.18万元。75-79周岁420人，每年50.4万元。80周岁及以上413人，每年74.34万元。全年共计163.92万元。</w:t>
      </w:r>
    </w:p>
    <w:p>
      <w:pPr>
        <w:pStyle w:val="3"/>
        <w:ind w:left="0" w:leftChars="0" w:firstLine="640" w:firstLineChars="200"/>
        <w:rPr>
          <w:rFonts w:hint="eastAsia" w:ascii="仿宋_GB2312" w:hAnsi="仿宋_GB2312" w:eastAsia="仿宋_GB2312" w:cs="仿宋_GB2312"/>
          <w:sz w:val="32"/>
          <w:szCs w:val="32"/>
          <w:vertAlign w:val="baseline"/>
          <w:lang w:val="en-US" w:eastAsia="zh-CN"/>
        </w:rPr>
      </w:pPr>
    </w:p>
    <w:p>
      <w:pPr>
        <w:pStyle w:val="3"/>
        <w:ind w:left="0" w:leftChars="0" w:firstLine="640" w:firstLineChars="200"/>
        <w:rPr>
          <w:rFonts w:hint="eastAsia" w:ascii="仿宋_GB2312" w:hAnsi="仿宋_GB2312" w:eastAsia="仿宋_GB2312" w:cs="仿宋_GB2312"/>
          <w:sz w:val="32"/>
          <w:szCs w:val="32"/>
          <w:vertAlign w:val="baseline"/>
          <w:lang w:val="en-US" w:eastAsia="zh-CN"/>
        </w:rPr>
      </w:pPr>
    </w:p>
    <w:p>
      <w:pPr>
        <w:pStyle w:val="3"/>
        <w:ind w:left="0" w:leftChars="0" w:firstLine="640" w:firstLineChars="200"/>
        <w:rPr>
          <w:rFonts w:hint="eastAsia" w:ascii="仿宋_GB2312" w:hAnsi="仿宋_GB2312" w:eastAsia="仿宋_GB2312" w:cs="仿宋_GB2312"/>
          <w:sz w:val="32"/>
          <w:szCs w:val="32"/>
          <w:vertAlign w:val="baseline"/>
          <w:lang w:val="en-US" w:eastAsia="zh-CN"/>
        </w:rPr>
      </w:pPr>
    </w:p>
    <w:p>
      <w:pPr>
        <w:pStyle w:val="3"/>
        <w:ind w:left="0" w:leftChars="0" w:firstLine="640" w:firstLineChars="200"/>
        <w:rPr>
          <w:rFonts w:hint="eastAsia" w:ascii="仿宋_GB2312" w:hAnsi="仿宋_GB2312" w:eastAsia="仿宋_GB2312" w:cs="仿宋_GB2312"/>
          <w:sz w:val="32"/>
          <w:szCs w:val="32"/>
          <w:vertAlign w:val="baseline"/>
          <w:lang w:val="en-US" w:eastAsia="zh-CN"/>
        </w:rPr>
      </w:pPr>
    </w:p>
    <w:p>
      <w:pPr>
        <w:pStyle w:val="3"/>
        <w:ind w:left="0" w:leftChars="0" w:firstLine="640" w:firstLineChars="200"/>
        <w:rPr>
          <w:rFonts w:hint="default" w:ascii="仿宋_GB2312" w:hAnsi="仿宋_GB2312" w:eastAsia="仿宋_GB2312" w:cs="仿宋_GB2312"/>
          <w:sz w:val="32"/>
          <w:szCs w:val="32"/>
          <w:vertAlign w:val="baseline"/>
          <w:lang w:val="en-US" w:eastAsia="zh-CN"/>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6C1D8E"/>
    <w:multiLevelType w:val="singleLevel"/>
    <w:tmpl w:val="FD6C1D8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wNThhYTM0ZTYyNDkwZWRmMzgxYjIyNjA1N2ZmMjEifQ=="/>
  </w:docVars>
  <w:rsids>
    <w:rsidRoot w:val="0F4D48FC"/>
    <w:rsid w:val="0227297D"/>
    <w:rsid w:val="09646A02"/>
    <w:rsid w:val="0E8D6EFC"/>
    <w:rsid w:val="0F4D48FC"/>
    <w:rsid w:val="15A5462A"/>
    <w:rsid w:val="1E1F2D26"/>
    <w:rsid w:val="229C0058"/>
    <w:rsid w:val="28A20E68"/>
    <w:rsid w:val="2F3C14B4"/>
    <w:rsid w:val="2FE40FF3"/>
    <w:rsid w:val="32551FE8"/>
    <w:rsid w:val="35702107"/>
    <w:rsid w:val="3BD248FA"/>
    <w:rsid w:val="40FC5291"/>
    <w:rsid w:val="45807E74"/>
    <w:rsid w:val="46B54A73"/>
    <w:rsid w:val="50AA403B"/>
    <w:rsid w:val="59CF52F3"/>
    <w:rsid w:val="5E166294"/>
    <w:rsid w:val="6B0408C4"/>
    <w:rsid w:val="7499002B"/>
    <w:rsid w:val="7BBD4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next w:val="3"/>
    <w:qFormat/>
    <w:uiPriority w:val="10"/>
    <w:pPr>
      <w:spacing w:before="240" w:after="60"/>
      <w:ind w:left="640" w:leftChars="200"/>
      <w:outlineLvl w:val="0"/>
    </w:pPr>
    <w:rPr>
      <w:rFonts w:ascii="Arial" w:hAnsi="Arial" w:eastAsia="仿宋_GB2312" w:cs="Times New Roman"/>
      <w:b/>
      <w:sz w:val="32"/>
      <w:szCs w:val="24"/>
    </w:rPr>
  </w:style>
  <w:style w:type="paragraph" w:styleId="3">
    <w:name w:val="Body Text Indent"/>
    <w:basedOn w:val="1"/>
    <w:semiHidden/>
    <w:unhideWhenUsed/>
    <w:qFormat/>
    <w:uiPriority w:val="99"/>
    <w:pPr>
      <w:spacing w:after="120"/>
      <w:ind w:left="420" w:leftChars="200"/>
    </w:pPr>
    <w:rPr>
      <w:rFonts w:ascii="Calibri" w:hAnsi="Calibri" w:eastAsia="宋体" w:cs="Times New Roman"/>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1743</Words>
  <Characters>1873</Characters>
  <Lines>0</Lines>
  <Paragraphs>0</Paragraphs>
  <TotalTime>11</TotalTime>
  <ScaleCrop>false</ScaleCrop>
  <LinksUpToDate>false</LinksUpToDate>
  <CharactersWithSpaces>1875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2020-08-18T00:51:00Z</dcterms:created>
  <dc:creator>PC</dc:creator>
  <cp:lastModifiedBy>。阿雨雨雨雨雨</cp:lastModifiedBy>
  <dcterms:modified xsi:type="dcterms:W3CDTF">2023-02-21T02:19:34Z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069A96A5F01C42FABF17AEB4E3B66942</vt:lpwstr>
  </property>
</Properties>
</file>