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8B1D8">
      <w:pPr>
        <w:rPr>
          <w:rFonts w:hint="eastAsia" w:ascii="仿宋_GB2312" w:hAnsi="仿宋_GB2312" w:eastAsia="仿宋_GB2312" w:cs="仿宋_GB2312"/>
          <w:sz w:val="36"/>
          <w:szCs w:val="36"/>
        </w:rPr>
      </w:pPr>
      <w:bookmarkStart w:id="17" w:name="_GoBack"/>
      <w:bookmarkEnd w:id="17"/>
      <w:r>
        <w:rPr>
          <w:rFonts w:ascii="仿宋_GB2312" w:hAnsi="仿宋_GB2312" w:eastAsia="仿宋_GB2312" w:cs="仿宋_GB2312"/>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_GB2312" w:hAnsi="仿宋_GB2312" w:eastAsia="仿宋_GB2312" w:cs="仿宋_GB2312"/>
          <w:sz w:val="36"/>
          <w:szCs w:val="36"/>
        </w:rPr>
        <w:instrText xml:space="preserve">ADDIN CNKISM.UserStyle</w:instrText>
      </w:r>
      <w:r>
        <w:rPr>
          <w:rFonts w:ascii="仿宋_GB2312" w:hAnsi="仿宋_GB2312" w:eastAsia="仿宋_GB2312" w:cs="仿宋_GB2312"/>
          <w:sz w:val="36"/>
          <w:szCs w:val="36"/>
        </w:rPr>
        <w:fldChar w:fldCharType="end"/>
      </w:r>
    </w:p>
    <w:p w14:paraId="799B8DC5">
      <w:pPr>
        <w:rPr>
          <w:rFonts w:hint="eastAsia" w:ascii="仿宋_GB2312" w:hAnsi="仿宋_GB2312" w:eastAsia="仿宋_GB2312" w:cs="仿宋_GB2312"/>
          <w:sz w:val="36"/>
          <w:szCs w:val="36"/>
        </w:rPr>
      </w:pPr>
    </w:p>
    <w:p w14:paraId="5F9ACAC1">
      <w:pPr>
        <w:rPr>
          <w:rFonts w:hint="eastAsia" w:ascii="仿宋_GB2312" w:hAnsi="仿宋_GB2312" w:eastAsia="仿宋_GB2312" w:cs="仿宋_GB2312"/>
          <w:sz w:val="36"/>
          <w:szCs w:val="36"/>
        </w:rPr>
      </w:pPr>
    </w:p>
    <w:p w14:paraId="5061489F">
      <w:pPr>
        <w:adjustRightInd w:val="0"/>
        <w:snapToGrid w:val="0"/>
        <w:jc w:val="center"/>
        <w:outlineLvl w:val="0"/>
        <w:rPr>
          <w:rFonts w:hint="eastAsia" w:ascii="宋体" w:hAnsi="宋体"/>
          <w:b/>
          <w:sz w:val="72"/>
          <w:szCs w:val="72"/>
        </w:rPr>
      </w:pPr>
      <w:r>
        <w:rPr>
          <w:rFonts w:hint="eastAsia" w:ascii="宋体" w:hAnsi="宋体"/>
          <w:b/>
          <w:sz w:val="72"/>
          <w:szCs w:val="72"/>
        </w:rPr>
        <w:t>建设项目环境影响报告表</w:t>
      </w:r>
    </w:p>
    <w:p w14:paraId="0C40C468">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0F9467C9">
      <w:pPr>
        <w:adjustRightInd w:val="0"/>
        <w:snapToGrid w:val="0"/>
        <w:spacing w:line="288" w:lineRule="auto"/>
        <w:jc w:val="center"/>
        <w:rPr>
          <w:rFonts w:hint="eastAsia" w:ascii="华文仿宋" w:hAnsi="华文仿宋" w:eastAsia="华文仿宋" w:cs="华文仿宋"/>
          <w:kern w:val="44"/>
          <w:sz w:val="44"/>
          <w:szCs w:val="44"/>
        </w:rPr>
      </w:pPr>
    </w:p>
    <w:p w14:paraId="4B5E3BC6">
      <w:pPr>
        <w:jc w:val="center"/>
        <w:rPr>
          <w:rFonts w:eastAsia="仿宋"/>
          <w:sz w:val="52"/>
          <w:szCs w:val="52"/>
        </w:rPr>
      </w:pPr>
    </w:p>
    <w:p w14:paraId="7927E5C8">
      <w:pPr>
        <w:ind w:firstLine="1040"/>
        <w:rPr>
          <w:rFonts w:eastAsia="仿宋"/>
          <w:sz w:val="44"/>
          <w:szCs w:val="44"/>
        </w:rPr>
      </w:pPr>
    </w:p>
    <w:p w14:paraId="0AA7151B">
      <w:pPr>
        <w:ind w:firstLine="1040"/>
        <w:rPr>
          <w:rFonts w:eastAsia="仿宋"/>
          <w:sz w:val="44"/>
          <w:szCs w:val="44"/>
        </w:rPr>
      </w:pPr>
    </w:p>
    <w:p w14:paraId="46E17291">
      <w:pPr>
        <w:ind w:firstLine="1040"/>
        <w:rPr>
          <w:rFonts w:eastAsia="仿宋"/>
          <w:sz w:val="44"/>
          <w:szCs w:val="44"/>
        </w:rPr>
      </w:pPr>
    </w:p>
    <w:p w14:paraId="51F502A3">
      <w:pPr>
        <w:ind w:firstLine="1040"/>
        <w:rPr>
          <w:rFonts w:eastAsia="仿宋"/>
          <w:sz w:val="44"/>
          <w:szCs w:val="44"/>
        </w:rPr>
      </w:pPr>
    </w:p>
    <w:p w14:paraId="3F72F883">
      <w:pPr>
        <w:adjustRightInd w:val="0"/>
        <w:snapToGrid w:val="0"/>
        <w:spacing w:line="288" w:lineRule="auto"/>
        <w:ind w:left="2850" w:leftChars="500" w:hanging="1800" w:hangingChars="500"/>
        <w:jc w:val="left"/>
        <w:rPr>
          <w:rFonts w:eastAsia="仿宋_GB2312"/>
          <w:sz w:val="36"/>
          <w:szCs w:val="36"/>
          <w:u w:val="single"/>
        </w:rPr>
      </w:pPr>
      <w:r>
        <w:rPr>
          <w:rFonts w:hint="eastAsia" w:ascii="仿宋_GB2312" w:eastAsia="仿宋_GB2312"/>
          <w:sz w:val="36"/>
          <w:szCs w:val="36"/>
        </w:rPr>
        <w:t>项目名称：</w:t>
      </w:r>
      <w:r>
        <w:rPr>
          <w:rFonts w:hint="eastAsia" w:eastAsia="仿宋_GB2312"/>
          <w:sz w:val="36"/>
          <w:szCs w:val="36"/>
          <w:u w:val="single"/>
          <w:lang w:eastAsia="zh-CN"/>
        </w:rPr>
        <w:t>汇能科创大厦负一层北京大学鄂尔多斯能源研究院综合实验室项目</w:t>
      </w:r>
      <w:r>
        <w:rPr>
          <w:rFonts w:hint="eastAsia" w:eastAsia="仿宋_GB2312"/>
          <w:sz w:val="36"/>
          <w:szCs w:val="36"/>
          <w:u w:val="single"/>
        </w:rPr>
        <w:t xml:space="preserve"> </w:t>
      </w:r>
      <w:r>
        <w:rPr>
          <w:rFonts w:eastAsia="仿宋_GB2312"/>
          <w:sz w:val="36"/>
          <w:szCs w:val="36"/>
          <w:u w:val="single"/>
        </w:rPr>
        <w:t xml:space="preserve"> </w:t>
      </w:r>
    </w:p>
    <w:p w14:paraId="38B49680">
      <w:pPr>
        <w:adjustRightInd w:val="0"/>
        <w:snapToGrid w:val="0"/>
        <w:spacing w:line="288" w:lineRule="auto"/>
        <w:ind w:left="4290" w:leftChars="500" w:hanging="3240" w:hangingChars="900"/>
        <w:rPr>
          <w:rFonts w:eastAsia="仿宋_GB2312"/>
          <w:sz w:val="36"/>
          <w:szCs w:val="36"/>
          <w:u w:val="single"/>
        </w:rPr>
      </w:pPr>
      <w:r>
        <w:rPr>
          <w:rFonts w:eastAsia="仿宋_GB2312"/>
          <w:sz w:val="36"/>
          <w:szCs w:val="36"/>
        </w:rPr>
        <w:t>建设单位（盖章）：</w:t>
      </w:r>
      <w:r>
        <w:rPr>
          <w:rFonts w:hint="eastAsia" w:eastAsia="仿宋_GB2312"/>
          <w:sz w:val="36"/>
          <w:szCs w:val="36"/>
          <w:u w:val="single"/>
        </w:rPr>
        <w:t xml:space="preserve">北京大学鄂尔多斯能源研究院       </w:t>
      </w:r>
      <w:r>
        <w:rPr>
          <w:rFonts w:eastAsia="仿宋_GB2312"/>
          <w:sz w:val="36"/>
          <w:szCs w:val="36"/>
          <w:u w:val="single"/>
        </w:rPr>
        <w:t xml:space="preserve">  </w:t>
      </w:r>
      <w:r>
        <w:rPr>
          <w:rFonts w:hint="eastAsia" w:eastAsia="仿宋_GB2312"/>
          <w:sz w:val="36"/>
          <w:szCs w:val="36"/>
          <w:u w:val="single"/>
        </w:rPr>
        <w:t xml:space="preserve">             </w:t>
      </w:r>
    </w:p>
    <w:p w14:paraId="02FE8F56">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202</w:t>
      </w:r>
      <w:r>
        <w:rPr>
          <w:rFonts w:hint="eastAsia" w:eastAsia="仿宋_GB2312"/>
          <w:sz w:val="36"/>
          <w:szCs w:val="36"/>
          <w:u w:val="single"/>
        </w:rPr>
        <w:t>4</w:t>
      </w:r>
      <w:r>
        <w:rPr>
          <w:rFonts w:eastAsia="仿宋_GB2312"/>
          <w:sz w:val="36"/>
          <w:szCs w:val="36"/>
          <w:u w:val="single"/>
        </w:rPr>
        <w:t>年</w:t>
      </w:r>
      <w:r>
        <w:rPr>
          <w:rFonts w:hint="eastAsia" w:eastAsia="仿宋_GB2312"/>
          <w:sz w:val="36"/>
          <w:szCs w:val="36"/>
          <w:u w:val="single"/>
        </w:rPr>
        <w:t>8</w:t>
      </w:r>
      <w:r>
        <w:rPr>
          <w:rFonts w:eastAsia="仿宋_GB2312"/>
          <w:sz w:val="36"/>
          <w:szCs w:val="36"/>
          <w:u w:val="single"/>
        </w:rPr>
        <w:t>月</w:t>
      </w:r>
      <w:r>
        <w:rPr>
          <w:rFonts w:hint="eastAsia" w:eastAsia="仿宋_GB2312"/>
          <w:sz w:val="36"/>
          <w:szCs w:val="36"/>
          <w:u w:val="single"/>
        </w:rPr>
        <w:t xml:space="preserve">           </w:t>
      </w:r>
    </w:p>
    <w:p w14:paraId="7ACD79C1">
      <w:pPr>
        <w:adjustRightInd w:val="0"/>
        <w:snapToGrid w:val="0"/>
        <w:spacing w:line="288" w:lineRule="auto"/>
        <w:ind w:firstLine="1040"/>
        <w:rPr>
          <w:rFonts w:ascii="仿宋_GB2312" w:eastAsia="仿宋_GB2312"/>
          <w:sz w:val="36"/>
          <w:szCs w:val="36"/>
          <w:u w:val="single"/>
        </w:rPr>
      </w:pPr>
      <w:bookmarkStart w:id="0" w:name="_Hlk57884087"/>
    </w:p>
    <w:p w14:paraId="37C4E511">
      <w:pPr>
        <w:adjustRightInd w:val="0"/>
        <w:snapToGrid w:val="0"/>
        <w:spacing w:line="288" w:lineRule="auto"/>
        <w:ind w:firstLine="1040"/>
        <w:rPr>
          <w:rFonts w:ascii="仿宋_GB2312" w:eastAsia="仿宋_GB2312"/>
          <w:sz w:val="36"/>
          <w:szCs w:val="36"/>
        </w:rPr>
      </w:pPr>
    </w:p>
    <w:p w14:paraId="179482A3">
      <w:pPr>
        <w:adjustRightInd w:val="0"/>
        <w:snapToGrid w:val="0"/>
        <w:spacing w:line="288" w:lineRule="auto"/>
        <w:rPr>
          <w:rFonts w:ascii="仿宋_GB2312" w:eastAsia="仿宋_GB2312"/>
          <w:sz w:val="36"/>
          <w:szCs w:val="36"/>
        </w:rPr>
      </w:pPr>
    </w:p>
    <w:bookmarkEnd w:id="0"/>
    <w:p w14:paraId="3764694D">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1BE90159">
      <w:pPr>
        <w:adjustRightInd w:val="0"/>
        <w:snapToGrid w:val="0"/>
        <w:spacing w:line="288" w:lineRule="auto"/>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14:paraId="61016098">
      <w:pPr>
        <w:pStyle w:val="44"/>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5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719"/>
        <w:gridCol w:w="2126"/>
        <w:gridCol w:w="2643"/>
      </w:tblGrid>
      <w:tr w14:paraId="09131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CE39D29">
            <w:pPr>
              <w:adjustRightInd w:val="0"/>
              <w:snapToGrid w:val="0"/>
              <w:jc w:val="center"/>
              <w:rPr>
                <w:rFonts w:cs="宋体"/>
                <w:sz w:val="24"/>
              </w:rPr>
            </w:pPr>
            <w:r>
              <w:rPr>
                <w:rFonts w:hint="eastAsia" w:cs="宋体"/>
                <w:sz w:val="24"/>
              </w:rPr>
              <w:t>建设项目名称</w:t>
            </w:r>
          </w:p>
        </w:tc>
        <w:tc>
          <w:tcPr>
            <w:tcW w:w="6488" w:type="dxa"/>
            <w:gridSpan w:val="3"/>
            <w:vAlign w:val="center"/>
          </w:tcPr>
          <w:p w14:paraId="1310DDA0">
            <w:pPr>
              <w:adjustRightInd w:val="0"/>
              <w:snapToGrid w:val="0"/>
              <w:jc w:val="center"/>
              <w:rPr>
                <w:rFonts w:hint="eastAsia" w:eastAsia="宋体" w:cs="宋体"/>
                <w:sz w:val="24"/>
                <w:lang w:eastAsia="zh-CN"/>
              </w:rPr>
            </w:pPr>
            <w:r>
              <w:rPr>
                <w:rFonts w:hint="eastAsia" w:cs="宋体"/>
                <w:sz w:val="24"/>
                <w:lang w:eastAsia="zh-CN"/>
              </w:rPr>
              <w:t>汇能科创大厦负一层北京大学鄂尔多斯能源研究院综合实验室项目</w:t>
            </w:r>
          </w:p>
        </w:tc>
      </w:tr>
      <w:tr w14:paraId="73BF7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B98F4EE">
            <w:pPr>
              <w:adjustRightInd w:val="0"/>
              <w:snapToGrid w:val="0"/>
              <w:jc w:val="center"/>
              <w:rPr>
                <w:rFonts w:cs="宋体"/>
                <w:sz w:val="24"/>
              </w:rPr>
            </w:pPr>
            <w:r>
              <w:rPr>
                <w:rFonts w:hint="eastAsia" w:cs="宋体"/>
                <w:sz w:val="24"/>
              </w:rPr>
              <w:t>项目代码</w:t>
            </w:r>
          </w:p>
        </w:tc>
        <w:tc>
          <w:tcPr>
            <w:tcW w:w="6488" w:type="dxa"/>
            <w:gridSpan w:val="3"/>
            <w:vAlign w:val="center"/>
          </w:tcPr>
          <w:p w14:paraId="75F93050">
            <w:pPr>
              <w:adjustRightInd w:val="0"/>
              <w:snapToGrid w:val="0"/>
              <w:jc w:val="center"/>
              <w:rPr>
                <w:rFonts w:cs="宋体"/>
                <w:sz w:val="24"/>
              </w:rPr>
            </w:pPr>
            <w:r>
              <w:rPr>
                <w:rFonts w:hint="eastAsia" w:cs="宋体"/>
                <w:sz w:val="24"/>
              </w:rPr>
              <w:t>/</w:t>
            </w:r>
          </w:p>
        </w:tc>
      </w:tr>
      <w:tr w14:paraId="6980F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3174CB6">
            <w:pPr>
              <w:adjustRightInd w:val="0"/>
              <w:snapToGrid w:val="0"/>
              <w:jc w:val="center"/>
              <w:rPr>
                <w:rFonts w:cs="宋体"/>
                <w:sz w:val="24"/>
              </w:rPr>
            </w:pPr>
            <w:bookmarkStart w:id="1" w:name="_Hlk170136426"/>
            <w:r>
              <w:rPr>
                <w:rFonts w:hint="eastAsia" w:cs="宋体"/>
                <w:sz w:val="24"/>
              </w:rPr>
              <w:t>建设单位联系人</w:t>
            </w:r>
            <w:bookmarkEnd w:id="1"/>
          </w:p>
        </w:tc>
        <w:tc>
          <w:tcPr>
            <w:tcW w:w="1719" w:type="dxa"/>
            <w:vAlign w:val="center"/>
          </w:tcPr>
          <w:p w14:paraId="7FE692BE">
            <w:pPr>
              <w:adjustRightInd w:val="0"/>
              <w:snapToGrid w:val="0"/>
              <w:jc w:val="center"/>
              <w:rPr>
                <w:rFonts w:cs="宋体"/>
                <w:sz w:val="24"/>
              </w:rPr>
            </w:pPr>
            <w:r>
              <w:rPr>
                <w:rFonts w:hint="eastAsia" w:cs="宋体"/>
                <w:sz w:val="24"/>
              </w:rPr>
              <w:t>倪浩铭</w:t>
            </w:r>
          </w:p>
        </w:tc>
        <w:tc>
          <w:tcPr>
            <w:tcW w:w="2126" w:type="dxa"/>
            <w:vAlign w:val="center"/>
          </w:tcPr>
          <w:p w14:paraId="4B987ECE">
            <w:pPr>
              <w:adjustRightInd w:val="0"/>
              <w:snapToGrid w:val="0"/>
              <w:jc w:val="center"/>
              <w:rPr>
                <w:rFonts w:cs="宋体"/>
                <w:sz w:val="24"/>
              </w:rPr>
            </w:pPr>
            <w:r>
              <w:rPr>
                <w:rFonts w:hint="eastAsia" w:cs="宋体"/>
                <w:sz w:val="24"/>
              </w:rPr>
              <w:t>联系方式</w:t>
            </w:r>
          </w:p>
        </w:tc>
        <w:tc>
          <w:tcPr>
            <w:tcW w:w="2643" w:type="dxa"/>
            <w:vAlign w:val="center"/>
          </w:tcPr>
          <w:p w14:paraId="34458160">
            <w:pPr>
              <w:adjustRightInd w:val="0"/>
              <w:snapToGrid w:val="0"/>
              <w:jc w:val="center"/>
              <w:rPr>
                <w:rFonts w:cs="宋体"/>
                <w:sz w:val="24"/>
              </w:rPr>
            </w:pPr>
            <w:r>
              <w:rPr>
                <w:rFonts w:hint="eastAsia" w:cs="宋体"/>
                <w:sz w:val="24"/>
              </w:rPr>
              <w:t>18147731111</w:t>
            </w:r>
          </w:p>
        </w:tc>
      </w:tr>
      <w:tr w14:paraId="15C69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4E49FC6">
            <w:pPr>
              <w:adjustRightInd w:val="0"/>
              <w:snapToGrid w:val="0"/>
              <w:jc w:val="center"/>
              <w:rPr>
                <w:rFonts w:cs="宋体"/>
                <w:sz w:val="24"/>
              </w:rPr>
            </w:pPr>
            <w:r>
              <w:rPr>
                <w:rFonts w:hint="eastAsia" w:cs="宋体"/>
                <w:sz w:val="24"/>
              </w:rPr>
              <w:t>建设地点</w:t>
            </w:r>
          </w:p>
        </w:tc>
        <w:tc>
          <w:tcPr>
            <w:tcW w:w="6488" w:type="dxa"/>
            <w:gridSpan w:val="3"/>
            <w:vAlign w:val="center"/>
          </w:tcPr>
          <w:p w14:paraId="21D22448">
            <w:pPr>
              <w:adjustRightInd w:val="0"/>
              <w:snapToGrid w:val="0"/>
              <w:jc w:val="center"/>
              <w:rPr>
                <w:rFonts w:cs="宋体"/>
                <w:sz w:val="24"/>
              </w:rPr>
            </w:pPr>
            <w:r>
              <w:rPr>
                <w:rFonts w:hint="eastAsia" w:cs="宋体"/>
                <w:sz w:val="24"/>
              </w:rPr>
              <w:t xml:space="preserve">内蒙古自治区鄂尔多斯市康巴什区乌兰木伦街汇能科创大厦负一层  </w:t>
            </w:r>
          </w:p>
        </w:tc>
      </w:tr>
      <w:tr w14:paraId="2F6F4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FB0AFCB">
            <w:pPr>
              <w:adjustRightInd w:val="0"/>
              <w:snapToGrid w:val="0"/>
              <w:jc w:val="center"/>
              <w:rPr>
                <w:rFonts w:cs="宋体"/>
                <w:sz w:val="24"/>
              </w:rPr>
            </w:pPr>
            <w:r>
              <w:rPr>
                <w:rFonts w:hint="eastAsia" w:cs="宋体"/>
                <w:sz w:val="24"/>
              </w:rPr>
              <w:t>地理坐标</w:t>
            </w:r>
          </w:p>
        </w:tc>
        <w:tc>
          <w:tcPr>
            <w:tcW w:w="6488" w:type="dxa"/>
            <w:gridSpan w:val="3"/>
            <w:vAlign w:val="center"/>
          </w:tcPr>
          <w:p w14:paraId="3854FCB4">
            <w:pPr>
              <w:jc w:val="center"/>
              <w:rPr>
                <w:sz w:val="24"/>
              </w:rPr>
            </w:pPr>
            <w:r>
              <w:rPr>
                <w:rFonts w:ascii="宋体" w:hAnsi="宋体"/>
                <w:color w:val="000000"/>
                <w:sz w:val="24"/>
              </w:rPr>
              <w:t>（</w:t>
            </w:r>
            <w:r>
              <w:rPr>
                <w:color w:val="000000"/>
                <w:sz w:val="24"/>
                <w:u w:val="single"/>
              </w:rPr>
              <w:t>109</w:t>
            </w:r>
            <w:r>
              <w:rPr>
                <w:color w:val="000000"/>
                <w:sz w:val="24"/>
              </w:rPr>
              <w:t>度</w:t>
            </w:r>
            <w:r>
              <w:rPr>
                <w:color w:val="000000"/>
                <w:sz w:val="24"/>
                <w:u w:val="single"/>
              </w:rPr>
              <w:t>46</w:t>
            </w:r>
            <w:r>
              <w:rPr>
                <w:color w:val="000000"/>
                <w:sz w:val="24"/>
              </w:rPr>
              <w:t>分</w:t>
            </w:r>
            <w:r>
              <w:rPr>
                <w:color w:val="000000"/>
                <w:sz w:val="24"/>
                <w:u w:val="single"/>
              </w:rPr>
              <w:t>55.233</w:t>
            </w:r>
            <w:r>
              <w:rPr>
                <w:color w:val="000000"/>
                <w:sz w:val="24"/>
              </w:rPr>
              <w:t>秒，</w:t>
            </w:r>
            <w:r>
              <w:rPr>
                <w:color w:val="000000"/>
                <w:sz w:val="24"/>
                <w:u w:val="single"/>
              </w:rPr>
              <w:t>39</w:t>
            </w:r>
            <w:r>
              <w:rPr>
                <w:color w:val="000000"/>
                <w:sz w:val="24"/>
              </w:rPr>
              <w:t>度</w:t>
            </w:r>
            <w:r>
              <w:rPr>
                <w:color w:val="000000"/>
                <w:sz w:val="24"/>
                <w:u w:val="single"/>
              </w:rPr>
              <w:t>35</w:t>
            </w:r>
            <w:r>
              <w:rPr>
                <w:color w:val="000000"/>
                <w:sz w:val="24"/>
              </w:rPr>
              <w:t>分</w:t>
            </w:r>
            <w:r>
              <w:rPr>
                <w:color w:val="000000"/>
                <w:sz w:val="24"/>
                <w:u w:val="single"/>
              </w:rPr>
              <w:t>36.233</w:t>
            </w:r>
            <w:r>
              <w:rPr>
                <w:color w:val="000000"/>
                <w:sz w:val="24"/>
              </w:rPr>
              <w:t>秒）</w:t>
            </w:r>
          </w:p>
        </w:tc>
      </w:tr>
      <w:tr w14:paraId="1243E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5AD997D1">
            <w:pPr>
              <w:adjustRightInd w:val="0"/>
              <w:snapToGrid w:val="0"/>
              <w:jc w:val="center"/>
              <w:rPr>
                <w:rFonts w:cs="宋体"/>
                <w:sz w:val="24"/>
              </w:rPr>
            </w:pPr>
            <w:r>
              <w:rPr>
                <w:rFonts w:hint="eastAsia" w:cs="宋体"/>
                <w:sz w:val="24"/>
              </w:rPr>
              <w:t>国民经济</w:t>
            </w:r>
          </w:p>
          <w:p w14:paraId="68A21227">
            <w:pPr>
              <w:adjustRightInd w:val="0"/>
              <w:snapToGrid w:val="0"/>
              <w:jc w:val="center"/>
              <w:rPr>
                <w:rFonts w:cs="宋体"/>
                <w:sz w:val="24"/>
              </w:rPr>
            </w:pPr>
            <w:r>
              <w:rPr>
                <w:rFonts w:hint="eastAsia" w:cs="宋体"/>
                <w:sz w:val="24"/>
              </w:rPr>
              <w:t>行业类别</w:t>
            </w:r>
          </w:p>
        </w:tc>
        <w:tc>
          <w:tcPr>
            <w:tcW w:w="1719" w:type="dxa"/>
            <w:vAlign w:val="center"/>
          </w:tcPr>
          <w:p w14:paraId="2C9F4B38">
            <w:pPr>
              <w:adjustRightInd w:val="0"/>
              <w:snapToGrid w:val="0"/>
              <w:jc w:val="center"/>
              <w:rPr>
                <w:rFonts w:cs="宋体"/>
                <w:sz w:val="24"/>
              </w:rPr>
            </w:pPr>
            <w:r>
              <w:rPr>
                <w:rFonts w:hint="eastAsia" w:cs="宋体"/>
                <w:sz w:val="24"/>
              </w:rPr>
              <w:t>M7320 工程和技术研究和试验发展</w:t>
            </w:r>
          </w:p>
        </w:tc>
        <w:tc>
          <w:tcPr>
            <w:tcW w:w="2126" w:type="dxa"/>
            <w:vAlign w:val="center"/>
          </w:tcPr>
          <w:p w14:paraId="76157024">
            <w:pPr>
              <w:adjustRightInd w:val="0"/>
              <w:snapToGrid w:val="0"/>
              <w:jc w:val="center"/>
              <w:rPr>
                <w:rFonts w:cs="宋体"/>
                <w:sz w:val="24"/>
              </w:rPr>
            </w:pPr>
            <w:bookmarkStart w:id="2" w:name="_Hlk49843745"/>
            <w:r>
              <w:rPr>
                <w:rFonts w:hint="eastAsia" w:cs="宋体"/>
                <w:sz w:val="24"/>
              </w:rPr>
              <w:t>建设项目</w:t>
            </w:r>
          </w:p>
          <w:p w14:paraId="2F7C1C40">
            <w:pPr>
              <w:adjustRightInd w:val="0"/>
              <w:snapToGrid w:val="0"/>
              <w:jc w:val="center"/>
              <w:rPr>
                <w:rFonts w:cs="宋体"/>
                <w:sz w:val="24"/>
              </w:rPr>
            </w:pPr>
            <w:r>
              <w:rPr>
                <w:rFonts w:hint="eastAsia" w:cs="宋体"/>
                <w:sz w:val="24"/>
              </w:rPr>
              <w:t>行业类别</w:t>
            </w:r>
            <w:bookmarkEnd w:id="2"/>
          </w:p>
        </w:tc>
        <w:tc>
          <w:tcPr>
            <w:tcW w:w="2643" w:type="dxa"/>
            <w:vAlign w:val="center"/>
          </w:tcPr>
          <w:p w14:paraId="475490CD">
            <w:pPr>
              <w:adjustRightInd w:val="0"/>
              <w:snapToGrid w:val="0"/>
              <w:jc w:val="center"/>
              <w:rPr>
                <w:rFonts w:cs="宋体"/>
                <w:sz w:val="24"/>
              </w:rPr>
            </w:pPr>
            <w:r>
              <w:rPr>
                <w:rFonts w:hint="eastAsia" w:cs="宋体"/>
                <w:sz w:val="24"/>
              </w:rPr>
              <w:t>四十五、研究和试验发展 98.专业实验室、研发（试验）实验室</w:t>
            </w:r>
          </w:p>
        </w:tc>
      </w:tr>
      <w:tr w14:paraId="13E50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514B08DD">
            <w:pPr>
              <w:adjustRightInd w:val="0"/>
              <w:snapToGrid w:val="0"/>
              <w:jc w:val="center"/>
              <w:rPr>
                <w:rFonts w:cs="宋体"/>
                <w:sz w:val="24"/>
              </w:rPr>
            </w:pPr>
            <w:r>
              <w:rPr>
                <w:rFonts w:hint="eastAsia" w:cs="宋体"/>
                <w:sz w:val="24"/>
              </w:rPr>
              <w:t>建设性质</w:t>
            </w:r>
          </w:p>
        </w:tc>
        <w:tc>
          <w:tcPr>
            <w:tcW w:w="1719" w:type="dxa"/>
            <w:vAlign w:val="center"/>
          </w:tcPr>
          <w:p w14:paraId="469FE3CC">
            <w:pPr>
              <w:jc w:val="left"/>
              <w:rPr>
                <w:rFonts w:cs="宋体"/>
                <w:sz w:val="24"/>
              </w:rPr>
            </w:pPr>
            <w:r>
              <w:rPr>
                <w:rFonts w:hint="eastAsia" w:ascii="Wingdings 2" w:hAnsi="Wingdings 2" w:cs="Segoe UI Emoji"/>
                <w:sz w:val="24"/>
              </w:rPr>
              <w:sym w:font="Wingdings 2" w:char="F052"/>
            </w:r>
            <w:r>
              <w:rPr>
                <w:rFonts w:hint="eastAsia" w:cs="宋体"/>
                <w:sz w:val="24"/>
              </w:rPr>
              <w:t>新建（迁建）</w:t>
            </w:r>
          </w:p>
          <w:p w14:paraId="7EF2D6F5">
            <w:pPr>
              <w:jc w:val="left"/>
              <w:rPr>
                <w:rFonts w:cs="宋体"/>
                <w:sz w:val="24"/>
              </w:rPr>
            </w:pPr>
            <w:r>
              <w:rPr>
                <w:rFonts w:hint="eastAsia" w:cs="宋体"/>
                <w:sz w:val="24"/>
              </w:rPr>
              <w:t>□改建</w:t>
            </w:r>
          </w:p>
          <w:p w14:paraId="452D6AA4">
            <w:pPr>
              <w:jc w:val="left"/>
              <w:rPr>
                <w:rFonts w:cs="宋体"/>
                <w:sz w:val="24"/>
              </w:rPr>
            </w:pPr>
            <w:r>
              <w:rPr>
                <w:rFonts w:hint="eastAsia" w:cs="宋体"/>
                <w:sz w:val="24"/>
              </w:rPr>
              <w:t>□扩建</w:t>
            </w:r>
          </w:p>
          <w:p w14:paraId="7A60F64F">
            <w:pPr>
              <w:jc w:val="left"/>
              <w:rPr>
                <w:rFonts w:cs="宋体"/>
                <w:sz w:val="24"/>
              </w:rPr>
            </w:pPr>
            <w:r>
              <w:rPr>
                <w:rFonts w:hint="eastAsia" w:cs="宋体"/>
                <w:sz w:val="24"/>
              </w:rPr>
              <w:t>□技术改造</w:t>
            </w:r>
          </w:p>
        </w:tc>
        <w:tc>
          <w:tcPr>
            <w:tcW w:w="2126" w:type="dxa"/>
            <w:vAlign w:val="center"/>
          </w:tcPr>
          <w:p w14:paraId="74D621A4">
            <w:pPr>
              <w:adjustRightInd w:val="0"/>
              <w:snapToGrid w:val="0"/>
              <w:jc w:val="center"/>
              <w:rPr>
                <w:rFonts w:cs="宋体"/>
                <w:sz w:val="24"/>
              </w:rPr>
            </w:pPr>
            <w:r>
              <w:rPr>
                <w:rFonts w:hint="eastAsia" w:cs="宋体"/>
                <w:sz w:val="24"/>
              </w:rPr>
              <w:t>建设项目</w:t>
            </w:r>
          </w:p>
          <w:p w14:paraId="55D594FA">
            <w:pPr>
              <w:adjustRightInd w:val="0"/>
              <w:snapToGrid w:val="0"/>
              <w:jc w:val="center"/>
              <w:rPr>
                <w:rFonts w:cs="宋体"/>
                <w:sz w:val="24"/>
              </w:rPr>
            </w:pPr>
            <w:r>
              <w:rPr>
                <w:rFonts w:hint="eastAsia" w:cs="宋体"/>
                <w:sz w:val="24"/>
              </w:rPr>
              <w:t>申报情形</w:t>
            </w:r>
          </w:p>
        </w:tc>
        <w:tc>
          <w:tcPr>
            <w:tcW w:w="2643" w:type="dxa"/>
            <w:vAlign w:val="center"/>
          </w:tcPr>
          <w:p w14:paraId="7DC11328">
            <w:pPr>
              <w:jc w:val="left"/>
              <w:rPr>
                <w:rFonts w:cs="宋体"/>
                <w:sz w:val="24"/>
              </w:rPr>
            </w:pPr>
            <w:r>
              <w:rPr>
                <w:rFonts w:hint="eastAsia" w:ascii="Wingdings 2" w:hAnsi="Wingdings 2" w:cs="Segoe UI Emoji"/>
                <w:sz w:val="24"/>
              </w:rPr>
              <w:sym w:font="Wingdings 2" w:char="F052"/>
            </w:r>
            <w:r>
              <w:rPr>
                <w:rFonts w:hint="eastAsia" w:cs="宋体"/>
                <w:sz w:val="24"/>
              </w:rPr>
              <w:t>首次申报项目</w:t>
            </w:r>
            <w:r>
              <w:rPr>
                <w:rFonts w:cs="宋体"/>
                <w:sz w:val="24"/>
              </w:rPr>
              <w:t xml:space="preserve">             </w:t>
            </w:r>
          </w:p>
          <w:p w14:paraId="7308EBA6">
            <w:pPr>
              <w:jc w:val="left"/>
              <w:rPr>
                <w:rFonts w:cs="宋体"/>
                <w:sz w:val="24"/>
              </w:rPr>
            </w:pPr>
            <w:r>
              <w:rPr>
                <w:rFonts w:hint="eastAsia" w:cs="宋体"/>
                <w:sz w:val="24"/>
              </w:rPr>
              <w:t>□不予批准后再次申报项目</w:t>
            </w:r>
          </w:p>
          <w:p w14:paraId="384544E7">
            <w:pPr>
              <w:jc w:val="left"/>
              <w:rPr>
                <w:rFonts w:cs="宋体"/>
                <w:sz w:val="24"/>
              </w:rPr>
            </w:pPr>
            <w:r>
              <w:rPr>
                <w:rFonts w:hint="eastAsia" w:cs="宋体"/>
                <w:sz w:val="24"/>
              </w:rPr>
              <w:t>□超五年重新审核项目</w:t>
            </w:r>
            <w:r>
              <w:rPr>
                <w:rFonts w:cs="宋体"/>
                <w:sz w:val="24"/>
              </w:rPr>
              <w:t xml:space="preserve">     </w:t>
            </w:r>
          </w:p>
          <w:p w14:paraId="547126A9">
            <w:pPr>
              <w:jc w:val="left"/>
              <w:rPr>
                <w:rFonts w:cs="宋体"/>
                <w:sz w:val="24"/>
              </w:rPr>
            </w:pPr>
            <w:r>
              <w:rPr>
                <w:rFonts w:hint="eastAsia" w:cs="宋体"/>
                <w:sz w:val="24"/>
              </w:rPr>
              <w:t>□重大变动重新报批项目</w:t>
            </w:r>
          </w:p>
        </w:tc>
      </w:tr>
      <w:tr w14:paraId="41EAC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550801A1">
            <w:pPr>
              <w:adjustRightInd w:val="0"/>
              <w:snapToGrid w:val="0"/>
              <w:jc w:val="center"/>
              <w:rPr>
                <w:rFonts w:cs="宋体"/>
                <w:sz w:val="24"/>
              </w:rPr>
            </w:pPr>
            <w:r>
              <w:rPr>
                <w:rFonts w:hint="eastAsia" w:cs="宋体"/>
                <w:sz w:val="24"/>
              </w:rPr>
              <w:t>项目审批（核准</w:t>
            </w:r>
            <w:r>
              <w:rPr>
                <w:rFonts w:cs="宋体"/>
                <w:sz w:val="24"/>
              </w:rPr>
              <w:t>/</w:t>
            </w:r>
          </w:p>
          <w:p w14:paraId="2F33589A">
            <w:pPr>
              <w:adjustRightInd w:val="0"/>
              <w:snapToGrid w:val="0"/>
              <w:jc w:val="center"/>
              <w:rPr>
                <w:rFonts w:cs="宋体"/>
                <w:sz w:val="24"/>
              </w:rPr>
            </w:pPr>
            <w:r>
              <w:rPr>
                <w:rFonts w:hint="eastAsia" w:cs="宋体"/>
                <w:sz w:val="24"/>
              </w:rPr>
              <w:t>备案）部门（选填）</w:t>
            </w:r>
          </w:p>
        </w:tc>
        <w:tc>
          <w:tcPr>
            <w:tcW w:w="1719" w:type="dxa"/>
            <w:vAlign w:val="center"/>
          </w:tcPr>
          <w:p w14:paraId="5FDAE0FD">
            <w:pPr>
              <w:adjustRightInd w:val="0"/>
              <w:snapToGrid w:val="0"/>
              <w:jc w:val="center"/>
              <w:rPr>
                <w:rFonts w:cs="宋体"/>
                <w:sz w:val="24"/>
              </w:rPr>
            </w:pPr>
            <w:r>
              <w:rPr>
                <w:rFonts w:hint="eastAsia" w:cs="宋体"/>
                <w:sz w:val="24"/>
              </w:rPr>
              <w:t>/</w:t>
            </w:r>
          </w:p>
        </w:tc>
        <w:tc>
          <w:tcPr>
            <w:tcW w:w="2126" w:type="dxa"/>
            <w:vAlign w:val="center"/>
          </w:tcPr>
          <w:p w14:paraId="6AF629F7">
            <w:pPr>
              <w:adjustRightInd w:val="0"/>
              <w:snapToGrid w:val="0"/>
              <w:jc w:val="center"/>
              <w:rPr>
                <w:rFonts w:cs="宋体"/>
                <w:sz w:val="24"/>
              </w:rPr>
            </w:pPr>
            <w:r>
              <w:rPr>
                <w:rFonts w:hint="eastAsia" w:cs="宋体"/>
                <w:sz w:val="24"/>
              </w:rPr>
              <w:t>项目审批（核准</w:t>
            </w:r>
            <w:r>
              <w:rPr>
                <w:rFonts w:cs="宋体"/>
                <w:sz w:val="24"/>
              </w:rPr>
              <w:t>/</w:t>
            </w:r>
          </w:p>
          <w:p w14:paraId="00B4E3B1">
            <w:pPr>
              <w:adjustRightInd w:val="0"/>
              <w:snapToGrid w:val="0"/>
              <w:jc w:val="center"/>
              <w:rPr>
                <w:rFonts w:cs="宋体"/>
                <w:sz w:val="24"/>
              </w:rPr>
            </w:pPr>
            <w:r>
              <w:rPr>
                <w:rFonts w:hint="eastAsia" w:cs="宋体"/>
                <w:sz w:val="24"/>
              </w:rPr>
              <w:t>备案）文号（选填）</w:t>
            </w:r>
          </w:p>
        </w:tc>
        <w:tc>
          <w:tcPr>
            <w:tcW w:w="2643" w:type="dxa"/>
            <w:vAlign w:val="center"/>
          </w:tcPr>
          <w:p w14:paraId="368FB3A0">
            <w:pPr>
              <w:adjustRightInd w:val="0"/>
              <w:snapToGrid w:val="0"/>
              <w:jc w:val="center"/>
              <w:rPr>
                <w:rFonts w:cs="宋体"/>
                <w:sz w:val="24"/>
              </w:rPr>
            </w:pPr>
            <w:r>
              <w:rPr>
                <w:rFonts w:hint="eastAsia" w:cs="宋体"/>
                <w:sz w:val="24"/>
              </w:rPr>
              <w:t>/</w:t>
            </w:r>
          </w:p>
        </w:tc>
      </w:tr>
      <w:tr w14:paraId="66153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6816076D">
            <w:pPr>
              <w:adjustRightInd w:val="0"/>
              <w:snapToGrid w:val="0"/>
              <w:jc w:val="center"/>
              <w:rPr>
                <w:rFonts w:cs="宋体"/>
                <w:sz w:val="24"/>
              </w:rPr>
            </w:pPr>
            <w:r>
              <w:rPr>
                <w:rFonts w:hint="eastAsia" w:cs="宋体"/>
                <w:sz w:val="24"/>
              </w:rPr>
              <w:t>总投资（万元）</w:t>
            </w:r>
          </w:p>
        </w:tc>
        <w:tc>
          <w:tcPr>
            <w:tcW w:w="1719" w:type="dxa"/>
            <w:vAlign w:val="center"/>
          </w:tcPr>
          <w:p w14:paraId="3027DB68">
            <w:pPr>
              <w:adjustRightInd w:val="0"/>
              <w:snapToGrid w:val="0"/>
              <w:jc w:val="center"/>
              <w:rPr>
                <w:rFonts w:cs="宋体"/>
                <w:sz w:val="24"/>
              </w:rPr>
            </w:pPr>
            <w:r>
              <w:rPr>
                <w:rFonts w:hint="eastAsia" w:cs="宋体"/>
                <w:sz w:val="24"/>
              </w:rPr>
              <w:t>1182.61</w:t>
            </w:r>
          </w:p>
        </w:tc>
        <w:tc>
          <w:tcPr>
            <w:tcW w:w="2126" w:type="dxa"/>
            <w:tcMar>
              <w:top w:w="16" w:type="dxa"/>
              <w:left w:w="16" w:type="dxa"/>
              <w:right w:w="16" w:type="dxa"/>
            </w:tcMar>
            <w:vAlign w:val="center"/>
          </w:tcPr>
          <w:p w14:paraId="0418F376">
            <w:pPr>
              <w:adjustRightInd w:val="0"/>
              <w:snapToGrid w:val="0"/>
              <w:jc w:val="center"/>
              <w:rPr>
                <w:rFonts w:cs="宋体"/>
                <w:sz w:val="24"/>
              </w:rPr>
            </w:pPr>
            <w:r>
              <w:rPr>
                <w:rFonts w:hint="eastAsia" w:cs="宋体"/>
                <w:sz w:val="24"/>
              </w:rPr>
              <w:t>环保投资（万元）</w:t>
            </w:r>
          </w:p>
        </w:tc>
        <w:tc>
          <w:tcPr>
            <w:tcW w:w="2643" w:type="dxa"/>
            <w:vAlign w:val="center"/>
          </w:tcPr>
          <w:p w14:paraId="4C409EB4">
            <w:pPr>
              <w:adjustRightInd w:val="0"/>
              <w:snapToGrid w:val="0"/>
              <w:jc w:val="center"/>
              <w:rPr>
                <w:rFonts w:cs="宋体"/>
                <w:sz w:val="24"/>
              </w:rPr>
            </w:pPr>
            <w:r>
              <w:rPr>
                <w:rFonts w:hint="eastAsia" w:cs="宋体"/>
                <w:sz w:val="24"/>
              </w:rPr>
              <w:t>16.00</w:t>
            </w:r>
          </w:p>
        </w:tc>
      </w:tr>
      <w:tr w14:paraId="7CF07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738BE7E">
            <w:pPr>
              <w:adjustRightInd w:val="0"/>
              <w:snapToGrid w:val="0"/>
              <w:jc w:val="center"/>
              <w:rPr>
                <w:rFonts w:cs="宋体"/>
                <w:sz w:val="24"/>
              </w:rPr>
            </w:pPr>
            <w:r>
              <w:rPr>
                <w:rFonts w:hint="eastAsia" w:cs="宋体"/>
                <w:sz w:val="24"/>
              </w:rPr>
              <w:t>环保投资占比（</w:t>
            </w:r>
            <w:r>
              <w:rPr>
                <w:rFonts w:cs="宋体"/>
                <w:sz w:val="24"/>
              </w:rPr>
              <w:t>%</w:t>
            </w:r>
            <w:r>
              <w:rPr>
                <w:rFonts w:hint="eastAsia" w:cs="宋体"/>
                <w:sz w:val="24"/>
              </w:rPr>
              <w:t>）</w:t>
            </w:r>
          </w:p>
        </w:tc>
        <w:tc>
          <w:tcPr>
            <w:tcW w:w="1719" w:type="dxa"/>
            <w:vAlign w:val="center"/>
          </w:tcPr>
          <w:p w14:paraId="36F0CD87">
            <w:pPr>
              <w:adjustRightInd w:val="0"/>
              <w:snapToGrid w:val="0"/>
              <w:jc w:val="center"/>
              <w:rPr>
                <w:rFonts w:cs="宋体"/>
                <w:sz w:val="24"/>
              </w:rPr>
            </w:pPr>
            <w:r>
              <w:rPr>
                <w:rFonts w:hint="eastAsia" w:cs="宋体"/>
                <w:sz w:val="24"/>
              </w:rPr>
              <w:t>1.4</w:t>
            </w:r>
          </w:p>
        </w:tc>
        <w:tc>
          <w:tcPr>
            <w:tcW w:w="2126" w:type="dxa"/>
            <w:tcMar>
              <w:top w:w="16" w:type="dxa"/>
              <w:left w:w="16" w:type="dxa"/>
              <w:right w:w="16" w:type="dxa"/>
            </w:tcMar>
            <w:vAlign w:val="center"/>
          </w:tcPr>
          <w:p w14:paraId="4F098125">
            <w:pPr>
              <w:adjustRightInd w:val="0"/>
              <w:snapToGrid w:val="0"/>
              <w:jc w:val="center"/>
              <w:rPr>
                <w:rFonts w:cs="宋体"/>
                <w:sz w:val="24"/>
              </w:rPr>
            </w:pPr>
            <w:r>
              <w:rPr>
                <w:rFonts w:hint="eastAsia" w:cs="宋体"/>
                <w:sz w:val="24"/>
              </w:rPr>
              <w:t>施工工期</w:t>
            </w:r>
          </w:p>
        </w:tc>
        <w:tc>
          <w:tcPr>
            <w:tcW w:w="2643" w:type="dxa"/>
            <w:vAlign w:val="center"/>
          </w:tcPr>
          <w:p w14:paraId="3AAC3EC2">
            <w:pPr>
              <w:adjustRightInd w:val="0"/>
              <w:snapToGrid w:val="0"/>
              <w:jc w:val="center"/>
              <w:rPr>
                <w:rFonts w:cs="宋体"/>
                <w:sz w:val="24"/>
              </w:rPr>
            </w:pPr>
            <w:r>
              <w:rPr>
                <w:rFonts w:hint="eastAsia" w:cs="宋体"/>
                <w:sz w:val="24"/>
              </w:rPr>
              <w:t>12个月</w:t>
            </w:r>
          </w:p>
        </w:tc>
      </w:tr>
      <w:tr w14:paraId="20739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0CE4E8C">
            <w:pPr>
              <w:adjustRightInd w:val="0"/>
              <w:snapToGrid w:val="0"/>
              <w:jc w:val="center"/>
              <w:rPr>
                <w:rFonts w:cs="宋体"/>
                <w:sz w:val="24"/>
              </w:rPr>
            </w:pPr>
            <w:r>
              <w:rPr>
                <w:rFonts w:hint="eastAsia" w:cs="宋体"/>
                <w:sz w:val="24"/>
              </w:rPr>
              <w:t>是否开工建设</w:t>
            </w:r>
          </w:p>
        </w:tc>
        <w:tc>
          <w:tcPr>
            <w:tcW w:w="1719" w:type="dxa"/>
            <w:vAlign w:val="center"/>
          </w:tcPr>
          <w:p w14:paraId="75A80DA0">
            <w:pPr>
              <w:adjustRightInd w:val="0"/>
              <w:snapToGrid w:val="0"/>
              <w:rPr>
                <w:rFonts w:cs="宋体"/>
                <w:sz w:val="24"/>
              </w:rPr>
            </w:pPr>
            <w:r>
              <w:rPr>
                <w:rFonts w:hint="eastAsia" w:ascii="Wingdings 2" w:hAnsi="Wingdings 2" w:cs="Segoe UI Emoji"/>
                <w:sz w:val="24"/>
              </w:rPr>
              <w:sym w:font="Wingdings 2" w:char="F052"/>
            </w:r>
            <w:r>
              <w:rPr>
                <w:rFonts w:hint="eastAsia" w:cs="宋体"/>
                <w:sz w:val="24"/>
              </w:rPr>
              <w:t>否</w:t>
            </w:r>
          </w:p>
          <w:p w14:paraId="4B1F98E1">
            <w:pPr>
              <w:adjustRightInd w:val="0"/>
              <w:snapToGrid w:val="0"/>
              <w:rPr>
                <w:rFonts w:cs="宋体"/>
                <w:sz w:val="24"/>
              </w:rPr>
            </w:pPr>
            <w:r>
              <w:rPr>
                <w:rFonts w:hint="eastAsia" w:cs="宋体"/>
                <w:sz w:val="24"/>
              </w:rPr>
              <w:t>□是：</w:t>
            </w:r>
            <w:r>
              <w:rPr>
                <w:rFonts w:hint="eastAsia" w:cs="宋体"/>
                <w:sz w:val="24"/>
                <w:u w:val="single"/>
              </w:rPr>
              <w:t xml:space="preserve">            </w:t>
            </w:r>
          </w:p>
        </w:tc>
        <w:tc>
          <w:tcPr>
            <w:tcW w:w="2126" w:type="dxa"/>
            <w:tcMar>
              <w:top w:w="16" w:type="dxa"/>
              <w:left w:w="16" w:type="dxa"/>
              <w:right w:w="16" w:type="dxa"/>
            </w:tcMar>
            <w:vAlign w:val="center"/>
          </w:tcPr>
          <w:p w14:paraId="1638BCFE">
            <w:pPr>
              <w:adjustRightInd w:val="0"/>
              <w:snapToGrid w:val="0"/>
              <w:jc w:val="center"/>
              <w:rPr>
                <w:rFonts w:cs="宋体"/>
                <w:spacing w:val="-6"/>
                <w:sz w:val="24"/>
              </w:rPr>
            </w:pPr>
            <w:r>
              <w:rPr>
                <w:rFonts w:hint="eastAsia" w:cs="宋体"/>
                <w:spacing w:val="-6"/>
                <w:sz w:val="24"/>
              </w:rPr>
              <w:t>用地面积（</w:t>
            </w:r>
            <w:r>
              <w:rPr>
                <w:rFonts w:cs="宋体"/>
                <w:spacing w:val="-6"/>
                <w:sz w:val="24"/>
              </w:rPr>
              <w:t>m</w:t>
            </w:r>
            <w:r>
              <w:rPr>
                <w:rFonts w:cs="宋体"/>
                <w:spacing w:val="-6"/>
                <w:sz w:val="24"/>
                <w:vertAlign w:val="superscript"/>
              </w:rPr>
              <w:t>2</w:t>
            </w:r>
            <w:r>
              <w:rPr>
                <w:rFonts w:hint="eastAsia" w:cs="宋体"/>
                <w:spacing w:val="-6"/>
                <w:sz w:val="24"/>
              </w:rPr>
              <w:t>）</w:t>
            </w:r>
          </w:p>
        </w:tc>
        <w:tc>
          <w:tcPr>
            <w:tcW w:w="2643" w:type="dxa"/>
            <w:vAlign w:val="center"/>
          </w:tcPr>
          <w:p w14:paraId="19B71A2B">
            <w:pPr>
              <w:adjustRightInd w:val="0"/>
              <w:snapToGrid w:val="0"/>
              <w:jc w:val="center"/>
              <w:rPr>
                <w:rFonts w:cs="宋体"/>
                <w:sz w:val="24"/>
              </w:rPr>
            </w:pPr>
            <w:r>
              <w:rPr>
                <w:rFonts w:hint="eastAsia" w:cs="宋体"/>
                <w:sz w:val="24"/>
              </w:rPr>
              <w:t>2888.5</w:t>
            </w:r>
          </w:p>
        </w:tc>
      </w:tr>
      <w:tr w14:paraId="37735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382" w:type="dxa"/>
            <w:vAlign w:val="center"/>
          </w:tcPr>
          <w:p w14:paraId="0DAC296E">
            <w:pPr>
              <w:autoSpaceDE w:val="0"/>
              <w:autoSpaceDN w:val="0"/>
              <w:adjustRightInd w:val="0"/>
              <w:snapToGrid w:val="0"/>
              <w:jc w:val="center"/>
              <w:rPr>
                <w:rFonts w:cs="宋体"/>
                <w:kern w:val="0"/>
                <w:sz w:val="24"/>
              </w:rPr>
            </w:pPr>
            <w:r>
              <w:rPr>
                <w:rFonts w:hint="eastAsia" w:cs="宋体"/>
                <w:kern w:val="0"/>
                <w:sz w:val="24"/>
              </w:rPr>
              <w:t>专项评价设置情况</w:t>
            </w:r>
          </w:p>
        </w:tc>
        <w:tc>
          <w:tcPr>
            <w:tcW w:w="6488" w:type="dxa"/>
            <w:gridSpan w:val="3"/>
            <w:vAlign w:val="center"/>
          </w:tcPr>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2729"/>
              <w:gridCol w:w="2888"/>
            </w:tblGrid>
            <w:tr w14:paraId="11FD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7DB4947">
                  <w:pPr>
                    <w:autoSpaceDE w:val="0"/>
                    <w:autoSpaceDN w:val="0"/>
                    <w:adjustRightInd w:val="0"/>
                    <w:snapToGrid w:val="0"/>
                    <w:jc w:val="center"/>
                    <w:rPr>
                      <w:rFonts w:cs="宋体"/>
                      <w:b/>
                      <w:bCs/>
                      <w:kern w:val="0"/>
                      <w:sz w:val="18"/>
                      <w:szCs w:val="18"/>
                    </w:rPr>
                  </w:pPr>
                  <w:r>
                    <w:rPr>
                      <w:rFonts w:hint="eastAsia" w:cs="宋体"/>
                      <w:b/>
                      <w:bCs/>
                      <w:kern w:val="0"/>
                      <w:sz w:val="18"/>
                      <w:szCs w:val="18"/>
                    </w:rPr>
                    <w:t>专项评价的类别</w:t>
                  </w:r>
                </w:p>
              </w:tc>
              <w:tc>
                <w:tcPr>
                  <w:tcW w:w="0" w:type="auto"/>
                  <w:vAlign w:val="center"/>
                </w:tcPr>
                <w:p w14:paraId="2296E5DD">
                  <w:pPr>
                    <w:autoSpaceDE w:val="0"/>
                    <w:autoSpaceDN w:val="0"/>
                    <w:adjustRightInd w:val="0"/>
                    <w:snapToGrid w:val="0"/>
                    <w:jc w:val="center"/>
                    <w:rPr>
                      <w:rFonts w:cs="宋体"/>
                      <w:b/>
                      <w:bCs/>
                      <w:kern w:val="0"/>
                      <w:sz w:val="18"/>
                      <w:szCs w:val="18"/>
                    </w:rPr>
                  </w:pPr>
                  <w:r>
                    <w:rPr>
                      <w:rFonts w:hint="eastAsia" w:cs="宋体"/>
                      <w:b/>
                      <w:bCs/>
                      <w:kern w:val="0"/>
                      <w:sz w:val="18"/>
                      <w:szCs w:val="18"/>
                    </w:rPr>
                    <w:t>设置原则</w:t>
                  </w:r>
                </w:p>
              </w:tc>
              <w:tc>
                <w:tcPr>
                  <w:tcW w:w="0" w:type="auto"/>
                  <w:vAlign w:val="center"/>
                </w:tcPr>
                <w:p w14:paraId="77625B74">
                  <w:pPr>
                    <w:autoSpaceDE w:val="0"/>
                    <w:autoSpaceDN w:val="0"/>
                    <w:adjustRightInd w:val="0"/>
                    <w:snapToGrid w:val="0"/>
                    <w:jc w:val="center"/>
                    <w:rPr>
                      <w:rFonts w:cs="宋体"/>
                      <w:b/>
                      <w:bCs/>
                      <w:kern w:val="0"/>
                      <w:sz w:val="18"/>
                      <w:szCs w:val="18"/>
                    </w:rPr>
                  </w:pPr>
                  <w:r>
                    <w:rPr>
                      <w:rFonts w:cs="宋体"/>
                      <w:b/>
                      <w:bCs/>
                      <w:kern w:val="0"/>
                      <w:sz w:val="18"/>
                      <w:szCs w:val="18"/>
                    </w:rPr>
                    <w:t>本项目情况</w:t>
                  </w:r>
                </w:p>
              </w:tc>
            </w:tr>
            <w:tr w14:paraId="03A9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96620E">
                  <w:pPr>
                    <w:autoSpaceDE w:val="0"/>
                    <w:autoSpaceDN w:val="0"/>
                    <w:adjustRightInd w:val="0"/>
                    <w:snapToGrid w:val="0"/>
                    <w:jc w:val="center"/>
                    <w:rPr>
                      <w:rFonts w:cs="宋体"/>
                      <w:kern w:val="0"/>
                      <w:sz w:val="18"/>
                      <w:szCs w:val="18"/>
                    </w:rPr>
                  </w:pPr>
                  <w:r>
                    <w:rPr>
                      <w:rFonts w:hint="eastAsia" w:cs="宋体"/>
                      <w:kern w:val="0"/>
                      <w:sz w:val="18"/>
                      <w:szCs w:val="18"/>
                    </w:rPr>
                    <w:t>大气</w:t>
                  </w:r>
                </w:p>
              </w:tc>
              <w:tc>
                <w:tcPr>
                  <w:tcW w:w="0" w:type="auto"/>
                  <w:vAlign w:val="center"/>
                </w:tcPr>
                <w:p w14:paraId="4E3C8AE7">
                  <w:pPr>
                    <w:autoSpaceDE w:val="0"/>
                    <w:autoSpaceDN w:val="0"/>
                    <w:adjustRightInd w:val="0"/>
                    <w:snapToGrid w:val="0"/>
                    <w:jc w:val="center"/>
                    <w:rPr>
                      <w:rFonts w:cs="宋体"/>
                      <w:kern w:val="0"/>
                      <w:sz w:val="18"/>
                      <w:szCs w:val="18"/>
                    </w:rPr>
                  </w:pPr>
                  <w:r>
                    <w:rPr>
                      <w:rFonts w:hint="eastAsia" w:cs="宋体"/>
                      <w:kern w:val="0"/>
                      <w:sz w:val="18"/>
                      <w:szCs w:val="18"/>
                    </w:rPr>
                    <w:t>排放废气含有毒有害污染物、二噁英、苯并[a]芘、氰化物、氯气且厂界外500 米范围内有环境空气保护目标的建设项目。</w:t>
                  </w:r>
                </w:p>
              </w:tc>
              <w:tc>
                <w:tcPr>
                  <w:tcW w:w="0" w:type="auto"/>
                  <w:vAlign w:val="center"/>
                </w:tcPr>
                <w:p w14:paraId="34604294">
                  <w:pPr>
                    <w:autoSpaceDE w:val="0"/>
                    <w:autoSpaceDN w:val="0"/>
                    <w:adjustRightInd w:val="0"/>
                    <w:snapToGrid w:val="0"/>
                    <w:jc w:val="center"/>
                    <w:rPr>
                      <w:rFonts w:cs="宋体"/>
                      <w:kern w:val="0"/>
                      <w:sz w:val="18"/>
                      <w:szCs w:val="18"/>
                    </w:rPr>
                  </w:pPr>
                  <w:r>
                    <w:rPr>
                      <w:rFonts w:hint="eastAsia" w:cs="宋体"/>
                      <w:kern w:val="0"/>
                      <w:sz w:val="18"/>
                      <w:szCs w:val="18"/>
                    </w:rPr>
                    <w:t>本项目不排放《有毒有害大气污染物名录》的污染物）二噁英、苯并[a]芘、氰化物、氯气等污染物。因此，无需开展大气专项评价。</w:t>
                  </w:r>
                </w:p>
              </w:tc>
            </w:tr>
            <w:tr w14:paraId="75A0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BD000E9">
                  <w:pPr>
                    <w:autoSpaceDE w:val="0"/>
                    <w:autoSpaceDN w:val="0"/>
                    <w:adjustRightInd w:val="0"/>
                    <w:snapToGrid w:val="0"/>
                    <w:jc w:val="center"/>
                    <w:rPr>
                      <w:rFonts w:cs="宋体"/>
                      <w:kern w:val="0"/>
                      <w:sz w:val="18"/>
                      <w:szCs w:val="18"/>
                    </w:rPr>
                  </w:pPr>
                  <w:r>
                    <w:rPr>
                      <w:rFonts w:hint="eastAsia" w:cs="宋体"/>
                      <w:kern w:val="0"/>
                      <w:sz w:val="18"/>
                      <w:szCs w:val="18"/>
                    </w:rPr>
                    <w:t>地表水</w:t>
                  </w:r>
                </w:p>
              </w:tc>
              <w:tc>
                <w:tcPr>
                  <w:tcW w:w="0" w:type="auto"/>
                  <w:vAlign w:val="center"/>
                </w:tcPr>
                <w:p w14:paraId="59F48F03">
                  <w:pPr>
                    <w:autoSpaceDE w:val="0"/>
                    <w:autoSpaceDN w:val="0"/>
                    <w:adjustRightInd w:val="0"/>
                    <w:snapToGrid w:val="0"/>
                    <w:jc w:val="center"/>
                    <w:rPr>
                      <w:rFonts w:cs="宋体"/>
                      <w:kern w:val="0"/>
                      <w:sz w:val="18"/>
                      <w:szCs w:val="18"/>
                    </w:rPr>
                  </w:pPr>
                  <w:r>
                    <w:rPr>
                      <w:rFonts w:hint="eastAsia" w:cs="宋体"/>
                      <w:kern w:val="0"/>
                      <w:sz w:val="18"/>
                      <w:szCs w:val="18"/>
                    </w:rPr>
                    <w:t>新增工业废水直排建设项目(</w:t>
                  </w:r>
                  <w:r>
                    <w:rPr>
                      <w:rFonts w:hint="eastAsia" w:cs="宋体"/>
                      <w:kern w:val="0"/>
                      <w:sz w:val="18"/>
                      <w:szCs w:val="18"/>
                      <w:lang w:eastAsia="zh-CN"/>
                    </w:rPr>
                    <w:t>（</w:t>
                  </w:r>
                  <w:r>
                    <w:rPr>
                      <w:rFonts w:hint="eastAsia" w:cs="宋体"/>
                      <w:kern w:val="0"/>
                      <w:sz w:val="18"/>
                      <w:szCs w:val="18"/>
                    </w:rPr>
                    <w:t>罐车外送污水处理厂的除外)</w:t>
                  </w:r>
                  <w:r>
                    <w:rPr>
                      <w:rFonts w:hint="eastAsia" w:cs="宋体"/>
                      <w:kern w:val="0"/>
                      <w:sz w:val="18"/>
                      <w:szCs w:val="18"/>
                      <w:lang w:eastAsia="zh-CN"/>
                    </w:rPr>
                    <w:t>）</w:t>
                  </w:r>
                </w:p>
                <w:p w14:paraId="15BFAEC2">
                  <w:pPr>
                    <w:autoSpaceDE w:val="0"/>
                    <w:autoSpaceDN w:val="0"/>
                    <w:adjustRightInd w:val="0"/>
                    <w:snapToGrid w:val="0"/>
                    <w:jc w:val="center"/>
                    <w:rPr>
                      <w:rFonts w:cs="宋体"/>
                      <w:kern w:val="0"/>
                      <w:sz w:val="18"/>
                      <w:szCs w:val="18"/>
                    </w:rPr>
                  </w:pPr>
                  <w:r>
                    <w:rPr>
                      <w:rFonts w:hint="eastAsia" w:cs="宋体"/>
                      <w:kern w:val="0"/>
                      <w:sz w:val="18"/>
                      <w:szCs w:val="18"/>
                    </w:rPr>
                    <w:t>新增废水直排的污水集中处理厂。</w:t>
                  </w:r>
                </w:p>
              </w:tc>
              <w:tc>
                <w:tcPr>
                  <w:tcW w:w="0" w:type="auto"/>
                  <w:vAlign w:val="center"/>
                </w:tcPr>
                <w:p w14:paraId="16FC1714">
                  <w:pPr>
                    <w:autoSpaceDE w:val="0"/>
                    <w:autoSpaceDN w:val="0"/>
                    <w:adjustRightInd w:val="0"/>
                    <w:snapToGrid w:val="0"/>
                    <w:jc w:val="center"/>
                    <w:rPr>
                      <w:rFonts w:cs="宋体"/>
                      <w:kern w:val="0"/>
                      <w:sz w:val="18"/>
                      <w:szCs w:val="18"/>
                    </w:rPr>
                  </w:pPr>
                  <w:r>
                    <w:rPr>
                      <w:rFonts w:hint="eastAsia" w:cs="宋体"/>
                      <w:kern w:val="0"/>
                      <w:sz w:val="18"/>
                      <w:szCs w:val="18"/>
                    </w:rPr>
                    <w:t>本项目不属于工业项目，废水为间接排放。因此，无需开展地表水专项评价。</w:t>
                  </w:r>
                </w:p>
              </w:tc>
            </w:tr>
            <w:tr w14:paraId="7540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63569F2">
                  <w:pPr>
                    <w:autoSpaceDE w:val="0"/>
                    <w:autoSpaceDN w:val="0"/>
                    <w:adjustRightInd w:val="0"/>
                    <w:snapToGrid w:val="0"/>
                    <w:jc w:val="center"/>
                    <w:rPr>
                      <w:rFonts w:cs="宋体"/>
                      <w:kern w:val="0"/>
                      <w:sz w:val="18"/>
                      <w:szCs w:val="18"/>
                    </w:rPr>
                  </w:pPr>
                  <w:r>
                    <w:rPr>
                      <w:rFonts w:hint="eastAsia" w:cs="宋体"/>
                      <w:kern w:val="0"/>
                      <w:sz w:val="18"/>
                      <w:szCs w:val="18"/>
                    </w:rPr>
                    <w:t>环境风险</w:t>
                  </w:r>
                </w:p>
              </w:tc>
              <w:tc>
                <w:tcPr>
                  <w:tcW w:w="0" w:type="auto"/>
                  <w:vAlign w:val="center"/>
                </w:tcPr>
                <w:p w14:paraId="1A2E174C">
                  <w:pPr>
                    <w:autoSpaceDE w:val="0"/>
                    <w:autoSpaceDN w:val="0"/>
                    <w:adjustRightInd w:val="0"/>
                    <w:snapToGrid w:val="0"/>
                    <w:jc w:val="center"/>
                    <w:rPr>
                      <w:rFonts w:cs="宋体"/>
                      <w:kern w:val="0"/>
                      <w:sz w:val="18"/>
                      <w:szCs w:val="18"/>
                    </w:rPr>
                  </w:pPr>
                  <w:r>
                    <w:rPr>
                      <w:rFonts w:hint="eastAsia" w:cs="宋体"/>
                      <w:kern w:val="0"/>
                      <w:sz w:val="18"/>
                      <w:szCs w:val="18"/>
                    </w:rPr>
                    <w:t>有毒有害和易燃易爆危险物质存储量超过临界量"的建设项目。</w:t>
                  </w:r>
                </w:p>
              </w:tc>
              <w:tc>
                <w:tcPr>
                  <w:tcW w:w="0" w:type="auto"/>
                  <w:vAlign w:val="center"/>
                </w:tcPr>
                <w:p w14:paraId="1A371566">
                  <w:pPr>
                    <w:autoSpaceDE w:val="0"/>
                    <w:autoSpaceDN w:val="0"/>
                    <w:adjustRightInd w:val="0"/>
                    <w:snapToGrid w:val="0"/>
                    <w:jc w:val="center"/>
                    <w:rPr>
                      <w:rFonts w:cs="宋体"/>
                      <w:kern w:val="0"/>
                      <w:sz w:val="18"/>
                      <w:szCs w:val="18"/>
                    </w:rPr>
                  </w:pPr>
                  <w:r>
                    <w:rPr>
                      <w:rFonts w:hint="eastAsia" w:cs="宋体"/>
                      <w:kern w:val="0"/>
                      <w:sz w:val="18"/>
                      <w:szCs w:val="18"/>
                    </w:rPr>
                    <w:t>本项目存储的有毒有害和易燃易爆危险物质存储量均未超过临界量。因此，无需开展环境风险专项评价。</w:t>
                  </w:r>
                </w:p>
              </w:tc>
            </w:tr>
            <w:tr w14:paraId="69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6E68AD3">
                  <w:pPr>
                    <w:autoSpaceDE w:val="0"/>
                    <w:autoSpaceDN w:val="0"/>
                    <w:adjustRightInd w:val="0"/>
                    <w:snapToGrid w:val="0"/>
                    <w:jc w:val="center"/>
                    <w:rPr>
                      <w:rFonts w:cs="宋体"/>
                      <w:kern w:val="0"/>
                      <w:sz w:val="18"/>
                      <w:szCs w:val="18"/>
                    </w:rPr>
                  </w:pPr>
                  <w:r>
                    <w:rPr>
                      <w:rFonts w:hint="eastAsia" w:cs="宋体"/>
                      <w:kern w:val="0"/>
                      <w:sz w:val="18"/>
                      <w:szCs w:val="18"/>
                    </w:rPr>
                    <w:t>生态</w:t>
                  </w:r>
                </w:p>
              </w:tc>
              <w:tc>
                <w:tcPr>
                  <w:tcW w:w="0" w:type="auto"/>
                  <w:vAlign w:val="center"/>
                </w:tcPr>
                <w:p w14:paraId="15689BD8">
                  <w:pPr>
                    <w:autoSpaceDE w:val="0"/>
                    <w:autoSpaceDN w:val="0"/>
                    <w:adjustRightInd w:val="0"/>
                    <w:snapToGrid w:val="0"/>
                    <w:jc w:val="center"/>
                    <w:rPr>
                      <w:rFonts w:cs="宋体"/>
                      <w:kern w:val="0"/>
                      <w:sz w:val="18"/>
                      <w:szCs w:val="18"/>
                    </w:rPr>
                  </w:pPr>
                  <w:r>
                    <w:rPr>
                      <w:rFonts w:hint="eastAsia" w:cs="宋体"/>
                      <w:kern w:val="0"/>
                      <w:sz w:val="18"/>
                      <w:szCs w:val="18"/>
                    </w:rPr>
                    <w:t>取水口下游500米范围内有重要水生生物的自然产卵场、索饵场、越冬场和洄游通道的新增河道取水的污染类建设项目。</w:t>
                  </w:r>
                </w:p>
              </w:tc>
              <w:tc>
                <w:tcPr>
                  <w:tcW w:w="0" w:type="auto"/>
                  <w:vAlign w:val="center"/>
                </w:tcPr>
                <w:p w14:paraId="098218E8">
                  <w:pPr>
                    <w:autoSpaceDE w:val="0"/>
                    <w:autoSpaceDN w:val="0"/>
                    <w:adjustRightInd w:val="0"/>
                    <w:snapToGrid w:val="0"/>
                    <w:jc w:val="center"/>
                    <w:rPr>
                      <w:rFonts w:cs="宋体"/>
                      <w:kern w:val="0"/>
                      <w:sz w:val="18"/>
                      <w:szCs w:val="18"/>
                    </w:rPr>
                  </w:pPr>
                  <w:r>
                    <w:rPr>
                      <w:rFonts w:hint="eastAsia" w:cs="宋体"/>
                      <w:kern w:val="0"/>
                      <w:sz w:val="18"/>
                      <w:szCs w:val="18"/>
                    </w:rPr>
                    <w:t>本项目为实验室项目，不涉及取水口。因此，本项目无需开展生态专项评价。</w:t>
                  </w:r>
                </w:p>
              </w:tc>
            </w:tr>
            <w:tr w14:paraId="06F2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FA51D6">
                  <w:pPr>
                    <w:autoSpaceDE w:val="0"/>
                    <w:autoSpaceDN w:val="0"/>
                    <w:adjustRightInd w:val="0"/>
                    <w:snapToGrid w:val="0"/>
                    <w:jc w:val="center"/>
                    <w:rPr>
                      <w:rFonts w:cs="宋体"/>
                      <w:kern w:val="0"/>
                      <w:sz w:val="18"/>
                      <w:szCs w:val="18"/>
                    </w:rPr>
                  </w:pPr>
                  <w:r>
                    <w:rPr>
                      <w:rFonts w:hint="eastAsia" w:cs="宋体"/>
                      <w:kern w:val="0"/>
                      <w:sz w:val="18"/>
                      <w:szCs w:val="18"/>
                    </w:rPr>
                    <w:t>海洋</w:t>
                  </w:r>
                </w:p>
              </w:tc>
              <w:tc>
                <w:tcPr>
                  <w:tcW w:w="0" w:type="auto"/>
                  <w:vAlign w:val="center"/>
                </w:tcPr>
                <w:p w14:paraId="732253B5">
                  <w:pPr>
                    <w:autoSpaceDE w:val="0"/>
                    <w:autoSpaceDN w:val="0"/>
                    <w:adjustRightInd w:val="0"/>
                    <w:snapToGrid w:val="0"/>
                    <w:jc w:val="center"/>
                    <w:rPr>
                      <w:rFonts w:cs="宋体"/>
                      <w:kern w:val="0"/>
                      <w:sz w:val="18"/>
                      <w:szCs w:val="18"/>
                    </w:rPr>
                  </w:pPr>
                  <w:r>
                    <w:rPr>
                      <w:rFonts w:hint="eastAsia" w:cs="宋体"/>
                      <w:kern w:val="0"/>
                      <w:sz w:val="18"/>
                      <w:szCs w:val="18"/>
                    </w:rPr>
                    <w:t>直接向海排放污染物的海洋工程建设项目。</w:t>
                  </w:r>
                </w:p>
              </w:tc>
              <w:tc>
                <w:tcPr>
                  <w:tcW w:w="0" w:type="auto"/>
                  <w:vAlign w:val="center"/>
                </w:tcPr>
                <w:p w14:paraId="709BC668">
                  <w:pPr>
                    <w:autoSpaceDE w:val="0"/>
                    <w:autoSpaceDN w:val="0"/>
                    <w:adjustRightInd w:val="0"/>
                    <w:snapToGrid w:val="0"/>
                    <w:jc w:val="center"/>
                    <w:rPr>
                      <w:rFonts w:cs="宋体"/>
                      <w:kern w:val="0"/>
                      <w:sz w:val="18"/>
                      <w:szCs w:val="18"/>
                    </w:rPr>
                  </w:pPr>
                  <w:r>
                    <w:rPr>
                      <w:rFonts w:hint="eastAsia" w:cs="宋体"/>
                      <w:kern w:val="0"/>
                      <w:sz w:val="18"/>
                      <w:szCs w:val="18"/>
                    </w:rPr>
                    <w:t>本项目为实验室项目，不属于海洋工程建设项目。因此。本项目无需开展海洋专项评价。</w:t>
                  </w:r>
                </w:p>
              </w:tc>
            </w:tr>
          </w:tbl>
          <w:p w14:paraId="20BE1689">
            <w:pPr>
              <w:autoSpaceDE w:val="0"/>
              <w:autoSpaceDN w:val="0"/>
              <w:adjustRightInd w:val="0"/>
              <w:snapToGrid w:val="0"/>
              <w:ind w:firstLine="480" w:firstLineChars="200"/>
              <w:rPr>
                <w:rFonts w:cs="宋体"/>
                <w:kern w:val="0"/>
                <w:sz w:val="24"/>
              </w:rPr>
            </w:pPr>
            <w:r>
              <w:rPr>
                <w:rFonts w:hint="eastAsia"/>
                <w:sz w:val="24"/>
              </w:rPr>
              <w:t>综上，本项目不设置专项评价</w:t>
            </w:r>
          </w:p>
        </w:tc>
      </w:tr>
      <w:tr w14:paraId="3F399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382" w:type="dxa"/>
            <w:vAlign w:val="center"/>
          </w:tcPr>
          <w:p w14:paraId="5F6CDDC0">
            <w:pPr>
              <w:autoSpaceDE w:val="0"/>
              <w:autoSpaceDN w:val="0"/>
              <w:adjustRightInd w:val="0"/>
              <w:snapToGrid w:val="0"/>
              <w:jc w:val="center"/>
              <w:rPr>
                <w:rFonts w:cs="宋体"/>
                <w:kern w:val="0"/>
                <w:sz w:val="24"/>
              </w:rPr>
            </w:pPr>
            <w:r>
              <w:rPr>
                <w:rFonts w:hint="eastAsia" w:cs="宋体"/>
                <w:sz w:val="24"/>
              </w:rPr>
              <w:t>规划情况</w:t>
            </w:r>
          </w:p>
        </w:tc>
        <w:tc>
          <w:tcPr>
            <w:tcW w:w="6488" w:type="dxa"/>
            <w:gridSpan w:val="3"/>
            <w:vAlign w:val="center"/>
          </w:tcPr>
          <w:p w14:paraId="7DD3BE54">
            <w:pPr>
              <w:pStyle w:val="76"/>
              <w:ind w:firstLine="0" w:firstLineChars="0"/>
              <w:jc w:val="center"/>
            </w:pPr>
            <w:r>
              <w:rPr>
                <w:rFonts w:hint="eastAsia"/>
              </w:rPr>
              <w:t>无</w:t>
            </w:r>
          </w:p>
        </w:tc>
      </w:tr>
      <w:tr w14:paraId="505A8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82" w:type="dxa"/>
            <w:vAlign w:val="center"/>
          </w:tcPr>
          <w:p w14:paraId="1E8C040C">
            <w:pPr>
              <w:adjustRightInd w:val="0"/>
              <w:snapToGrid w:val="0"/>
              <w:jc w:val="center"/>
              <w:rPr>
                <w:rFonts w:cs="宋体"/>
                <w:sz w:val="24"/>
              </w:rPr>
            </w:pPr>
            <w:r>
              <w:rPr>
                <w:rFonts w:hint="eastAsia" w:cs="宋体"/>
                <w:sz w:val="24"/>
              </w:rPr>
              <w:t>规划环境影响</w:t>
            </w:r>
          </w:p>
          <w:p w14:paraId="7C83FBD9">
            <w:pPr>
              <w:adjustRightInd w:val="0"/>
              <w:snapToGrid w:val="0"/>
              <w:jc w:val="center"/>
              <w:rPr>
                <w:rFonts w:cs="宋体"/>
                <w:kern w:val="0"/>
                <w:sz w:val="24"/>
              </w:rPr>
            </w:pPr>
            <w:r>
              <w:rPr>
                <w:rFonts w:hint="eastAsia" w:cs="宋体"/>
                <w:sz w:val="24"/>
              </w:rPr>
              <w:t>评价情况</w:t>
            </w:r>
          </w:p>
        </w:tc>
        <w:tc>
          <w:tcPr>
            <w:tcW w:w="6488" w:type="dxa"/>
            <w:gridSpan w:val="3"/>
            <w:vAlign w:val="center"/>
          </w:tcPr>
          <w:p w14:paraId="086CC8A8">
            <w:pPr>
              <w:pStyle w:val="76"/>
              <w:ind w:firstLine="0" w:firstLineChars="0"/>
              <w:jc w:val="center"/>
            </w:pPr>
            <w:r>
              <w:rPr>
                <w:rFonts w:hint="eastAsia"/>
              </w:rPr>
              <w:t>无</w:t>
            </w:r>
          </w:p>
        </w:tc>
      </w:tr>
      <w:tr w14:paraId="1F2EC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82" w:type="dxa"/>
            <w:vAlign w:val="center"/>
          </w:tcPr>
          <w:p w14:paraId="3C9B303E">
            <w:pPr>
              <w:autoSpaceDE w:val="0"/>
              <w:autoSpaceDN w:val="0"/>
              <w:adjustRightInd w:val="0"/>
              <w:snapToGrid w:val="0"/>
              <w:jc w:val="center"/>
              <w:rPr>
                <w:rFonts w:cs="宋体"/>
                <w:kern w:val="0"/>
                <w:sz w:val="24"/>
              </w:rPr>
            </w:pPr>
            <w:r>
              <w:rPr>
                <w:rFonts w:hint="eastAsia" w:cs="宋体"/>
                <w:kern w:val="0"/>
                <w:sz w:val="24"/>
              </w:rPr>
              <w:t>规划及规划环境</w:t>
            </w:r>
          </w:p>
          <w:p w14:paraId="28969903">
            <w:pPr>
              <w:autoSpaceDE w:val="0"/>
              <w:autoSpaceDN w:val="0"/>
              <w:adjustRightInd w:val="0"/>
              <w:snapToGrid w:val="0"/>
              <w:jc w:val="center"/>
              <w:rPr>
                <w:rFonts w:cs="宋体"/>
                <w:kern w:val="0"/>
                <w:sz w:val="24"/>
              </w:rPr>
            </w:pPr>
            <w:r>
              <w:rPr>
                <w:rFonts w:hint="eastAsia" w:cs="宋体"/>
                <w:kern w:val="0"/>
                <w:sz w:val="24"/>
              </w:rPr>
              <w:t>影响评价符合性分析</w:t>
            </w:r>
          </w:p>
        </w:tc>
        <w:tc>
          <w:tcPr>
            <w:tcW w:w="6488" w:type="dxa"/>
            <w:gridSpan w:val="3"/>
            <w:vAlign w:val="center"/>
          </w:tcPr>
          <w:p w14:paraId="21002F99">
            <w:pPr>
              <w:pStyle w:val="76"/>
              <w:ind w:firstLine="0" w:firstLineChars="0"/>
              <w:jc w:val="center"/>
            </w:pPr>
            <w:r>
              <w:rPr>
                <w:rFonts w:hint="eastAsia"/>
              </w:rPr>
              <w:t>无</w:t>
            </w:r>
          </w:p>
        </w:tc>
      </w:tr>
      <w:tr w14:paraId="08AB9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9" w:hRule="atLeast"/>
          <w:jc w:val="center"/>
        </w:trPr>
        <w:tc>
          <w:tcPr>
            <w:tcW w:w="2382" w:type="dxa"/>
            <w:vAlign w:val="center"/>
          </w:tcPr>
          <w:p w14:paraId="619868C3">
            <w:pPr>
              <w:autoSpaceDE w:val="0"/>
              <w:autoSpaceDN w:val="0"/>
              <w:adjustRightInd w:val="0"/>
              <w:snapToGrid w:val="0"/>
              <w:jc w:val="center"/>
              <w:rPr>
                <w:rFonts w:cs="宋体"/>
                <w:kern w:val="0"/>
                <w:sz w:val="24"/>
              </w:rPr>
            </w:pPr>
            <w:r>
              <w:rPr>
                <w:rFonts w:hint="eastAsia" w:cs="宋体"/>
                <w:kern w:val="0"/>
                <w:sz w:val="24"/>
              </w:rPr>
              <w:t>其他符合性分析</w:t>
            </w:r>
          </w:p>
        </w:tc>
        <w:tc>
          <w:tcPr>
            <w:tcW w:w="6488" w:type="dxa"/>
            <w:gridSpan w:val="3"/>
          </w:tcPr>
          <w:p w14:paraId="2EF7E026">
            <w:pPr>
              <w:pStyle w:val="77"/>
            </w:pPr>
            <w:r>
              <w:rPr>
                <w:rFonts w:hint="eastAsia"/>
              </w:rPr>
              <w:t>1、“三线一单”的相符性分析：</w:t>
            </w:r>
          </w:p>
          <w:p w14:paraId="56B551F4">
            <w:pPr>
              <w:autoSpaceDE w:val="0"/>
              <w:autoSpaceDN w:val="0"/>
              <w:adjustRightInd w:val="0"/>
              <w:snapToGrid w:val="0"/>
              <w:spacing w:line="360" w:lineRule="auto"/>
              <w:ind w:firstLine="480" w:firstLineChars="200"/>
              <w:rPr>
                <w:color w:val="000000"/>
                <w:kern w:val="0"/>
                <w:sz w:val="24"/>
              </w:rPr>
            </w:pPr>
            <w:r>
              <w:rPr>
                <w:rFonts w:hint="eastAsia"/>
                <w:bCs/>
                <w:color w:val="000000"/>
                <w:kern w:val="0"/>
                <w:sz w:val="24"/>
              </w:rPr>
              <w:t>根据鄂尔多斯市康巴什生态环境管控分区图（见附图1），项目所在地属于重点管控单元，管控单元编码为</w:t>
            </w:r>
            <w:r>
              <w:rPr>
                <w:bCs/>
                <w:color w:val="000000"/>
                <w:kern w:val="0"/>
                <w:sz w:val="24"/>
              </w:rPr>
              <w:t>ZH15060320008</w:t>
            </w:r>
            <w:r>
              <w:rPr>
                <w:rFonts w:hint="eastAsia"/>
                <w:bCs/>
                <w:color w:val="000000"/>
                <w:kern w:val="0"/>
                <w:sz w:val="24"/>
              </w:rPr>
              <w:t>，</w:t>
            </w:r>
            <w:r>
              <w:rPr>
                <w:rFonts w:hint="eastAsia"/>
                <w:bCs/>
                <w:color w:val="000000"/>
                <w:sz w:val="24"/>
              </w:rPr>
              <w:t>管控单元名称为康巴什区城镇边界</w:t>
            </w:r>
            <w:r>
              <w:rPr>
                <w:rFonts w:hint="eastAsia"/>
                <w:bCs/>
                <w:color w:val="000000"/>
                <w:kern w:val="0"/>
                <w:sz w:val="24"/>
              </w:rPr>
              <w:t>。</w:t>
            </w:r>
          </w:p>
          <w:p w14:paraId="0515DF47">
            <w:pPr>
              <w:autoSpaceDE w:val="0"/>
              <w:autoSpaceDN w:val="0"/>
              <w:adjustRightInd w:val="0"/>
              <w:snapToGrid w:val="0"/>
              <w:spacing w:line="360" w:lineRule="auto"/>
              <w:ind w:firstLine="480" w:firstLineChars="200"/>
              <w:rPr>
                <w:color w:val="000000"/>
                <w:kern w:val="0"/>
                <w:sz w:val="24"/>
              </w:rPr>
            </w:pPr>
            <w:r>
              <w:rPr>
                <w:rFonts w:hint="eastAsia"/>
                <w:color w:val="000000"/>
                <w:kern w:val="0"/>
                <w:sz w:val="24"/>
              </w:rPr>
              <w:t>项目与“三线一单”的符合性分析见表1-1。</w:t>
            </w:r>
          </w:p>
          <w:p w14:paraId="0CBE82FF">
            <w:pPr>
              <w:pStyle w:val="468"/>
              <w:adjustRightInd w:val="0"/>
              <w:snapToGrid w:val="0"/>
              <w:spacing w:after="0" w:line="240" w:lineRule="auto"/>
              <w:jc w:val="center"/>
              <w:rPr>
                <w:rFonts w:ascii="Times New Roman" w:hAnsi="Times New Roman"/>
                <w:b/>
                <w:color w:val="000000"/>
                <w:sz w:val="24"/>
                <w:szCs w:val="24"/>
                <w:lang w:eastAsia="zh-CN"/>
              </w:rPr>
            </w:pPr>
            <w:r>
              <w:rPr>
                <w:rFonts w:ascii="Times New Roman" w:hAnsi="Times New Roman"/>
                <w:b/>
                <w:color w:val="000000"/>
                <w:sz w:val="24"/>
                <w:szCs w:val="24"/>
                <w:lang w:eastAsia="zh-CN"/>
              </w:rPr>
              <w:t>表1-</w:t>
            </w:r>
            <w:r>
              <w:rPr>
                <w:rFonts w:hint="eastAsia" w:ascii="Times New Roman" w:hAnsi="Times New Roman"/>
                <w:b/>
                <w:color w:val="000000"/>
                <w:sz w:val="24"/>
                <w:szCs w:val="24"/>
                <w:lang w:eastAsia="zh-CN"/>
              </w:rPr>
              <w:t>1</w:t>
            </w:r>
            <w:r>
              <w:rPr>
                <w:rFonts w:ascii="Times New Roman" w:hAnsi="Times New Roman"/>
                <w:b/>
                <w:color w:val="000000"/>
                <w:sz w:val="24"/>
                <w:szCs w:val="24"/>
                <w:lang w:eastAsia="zh-CN"/>
              </w:rPr>
              <w:t xml:space="preserve">  项目与</w:t>
            </w:r>
            <w:r>
              <w:rPr>
                <w:rFonts w:hint="eastAsia" w:ascii="Times New Roman" w:hAnsi="Times New Roman"/>
                <w:b/>
                <w:color w:val="000000"/>
                <w:sz w:val="24"/>
                <w:szCs w:val="24"/>
                <w:lang w:eastAsia="zh-CN"/>
              </w:rPr>
              <w:t>“</w:t>
            </w:r>
            <w:r>
              <w:rPr>
                <w:rFonts w:ascii="Times New Roman" w:hAnsi="Times New Roman"/>
                <w:b/>
                <w:color w:val="000000"/>
                <w:sz w:val="24"/>
                <w:szCs w:val="24"/>
                <w:lang w:eastAsia="zh-CN"/>
              </w:rPr>
              <w:t>三线一单</w:t>
            </w:r>
            <w:r>
              <w:rPr>
                <w:rFonts w:hint="eastAsia" w:ascii="Times New Roman" w:hAnsi="Times New Roman"/>
                <w:b/>
                <w:color w:val="000000"/>
                <w:sz w:val="24"/>
                <w:szCs w:val="24"/>
                <w:lang w:eastAsia="zh-CN"/>
              </w:rPr>
              <w:t>”</w:t>
            </w:r>
            <w:r>
              <w:rPr>
                <w:rFonts w:ascii="Times New Roman" w:hAnsi="Times New Roman"/>
                <w:b/>
                <w:color w:val="000000"/>
                <w:sz w:val="24"/>
                <w:szCs w:val="24"/>
                <w:lang w:eastAsia="zh-CN"/>
              </w:rPr>
              <w:t>符合性分析</w:t>
            </w:r>
            <w:r>
              <w:rPr>
                <w:rFonts w:hint="eastAsia" w:ascii="Times New Roman" w:hAnsi="Times New Roman"/>
                <w:b/>
                <w:color w:val="000000"/>
                <w:sz w:val="24"/>
                <w:szCs w:val="24"/>
                <w:lang w:eastAsia="zh-CN"/>
              </w:rPr>
              <w:t>一览表</w:t>
            </w:r>
          </w:p>
          <w:tbl>
            <w:tblPr>
              <w:tblStyle w:val="5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7"/>
              <w:gridCol w:w="546"/>
              <w:gridCol w:w="2177"/>
              <w:gridCol w:w="2323"/>
              <w:gridCol w:w="498"/>
            </w:tblGrid>
            <w:tr w14:paraId="72ADF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0" w:type="pct"/>
                  <w:vAlign w:val="center"/>
                </w:tcPr>
                <w:p w14:paraId="35A594BC">
                  <w:pPr>
                    <w:pStyle w:val="468"/>
                    <w:adjustRightInd w:val="0"/>
                    <w:snapToGrid w:val="0"/>
                    <w:spacing w:after="0" w:line="240" w:lineRule="auto"/>
                    <w:jc w:val="center"/>
                    <w:rPr>
                      <w:rFonts w:hint="eastAsia" w:ascii="宋体" w:hAnsi="宋体"/>
                      <w:color w:val="000000"/>
                      <w:sz w:val="21"/>
                      <w:szCs w:val="21"/>
                      <w:lang w:eastAsia="zh-CN"/>
                    </w:rPr>
                  </w:pPr>
                  <w:r>
                    <w:rPr>
                      <w:rFonts w:ascii="宋体" w:hAnsi="宋体"/>
                      <w:color w:val="000000"/>
                      <w:sz w:val="21"/>
                      <w:szCs w:val="21"/>
                      <w:lang w:eastAsia="zh-CN"/>
                    </w:rPr>
                    <w:t>“三线一单”</w:t>
                  </w:r>
                </w:p>
              </w:tc>
              <w:tc>
                <w:tcPr>
                  <w:tcW w:w="2171" w:type="pct"/>
                  <w:gridSpan w:val="2"/>
                  <w:vAlign w:val="center"/>
                </w:tcPr>
                <w:p w14:paraId="2C47C0EC">
                  <w:pPr>
                    <w:pStyle w:val="468"/>
                    <w:adjustRightInd w:val="0"/>
                    <w:snapToGrid w:val="0"/>
                    <w:spacing w:after="0" w:line="240" w:lineRule="auto"/>
                    <w:jc w:val="center"/>
                    <w:rPr>
                      <w:rFonts w:hint="eastAsia" w:ascii="宋体" w:hAnsi="宋体"/>
                      <w:color w:val="000000"/>
                      <w:sz w:val="21"/>
                      <w:szCs w:val="21"/>
                      <w:lang w:eastAsia="zh-CN"/>
                    </w:rPr>
                  </w:pPr>
                  <w:r>
                    <w:rPr>
                      <w:rFonts w:ascii="宋体" w:hAnsi="宋体"/>
                      <w:color w:val="000000"/>
                      <w:sz w:val="21"/>
                      <w:szCs w:val="21"/>
                      <w:lang w:eastAsia="zh-CN"/>
                    </w:rPr>
                    <w:t>“三线一单”管控要求</w:t>
                  </w:r>
                </w:p>
              </w:tc>
              <w:tc>
                <w:tcPr>
                  <w:tcW w:w="1852" w:type="pct"/>
                  <w:vAlign w:val="center"/>
                </w:tcPr>
                <w:p w14:paraId="57C0E24B">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本项目情况</w:t>
                  </w:r>
                </w:p>
              </w:tc>
              <w:tc>
                <w:tcPr>
                  <w:tcW w:w="397" w:type="pct"/>
                  <w:vAlign w:val="center"/>
                </w:tcPr>
                <w:p w14:paraId="1DB638CE">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符合性</w:t>
                  </w:r>
                </w:p>
              </w:tc>
            </w:tr>
            <w:tr w14:paraId="28470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86" w:hRule="atLeast"/>
                <w:jc w:val="center"/>
              </w:trPr>
              <w:tc>
                <w:tcPr>
                  <w:tcW w:w="580" w:type="pct"/>
                  <w:vAlign w:val="center"/>
                </w:tcPr>
                <w:p w14:paraId="17DCEFE3">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生态保护红线</w:t>
                  </w:r>
                </w:p>
              </w:tc>
              <w:tc>
                <w:tcPr>
                  <w:tcW w:w="2171" w:type="pct"/>
                  <w:gridSpan w:val="2"/>
                  <w:vAlign w:val="center"/>
                </w:tcPr>
                <w:p w14:paraId="11EBA5EB">
                  <w:pPr>
                    <w:autoSpaceDE w:val="0"/>
                    <w:autoSpaceDN w:val="0"/>
                    <w:adjustRightInd w:val="0"/>
                    <w:snapToGrid w:val="0"/>
                    <w:spacing w:line="264" w:lineRule="auto"/>
                    <w:ind w:firstLine="420" w:firstLineChars="200"/>
                    <w:rPr>
                      <w:color w:val="000000"/>
                      <w:szCs w:val="21"/>
                    </w:rPr>
                  </w:pPr>
                  <w:r>
                    <w:rPr>
                      <w:bCs/>
                      <w:color w:val="000000"/>
                      <w:szCs w:val="21"/>
                    </w:rPr>
                    <w:t>全市生态空间总面积为54408.94平方公里，占全市国土面积的62.63%。其中：生态保护红线面积22900.81平方公里，占全市国土面积的26.36%；一般生态空间面积31508.13平方公里，占全市国土面积的36.27%。生态空间面积根据国家和自治区最新批复动态调整</w:t>
                  </w:r>
                  <w:r>
                    <w:rPr>
                      <w:rFonts w:ascii="宋体" w:hAnsi="宋体"/>
                      <w:bCs/>
                      <w:color w:val="000000"/>
                      <w:szCs w:val="21"/>
                    </w:rPr>
                    <w:t>。</w:t>
                  </w:r>
                </w:p>
              </w:tc>
              <w:tc>
                <w:tcPr>
                  <w:tcW w:w="1852" w:type="pct"/>
                  <w:vAlign w:val="center"/>
                </w:tcPr>
                <w:p w14:paraId="1848E2AB">
                  <w:pPr>
                    <w:autoSpaceDE w:val="0"/>
                    <w:autoSpaceDN w:val="0"/>
                    <w:adjustRightInd w:val="0"/>
                    <w:snapToGrid w:val="0"/>
                    <w:spacing w:line="264" w:lineRule="auto"/>
                    <w:ind w:firstLine="420" w:firstLineChars="200"/>
                    <w:rPr>
                      <w:color w:val="000000"/>
                      <w:szCs w:val="21"/>
                    </w:rPr>
                  </w:pPr>
                  <w:r>
                    <w:rPr>
                      <w:color w:val="000000"/>
                      <w:szCs w:val="21"/>
                    </w:rPr>
                    <w:t>本</w:t>
                  </w:r>
                  <w:r>
                    <w:rPr>
                      <w:bCs/>
                      <w:color w:val="000000"/>
                      <w:szCs w:val="21"/>
                    </w:rPr>
                    <w:t>项目地</w:t>
                  </w:r>
                  <w:r>
                    <w:rPr>
                      <w:color w:val="000000"/>
                      <w:szCs w:val="21"/>
                    </w:rPr>
                    <w:t>属于重点管控单元</w:t>
                  </w:r>
                  <w:r>
                    <w:rPr>
                      <w:rFonts w:hint="eastAsia"/>
                      <w:color w:val="000000"/>
                      <w:szCs w:val="21"/>
                    </w:rPr>
                    <w:t>，</w:t>
                  </w:r>
                  <w:r>
                    <w:rPr>
                      <w:color w:val="000000"/>
                      <w:szCs w:val="21"/>
                    </w:rPr>
                    <w:t>不在自然保护区、风景名胜区、饮用水水源保护区及其他需要特殊保护的区域，项目运行后落实报告提出的各项防治措施后不会对生态环境造成影响，符合生态保护红线的要求。</w:t>
                  </w:r>
                </w:p>
              </w:tc>
              <w:tc>
                <w:tcPr>
                  <w:tcW w:w="397" w:type="pct"/>
                  <w:vAlign w:val="center"/>
                </w:tcPr>
                <w:p w14:paraId="3F2C79BC">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2FD4A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7" w:hRule="atLeast"/>
                <w:jc w:val="center"/>
              </w:trPr>
              <w:tc>
                <w:tcPr>
                  <w:tcW w:w="580" w:type="pct"/>
                  <w:vAlign w:val="center"/>
                </w:tcPr>
                <w:p w14:paraId="4756914A">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环境质量底线</w:t>
                  </w:r>
                </w:p>
              </w:tc>
              <w:tc>
                <w:tcPr>
                  <w:tcW w:w="2171" w:type="pct"/>
                  <w:gridSpan w:val="2"/>
                  <w:vAlign w:val="center"/>
                </w:tcPr>
                <w:p w14:paraId="5F10A86F">
                  <w:pPr>
                    <w:pStyle w:val="468"/>
                    <w:adjustRightInd w:val="0"/>
                    <w:snapToGrid w:val="0"/>
                    <w:spacing w:after="0" w:line="264" w:lineRule="auto"/>
                    <w:ind w:firstLine="420" w:firstLineChars="200"/>
                    <w:jc w:val="both"/>
                    <w:rPr>
                      <w:rFonts w:ascii="Times New Roman" w:hAnsi="Times New Roman"/>
                      <w:color w:val="000000"/>
                      <w:sz w:val="21"/>
                      <w:szCs w:val="21"/>
                      <w:lang w:eastAsia="zh-CN"/>
                    </w:rPr>
                  </w:pPr>
                  <w:r>
                    <w:rPr>
                      <w:rFonts w:ascii="Times New Roman" w:hAnsi="Times New Roman"/>
                      <w:bCs/>
                      <w:color w:val="000000"/>
                      <w:sz w:val="21"/>
                      <w:szCs w:val="21"/>
                      <w:lang w:eastAsia="zh-CN"/>
                    </w:rPr>
                    <w:t>全市空气质量持续改善，力争PM</w:t>
                  </w:r>
                  <w:r>
                    <w:rPr>
                      <w:rFonts w:ascii="Times New Roman" w:hAnsi="Times New Roman"/>
                      <w:bCs/>
                      <w:color w:val="000000"/>
                      <w:sz w:val="21"/>
                      <w:szCs w:val="21"/>
                      <w:vertAlign w:val="subscript"/>
                      <w:lang w:eastAsia="zh-CN"/>
                    </w:rPr>
                    <w:t>2.5</w:t>
                  </w:r>
                  <w:r>
                    <w:rPr>
                      <w:rFonts w:ascii="Times New Roman" w:hAnsi="Times New Roman"/>
                      <w:bCs/>
                      <w:color w:val="000000"/>
                      <w:sz w:val="21"/>
                      <w:szCs w:val="21"/>
                      <w:lang w:eastAsia="zh-CN"/>
                    </w:rPr>
                    <w:t>平均浓度不大于30微克/立方米。到2025年，全市水环境质量持续改善，国控断面地表水优良比例达到87%，消除劣Ⅴ类断面，市政集中式饮用水水源达到或优于III类比例达到100%（除本底值超标外）。全市受污染耕地安全利用率达到98%以上，污染地块安全利用率达到90%以上。</w:t>
                  </w:r>
                </w:p>
              </w:tc>
              <w:tc>
                <w:tcPr>
                  <w:tcW w:w="1852" w:type="pct"/>
                  <w:vAlign w:val="center"/>
                </w:tcPr>
                <w:p w14:paraId="1D1AA163">
                  <w:pPr>
                    <w:pStyle w:val="468"/>
                    <w:adjustRightInd w:val="0"/>
                    <w:snapToGrid w:val="0"/>
                    <w:spacing w:after="0" w:line="264"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项目所在地区域大气环境属于达标区，</w:t>
                  </w:r>
                  <w:r>
                    <w:rPr>
                      <w:rFonts w:hint="eastAsia" w:ascii="Times New Roman" w:hAnsi="Times New Roman"/>
                      <w:color w:val="000000"/>
                      <w:sz w:val="21"/>
                      <w:szCs w:val="21"/>
                      <w:lang w:eastAsia="zh-CN"/>
                    </w:rPr>
                    <w:t>污水处理后排入</w:t>
                  </w:r>
                  <w:r>
                    <w:rPr>
                      <w:rFonts w:hint="eastAsia"/>
                      <w:szCs w:val="21"/>
                      <w:lang w:eastAsia="zh-CN"/>
                    </w:rPr>
                    <w:t>康巴什污水处理厂</w:t>
                  </w:r>
                  <w:r>
                    <w:rPr>
                      <w:rFonts w:hint="eastAsia" w:ascii="Times New Roman" w:hAnsi="Times New Roman"/>
                      <w:color w:val="000000"/>
                      <w:sz w:val="21"/>
                      <w:szCs w:val="21"/>
                      <w:lang w:eastAsia="zh-CN"/>
                    </w:rPr>
                    <w:t>。</w:t>
                  </w:r>
                </w:p>
              </w:tc>
              <w:tc>
                <w:tcPr>
                  <w:tcW w:w="397" w:type="pct"/>
                  <w:vAlign w:val="center"/>
                </w:tcPr>
                <w:p w14:paraId="21AE1E7F">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14C7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0" w:type="pct"/>
                  <w:vAlign w:val="center"/>
                </w:tcPr>
                <w:p w14:paraId="0BD2CF81">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资源利用上线</w:t>
                  </w:r>
                </w:p>
              </w:tc>
              <w:tc>
                <w:tcPr>
                  <w:tcW w:w="2171" w:type="pct"/>
                  <w:gridSpan w:val="2"/>
                  <w:vAlign w:val="center"/>
                </w:tcPr>
                <w:p w14:paraId="316F34E5">
                  <w:pPr>
                    <w:pStyle w:val="468"/>
                    <w:adjustRightInd w:val="0"/>
                    <w:snapToGrid w:val="0"/>
                    <w:spacing w:after="0" w:line="240" w:lineRule="auto"/>
                    <w:ind w:firstLine="440"/>
                    <w:jc w:val="both"/>
                    <w:rPr>
                      <w:rFonts w:ascii="Times New Roman" w:hAnsi="Times New Roman"/>
                      <w:color w:val="000000"/>
                      <w:sz w:val="21"/>
                      <w:szCs w:val="21"/>
                      <w:lang w:eastAsia="zh-CN"/>
                    </w:rPr>
                  </w:pPr>
                  <w:r>
                    <w:rPr>
                      <w:rFonts w:ascii="Times New Roman" w:hAnsi="Times New Roman"/>
                      <w:bCs/>
                      <w:color w:val="000000"/>
                      <w:sz w:val="21"/>
                      <w:szCs w:val="21"/>
                      <w:lang w:eastAsia="zh-CN" w:bidi="zh-CN"/>
                    </w:rPr>
                    <w:t>到2025年，全市国土空间开发强度、能源消费总量得到合理控制。到2030年，全市用水总量控制在</w:t>
                  </w:r>
                  <w:r>
                    <w:rPr>
                      <w:rFonts w:ascii="Times New Roman" w:hAnsi="Times New Roman"/>
                      <w:bCs/>
                      <w:color w:val="000000"/>
                      <w:sz w:val="21"/>
                      <w:szCs w:val="21"/>
                      <w:lang w:eastAsia="zh-CN"/>
                    </w:rPr>
                    <w:t>19.94</w:t>
                  </w:r>
                  <w:r>
                    <w:rPr>
                      <w:rFonts w:ascii="Times New Roman" w:hAnsi="Times New Roman"/>
                      <w:bCs/>
                      <w:color w:val="000000"/>
                      <w:sz w:val="21"/>
                      <w:szCs w:val="21"/>
                      <w:lang w:eastAsia="zh-CN" w:bidi="zh-CN"/>
                    </w:rPr>
                    <w:t>亿立方米以内。</w:t>
                  </w:r>
                  <w:r>
                    <w:rPr>
                      <w:rFonts w:ascii="Times New Roman" w:hAnsi="Times New Roman"/>
                      <w:bCs/>
                      <w:color w:val="000000"/>
                      <w:sz w:val="21"/>
                      <w:szCs w:val="21"/>
                      <w:lang w:eastAsia="zh-CN"/>
                    </w:rPr>
                    <w:t>到2035年，全市生态环境质量实现根本好转，水、大气、土壤环境质量全面改善，节约资源和保护生态环境的空间格局、产业结构、生产方式、生活方式总体形成，我国北方重要生态安全屏障更加牢固，美丽鄂尔多斯目标基本实现</w:t>
                  </w:r>
                  <w:r>
                    <w:rPr>
                      <w:rFonts w:hint="eastAsia" w:ascii="宋体" w:hAnsi="宋体"/>
                      <w:bCs/>
                      <w:color w:val="000000"/>
                      <w:sz w:val="21"/>
                      <w:szCs w:val="21"/>
                      <w:lang w:eastAsia="zh-CN"/>
                    </w:rPr>
                    <w:t>。</w:t>
                  </w:r>
                </w:p>
              </w:tc>
              <w:tc>
                <w:tcPr>
                  <w:tcW w:w="1852" w:type="pct"/>
                  <w:vAlign w:val="center"/>
                </w:tcPr>
                <w:p w14:paraId="124D1567">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hint="eastAsia" w:ascii="Times New Roman" w:hAnsi="Times New Roman"/>
                      <w:color w:val="000000"/>
                      <w:sz w:val="21"/>
                      <w:szCs w:val="21"/>
                      <w:lang w:eastAsia="zh-CN"/>
                    </w:rPr>
                    <w:t>项目位于康巴什区汇能大厦负一层，不新增用地，不会达到土地利用上线；用电由国家电网提供；用水由市政管网提供。资源消耗量相对区域资源利用总量较少，符合资源利用上线。</w:t>
                  </w:r>
                </w:p>
              </w:tc>
              <w:tc>
                <w:tcPr>
                  <w:tcW w:w="397" w:type="pct"/>
                  <w:vAlign w:val="center"/>
                </w:tcPr>
                <w:p w14:paraId="323ACC96">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04EC5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5" w:hRule="atLeast"/>
                <w:jc w:val="center"/>
              </w:trPr>
              <w:tc>
                <w:tcPr>
                  <w:tcW w:w="580" w:type="pct"/>
                  <w:vMerge w:val="restart"/>
                  <w:vAlign w:val="center"/>
                </w:tcPr>
                <w:p w14:paraId="1E9BCD28">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生态环境准入清单</w:t>
                  </w:r>
                </w:p>
              </w:tc>
              <w:tc>
                <w:tcPr>
                  <w:tcW w:w="435" w:type="pct"/>
                  <w:vMerge w:val="restart"/>
                  <w:vAlign w:val="center"/>
                </w:tcPr>
                <w:p w14:paraId="5A1A4B86">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rPr>
                    <w:t>空间布局约束</w:t>
                  </w:r>
                </w:p>
              </w:tc>
              <w:tc>
                <w:tcPr>
                  <w:tcW w:w="1736" w:type="pct"/>
                  <w:vAlign w:val="center"/>
                </w:tcPr>
                <w:p w14:paraId="3DD04545">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1.城市建成区禁</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新建</w:t>
                  </w:r>
                  <w:r>
                    <w:rPr>
                      <w:rFonts w:ascii="Times New Roman" w:hAnsi="Times New Roman"/>
                      <w:color w:val="000000"/>
                      <w:sz w:val="21"/>
                      <w:szCs w:val="21"/>
                      <w:lang w:eastAsia="zh-CN"/>
                    </w:rPr>
                    <w:t>35蒸吨/</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时以下燃煤锅炉</w:t>
                  </w:r>
                  <w:r>
                    <w:rPr>
                      <w:rFonts w:ascii="Times New Roman" w:hAnsi="Times New Roman"/>
                      <w:color w:val="000000"/>
                      <w:sz w:val="21"/>
                      <w:szCs w:val="21"/>
                      <w:lang w:eastAsia="zh-CN"/>
                    </w:rPr>
                    <w:t>。</w:t>
                  </w:r>
                </w:p>
              </w:tc>
              <w:tc>
                <w:tcPr>
                  <w:tcW w:w="1852" w:type="pct"/>
                  <w:vAlign w:val="center"/>
                </w:tcPr>
                <w:p w14:paraId="79FE4FFD">
                  <w:pPr>
                    <w:pStyle w:val="468"/>
                    <w:adjustRightInd w:val="0"/>
                    <w:snapToGrid w:val="0"/>
                    <w:spacing w:after="0" w:line="240" w:lineRule="auto"/>
                    <w:ind w:firstLine="420" w:firstLineChars="200"/>
                    <w:jc w:val="both"/>
                    <w:rPr>
                      <w:rFonts w:hint="eastAsia" w:ascii="Times New Roman" w:hAnsi="Times New Roman"/>
                      <w:color w:val="000000"/>
                      <w:sz w:val="21"/>
                      <w:szCs w:val="21"/>
                      <w:lang w:eastAsia="zh-CN"/>
                    </w:rPr>
                  </w:pPr>
                  <w:r>
                    <w:rPr>
                      <w:rFonts w:ascii="Times New Roman" w:hAnsi="Times New Roman"/>
                      <w:color w:val="000000"/>
                      <w:sz w:val="21"/>
                      <w:szCs w:val="21"/>
                      <w:lang w:eastAsia="zh-CN"/>
                    </w:rPr>
                    <w:t>本项目</w:t>
                  </w:r>
                  <w:r>
                    <w:rPr>
                      <w:rFonts w:hint="eastAsia" w:ascii="Times New Roman" w:hAnsi="Times New Roman"/>
                      <w:color w:val="000000"/>
                      <w:sz w:val="21"/>
                      <w:szCs w:val="21"/>
                      <w:lang w:eastAsia="zh-CN"/>
                    </w:rPr>
                    <w:t>不新建燃煤锅炉。</w:t>
                  </w:r>
                </w:p>
              </w:tc>
              <w:tc>
                <w:tcPr>
                  <w:tcW w:w="397" w:type="pct"/>
                  <w:vAlign w:val="center"/>
                </w:tcPr>
                <w:p w14:paraId="2C4F9AA4">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0DE48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0" w:type="pct"/>
                  <w:vMerge w:val="continue"/>
                  <w:vAlign w:val="center"/>
                </w:tcPr>
                <w:p w14:paraId="79EA6AFD">
                  <w:pPr>
                    <w:pStyle w:val="468"/>
                    <w:adjustRightInd w:val="0"/>
                    <w:snapToGrid w:val="0"/>
                    <w:spacing w:after="0" w:line="240" w:lineRule="auto"/>
                    <w:jc w:val="both"/>
                    <w:rPr>
                      <w:rFonts w:ascii="Times New Roman" w:hAnsi="Times New Roman"/>
                      <w:color w:val="000000"/>
                      <w:sz w:val="21"/>
                      <w:szCs w:val="21"/>
                      <w:lang w:eastAsia="zh-CN"/>
                    </w:rPr>
                  </w:pPr>
                </w:p>
              </w:tc>
              <w:tc>
                <w:tcPr>
                  <w:tcW w:w="435" w:type="pct"/>
                  <w:vMerge w:val="continue"/>
                  <w:vAlign w:val="center"/>
                </w:tcPr>
                <w:p w14:paraId="31177242">
                  <w:pPr>
                    <w:pStyle w:val="468"/>
                    <w:adjustRightInd w:val="0"/>
                    <w:snapToGrid w:val="0"/>
                    <w:spacing w:after="0" w:line="240" w:lineRule="auto"/>
                    <w:ind w:firstLine="420" w:firstLineChars="200"/>
                    <w:jc w:val="center"/>
                    <w:rPr>
                      <w:rFonts w:ascii="Times New Roman" w:hAnsi="Times New Roman"/>
                      <w:color w:val="000000"/>
                      <w:sz w:val="21"/>
                      <w:szCs w:val="21"/>
                      <w:lang w:eastAsia="zh-CN"/>
                    </w:rPr>
                  </w:pPr>
                </w:p>
              </w:tc>
              <w:tc>
                <w:tcPr>
                  <w:tcW w:w="1736" w:type="pct"/>
                  <w:vAlign w:val="center"/>
                </w:tcPr>
                <w:p w14:paraId="6B871BAD">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2.禁</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在居</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区和学校、医院、疗养院、养</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院等单位周边新建、改建、扩建可能造成</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壤污染的建设项</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。禁</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在</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聚</w:t>
                  </w:r>
                  <w:r>
                    <w:rPr>
                      <w:rFonts w:ascii="宋体" w:hAnsi="宋体" w:cs="宋体"/>
                      <w:color w:val="000000"/>
                      <w:sz w:val="21"/>
                      <w:szCs w:val="21"/>
                      <w:lang w:eastAsia="zh-CN"/>
                    </w:rPr>
                    <w:t>居区域内新（改、扩）建涉重</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属及恶臭</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体排放企业。</w:t>
                  </w:r>
                </w:p>
              </w:tc>
              <w:tc>
                <w:tcPr>
                  <w:tcW w:w="1852" w:type="pct"/>
                  <w:vAlign w:val="center"/>
                </w:tcPr>
                <w:p w14:paraId="393DA38D">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本项目</w:t>
                  </w:r>
                  <w:r>
                    <w:rPr>
                      <w:rFonts w:hint="eastAsia" w:ascii="Times New Roman" w:hAnsi="Times New Roman"/>
                      <w:color w:val="000000"/>
                      <w:sz w:val="21"/>
                      <w:szCs w:val="21"/>
                      <w:lang w:eastAsia="zh-CN"/>
                    </w:rPr>
                    <w:t>不造成土壤污染，不</w:t>
                  </w:r>
                  <w:r>
                    <w:rPr>
                      <w:rFonts w:hint="eastAsia" w:ascii="宋体" w:hAnsi="宋体" w:cs="宋体"/>
                      <w:color w:val="000000"/>
                      <w:sz w:val="21"/>
                      <w:szCs w:val="21"/>
                      <w:lang w:eastAsia="zh-CN"/>
                    </w:rPr>
                    <w:t>涉重</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属及恶臭</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体排放。</w:t>
                  </w:r>
                </w:p>
              </w:tc>
              <w:tc>
                <w:tcPr>
                  <w:tcW w:w="397" w:type="pct"/>
                  <w:vAlign w:val="center"/>
                </w:tcPr>
                <w:p w14:paraId="0CB81AB0">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47AAE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580" w:type="pct"/>
                  <w:vMerge w:val="continue"/>
                  <w:vAlign w:val="center"/>
                </w:tcPr>
                <w:p w14:paraId="13889D8D">
                  <w:pPr>
                    <w:pStyle w:val="468"/>
                    <w:adjustRightInd w:val="0"/>
                    <w:snapToGrid w:val="0"/>
                    <w:spacing w:after="0" w:line="240" w:lineRule="auto"/>
                    <w:jc w:val="both"/>
                    <w:rPr>
                      <w:rFonts w:ascii="Times New Roman" w:hAnsi="Times New Roman"/>
                      <w:color w:val="000000"/>
                      <w:sz w:val="21"/>
                      <w:szCs w:val="21"/>
                      <w:lang w:eastAsia="zh-CN"/>
                    </w:rPr>
                  </w:pPr>
                </w:p>
              </w:tc>
              <w:tc>
                <w:tcPr>
                  <w:tcW w:w="435" w:type="pct"/>
                  <w:vMerge w:val="continue"/>
                  <w:vAlign w:val="center"/>
                </w:tcPr>
                <w:p w14:paraId="7B10F6A5">
                  <w:pPr>
                    <w:pStyle w:val="468"/>
                    <w:adjustRightInd w:val="0"/>
                    <w:snapToGrid w:val="0"/>
                    <w:spacing w:after="0" w:line="240" w:lineRule="auto"/>
                    <w:ind w:firstLine="420" w:firstLineChars="200"/>
                    <w:jc w:val="center"/>
                    <w:rPr>
                      <w:rFonts w:ascii="Times New Roman" w:hAnsi="Times New Roman"/>
                      <w:color w:val="000000"/>
                      <w:sz w:val="21"/>
                      <w:szCs w:val="21"/>
                      <w:lang w:eastAsia="zh-CN"/>
                    </w:rPr>
                  </w:pPr>
                </w:p>
              </w:tc>
              <w:tc>
                <w:tcPr>
                  <w:tcW w:w="1736" w:type="pct"/>
                  <w:vAlign w:val="center"/>
                </w:tcPr>
                <w:p w14:paraId="54D322A2">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3.有计划关闭超采区已批</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备</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井，禁</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超采区</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农业</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产及服务业新增取</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地下</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w:t>
                  </w:r>
                </w:p>
              </w:tc>
              <w:tc>
                <w:tcPr>
                  <w:tcW w:w="1852" w:type="pct"/>
                  <w:vAlign w:val="center"/>
                </w:tcPr>
                <w:p w14:paraId="42E48315">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hint="eastAsia" w:ascii="Times New Roman" w:hAnsi="Times New Roman"/>
                      <w:color w:val="000000"/>
                      <w:sz w:val="21"/>
                      <w:szCs w:val="21"/>
                      <w:lang w:eastAsia="zh-CN"/>
                    </w:rPr>
                    <w:t>本项目不涉及超采区已批</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备水井，不在超采区内</w:t>
                  </w:r>
                  <w:r>
                    <w:rPr>
                      <w:rFonts w:hint="eastAsia" w:ascii="Times New Roman" w:hAnsi="Times New Roman"/>
                      <w:color w:val="000000"/>
                      <w:sz w:val="21"/>
                      <w:szCs w:val="21"/>
                      <w:lang w:eastAsia="zh-CN"/>
                    </w:rPr>
                    <w:t>。</w:t>
                  </w:r>
                </w:p>
              </w:tc>
              <w:tc>
                <w:tcPr>
                  <w:tcW w:w="397" w:type="pct"/>
                  <w:vAlign w:val="center"/>
                </w:tcPr>
                <w:p w14:paraId="53859B7D">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44DFC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0" w:type="pct"/>
                  <w:vMerge w:val="continue"/>
                  <w:vAlign w:val="center"/>
                </w:tcPr>
                <w:p w14:paraId="01C3FFC5">
                  <w:pPr>
                    <w:pStyle w:val="468"/>
                    <w:adjustRightInd w:val="0"/>
                    <w:snapToGrid w:val="0"/>
                    <w:spacing w:after="0" w:line="240" w:lineRule="auto"/>
                    <w:jc w:val="both"/>
                    <w:rPr>
                      <w:rFonts w:ascii="Times New Roman" w:hAnsi="Times New Roman"/>
                      <w:color w:val="000000"/>
                      <w:sz w:val="21"/>
                      <w:szCs w:val="21"/>
                      <w:lang w:eastAsia="zh-CN"/>
                    </w:rPr>
                  </w:pPr>
                </w:p>
              </w:tc>
              <w:tc>
                <w:tcPr>
                  <w:tcW w:w="435" w:type="pct"/>
                  <w:vAlign w:val="center"/>
                </w:tcPr>
                <w:p w14:paraId="5737E987">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污染物排放管控</w:t>
                  </w:r>
                </w:p>
              </w:tc>
              <w:tc>
                <w:tcPr>
                  <w:tcW w:w="1736" w:type="pct"/>
                  <w:vAlign w:val="center"/>
                </w:tcPr>
                <w:p w14:paraId="1706CC65">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1.提升城镇</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活污</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收集管</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覆盖率，逐步实施</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污管</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分流改造、管</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更新、破损修复改、中</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回</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等</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程。城镇</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活污</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实现“</w:t>
                  </w:r>
                  <w:r>
                    <w:rPr>
                      <w:rFonts w:ascii="Times New Roman" w:hAnsi="Times New Roman"/>
                      <w:color w:val="000000"/>
                      <w:sz w:val="21"/>
                      <w:szCs w:val="21"/>
                      <w:lang w:eastAsia="zh-CN"/>
                    </w:rPr>
                    <w:t>应收尽收、应处尽处</w:t>
                  </w:r>
                  <w:r>
                    <w:rPr>
                      <w:rFonts w:hint="eastAsia" w:ascii="Times New Roman" w:hAnsi="Times New Roman"/>
                      <w:color w:val="000000"/>
                      <w:sz w:val="21"/>
                      <w:szCs w:val="21"/>
                      <w:lang w:eastAsia="zh-CN"/>
                    </w:rPr>
                    <w:t>”</w:t>
                  </w:r>
                  <w:r>
                    <w:rPr>
                      <w:rFonts w:ascii="Times New Roman" w:hAnsi="Times New Roman"/>
                      <w:color w:val="000000"/>
                      <w:sz w:val="21"/>
                      <w:szCs w:val="21"/>
                      <w:lang w:eastAsia="zh-CN"/>
                    </w:rPr>
                    <w:t>。</w:t>
                  </w:r>
                </w:p>
              </w:tc>
              <w:tc>
                <w:tcPr>
                  <w:tcW w:w="1852" w:type="pct"/>
                  <w:vAlign w:val="center"/>
                </w:tcPr>
                <w:p w14:paraId="7ADBFBD4">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本项目</w:t>
                  </w:r>
                  <w:r>
                    <w:rPr>
                      <w:rFonts w:hint="eastAsia" w:ascii="Times New Roman" w:hAnsi="Times New Roman"/>
                      <w:color w:val="000000"/>
                      <w:sz w:val="21"/>
                      <w:szCs w:val="21"/>
                      <w:lang w:eastAsia="zh-CN"/>
                    </w:rPr>
                    <w:t>生活污水经化粪池处理后排入市政污水管网；</w:t>
                  </w:r>
                  <w:r>
                    <w:rPr>
                      <w:rFonts w:hint="eastAsia"/>
                      <w:sz w:val="21"/>
                      <w:szCs w:val="21"/>
                      <w:lang w:eastAsia="zh-CN"/>
                    </w:rPr>
                    <w:t>清洗废水在酸碱中和池中和后排入市政污水管网；浓水直接排入市政污水管道</w:t>
                  </w:r>
                  <w:r>
                    <w:rPr>
                      <w:rFonts w:ascii="Times New Roman" w:hAnsi="Times New Roman"/>
                      <w:color w:val="000000"/>
                      <w:sz w:val="21"/>
                      <w:szCs w:val="21"/>
                      <w:lang w:eastAsia="zh-CN"/>
                    </w:rPr>
                    <w:t>。</w:t>
                  </w:r>
                </w:p>
              </w:tc>
              <w:tc>
                <w:tcPr>
                  <w:tcW w:w="397" w:type="pct"/>
                  <w:vAlign w:val="center"/>
                </w:tcPr>
                <w:p w14:paraId="6458FC9C">
                  <w:pPr>
                    <w:pStyle w:val="468"/>
                    <w:adjustRightInd w:val="0"/>
                    <w:snapToGrid w:val="0"/>
                    <w:spacing w:after="0" w:line="240" w:lineRule="auto"/>
                    <w:jc w:val="center"/>
                    <w:rPr>
                      <w:rFonts w:ascii="Times New Roman" w:hAnsi="Times New Roman"/>
                      <w:color w:val="000000"/>
                      <w:sz w:val="21"/>
                      <w:szCs w:val="21"/>
                      <w:lang w:eastAsia="zh-CN"/>
                    </w:rPr>
                  </w:pPr>
                  <w:r>
                    <w:rPr>
                      <w:rFonts w:ascii="Times New Roman" w:hAnsi="Times New Roman"/>
                      <w:color w:val="000000"/>
                      <w:sz w:val="21"/>
                      <w:szCs w:val="21"/>
                      <w:lang w:eastAsia="zh-CN"/>
                    </w:rPr>
                    <w:t>符合</w:t>
                  </w:r>
                </w:p>
              </w:tc>
            </w:tr>
            <w:tr w14:paraId="0E876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0" w:type="pct"/>
                  <w:vMerge w:val="continue"/>
                  <w:vAlign w:val="center"/>
                </w:tcPr>
                <w:p w14:paraId="0371BF1A">
                  <w:pPr>
                    <w:pStyle w:val="468"/>
                    <w:adjustRightInd w:val="0"/>
                    <w:snapToGrid w:val="0"/>
                    <w:spacing w:after="0" w:line="240" w:lineRule="auto"/>
                    <w:jc w:val="both"/>
                    <w:rPr>
                      <w:rFonts w:ascii="Times New Roman" w:hAnsi="Times New Roman"/>
                      <w:color w:val="000000"/>
                      <w:sz w:val="21"/>
                      <w:szCs w:val="21"/>
                      <w:lang w:eastAsia="zh-CN"/>
                    </w:rPr>
                  </w:pPr>
                </w:p>
              </w:tc>
              <w:tc>
                <w:tcPr>
                  <w:tcW w:w="435" w:type="pct"/>
                  <w:vMerge w:val="restart"/>
                  <w:vAlign w:val="center"/>
                </w:tcPr>
                <w:p w14:paraId="3DBCFD1F">
                  <w:pPr>
                    <w:pStyle w:val="468"/>
                    <w:adjustRightInd w:val="0"/>
                    <w:snapToGrid w:val="0"/>
                    <w:spacing w:after="0" w:line="240" w:lineRule="auto"/>
                    <w:jc w:val="both"/>
                    <w:rPr>
                      <w:rFonts w:ascii="Times New Roman" w:hAnsi="Times New Roman"/>
                      <w:color w:val="000000"/>
                      <w:sz w:val="21"/>
                      <w:szCs w:val="21"/>
                      <w:lang w:eastAsia="zh-CN"/>
                    </w:rPr>
                  </w:pPr>
                  <w:r>
                    <w:rPr>
                      <w:rFonts w:hint="eastAsia" w:ascii="Times New Roman" w:hAnsi="Times New Roman"/>
                      <w:color w:val="000000"/>
                      <w:sz w:val="21"/>
                      <w:szCs w:val="21"/>
                      <w:lang w:eastAsia="zh-CN"/>
                    </w:rPr>
                    <w:t>资</w:t>
                  </w:r>
                  <w:r>
                    <w:rPr>
                      <w:rFonts w:ascii="Times New Roman" w:hAnsi="Times New Roman"/>
                      <w:color w:val="000000"/>
                      <w:sz w:val="21"/>
                      <w:szCs w:val="21"/>
                      <w:lang w:eastAsia="zh-CN"/>
                    </w:rPr>
                    <w:t>源利用效率要求</w:t>
                  </w:r>
                </w:p>
              </w:tc>
              <w:tc>
                <w:tcPr>
                  <w:tcW w:w="1736" w:type="pct"/>
                  <w:vAlign w:val="center"/>
                </w:tcPr>
                <w:p w14:paraId="16475C57">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1.强化</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资源论证管理，优化</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源配置，</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励优先配置利</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常规</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源。</w:t>
                  </w:r>
                </w:p>
              </w:tc>
              <w:tc>
                <w:tcPr>
                  <w:tcW w:w="1852" w:type="pct"/>
                  <w:vAlign w:val="center"/>
                </w:tcPr>
                <w:p w14:paraId="4AAE336C">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hint="eastAsia" w:ascii="Times New Roman" w:hAnsi="Times New Roman"/>
                      <w:color w:val="000000"/>
                      <w:sz w:val="21"/>
                      <w:szCs w:val="21"/>
                      <w:lang w:eastAsia="zh-CN"/>
                    </w:rPr>
                    <w:t>项目用水来源于市政供水管网。</w:t>
                  </w:r>
                </w:p>
              </w:tc>
              <w:tc>
                <w:tcPr>
                  <w:tcW w:w="397" w:type="pct"/>
                  <w:vAlign w:val="center"/>
                </w:tcPr>
                <w:p w14:paraId="17F78A75">
                  <w:pPr>
                    <w:pStyle w:val="468"/>
                    <w:adjustRightInd w:val="0"/>
                    <w:snapToGrid w:val="0"/>
                    <w:spacing w:after="0" w:line="240" w:lineRule="auto"/>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符合</w:t>
                  </w:r>
                </w:p>
              </w:tc>
            </w:tr>
            <w:tr w14:paraId="50E98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0" w:type="pct"/>
                  <w:vMerge w:val="continue"/>
                  <w:vAlign w:val="center"/>
                </w:tcPr>
                <w:p w14:paraId="7B1EACFD">
                  <w:pPr>
                    <w:pStyle w:val="468"/>
                    <w:adjustRightInd w:val="0"/>
                    <w:snapToGrid w:val="0"/>
                    <w:spacing w:after="0" w:line="240" w:lineRule="auto"/>
                    <w:jc w:val="both"/>
                    <w:rPr>
                      <w:rFonts w:ascii="Times New Roman" w:hAnsi="Times New Roman"/>
                      <w:color w:val="000000"/>
                      <w:sz w:val="21"/>
                      <w:szCs w:val="21"/>
                      <w:lang w:eastAsia="zh-CN"/>
                    </w:rPr>
                  </w:pPr>
                </w:p>
              </w:tc>
              <w:tc>
                <w:tcPr>
                  <w:tcW w:w="435" w:type="pct"/>
                  <w:vMerge w:val="continue"/>
                  <w:vAlign w:val="center"/>
                </w:tcPr>
                <w:p w14:paraId="62DF64C3">
                  <w:pPr>
                    <w:pStyle w:val="468"/>
                    <w:adjustRightInd w:val="0"/>
                    <w:snapToGrid w:val="0"/>
                    <w:spacing w:after="0" w:line="240" w:lineRule="auto"/>
                    <w:jc w:val="both"/>
                    <w:rPr>
                      <w:rFonts w:ascii="Times New Roman" w:hAnsi="Times New Roman"/>
                      <w:color w:val="000000"/>
                      <w:sz w:val="21"/>
                      <w:szCs w:val="21"/>
                      <w:lang w:eastAsia="zh-CN"/>
                    </w:rPr>
                  </w:pPr>
                </w:p>
              </w:tc>
              <w:tc>
                <w:tcPr>
                  <w:tcW w:w="1736" w:type="pct"/>
                  <w:vAlign w:val="center"/>
                </w:tcPr>
                <w:p w14:paraId="2F297A9C">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ascii="Times New Roman" w:hAnsi="Times New Roman"/>
                      <w:color w:val="000000"/>
                      <w:sz w:val="21"/>
                      <w:szCs w:val="21"/>
                      <w:lang w:eastAsia="zh-CN"/>
                    </w:rPr>
                    <w:t>2.严控地下</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超采，执</w:t>
                  </w:r>
                  <w:r>
                    <w:rPr>
                      <w:rFonts w:hint="eastAsia" w:ascii="微软雅黑" w:hAnsi="微软雅黑" w:eastAsia="微软雅黑" w:cs="微软雅黑"/>
                      <w:color w:val="000000"/>
                      <w:sz w:val="21"/>
                      <w:szCs w:val="21"/>
                      <w:lang w:eastAsia="zh-CN"/>
                    </w:rPr>
                    <w:t>⾏</w:t>
                  </w:r>
                  <w:r>
                    <w:rPr>
                      <w:rFonts w:hint="eastAsia" w:ascii="宋体" w:hAnsi="宋体" w:cs="宋体"/>
                      <w:color w:val="000000"/>
                      <w:sz w:val="21"/>
                      <w:szCs w:val="21"/>
                      <w:lang w:eastAsia="zh-CN"/>
                    </w:rPr>
                    <w:t>地下</w:t>
                  </w:r>
                  <w:r>
                    <w:rPr>
                      <w:rFonts w:hint="eastAsia" w:ascii="微软雅黑" w:hAnsi="微软雅黑" w:eastAsia="微软雅黑" w:cs="微软雅黑"/>
                      <w:color w:val="000000"/>
                      <w:sz w:val="21"/>
                      <w:szCs w:val="21"/>
                      <w:lang w:eastAsia="zh-CN"/>
                    </w:rPr>
                    <w:t>⽔“</w:t>
                  </w:r>
                  <w:r>
                    <w:rPr>
                      <w:rFonts w:ascii="Times New Roman" w:hAnsi="Times New Roman"/>
                      <w:color w:val="000000"/>
                      <w:sz w:val="21"/>
                      <w:szCs w:val="21"/>
                      <w:lang w:eastAsia="zh-CN"/>
                    </w:rPr>
                    <w:t>五控</w:t>
                  </w:r>
                  <w:r>
                    <w:rPr>
                      <w:rFonts w:hint="eastAsia" w:ascii="Times New Roman" w:hAnsi="Times New Roman"/>
                      <w:color w:val="000000"/>
                      <w:sz w:val="21"/>
                      <w:szCs w:val="21"/>
                      <w:lang w:eastAsia="zh-CN"/>
                    </w:rPr>
                    <w:t>”</w:t>
                  </w:r>
                  <w:r>
                    <w:rPr>
                      <w:rFonts w:ascii="Times New Roman" w:hAnsi="Times New Roman"/>
                      <w:color w:val="000000"/>
                      <w:sz w:val="21"/>
                      <w:szCs w:val="21"/>
                      <w:lang w:eastAsia="zh-CN"/>
                    </w:rPr>
                    <w:t>制度。</w:t>
                  </w:r>
                </w:p>
              </w:tc>
              <w:tc>
                <w:tcPr>
                  <w:tcW w:w="1852" w:type="pct"/>
                  <w:vAlign w:val="center"/>
                </w:tcPr>
                <w:p w14:paraId="6551907B">
                  <w:pPr>
                    <w:pStyle w:val="468"/>
                    <w:adjustRightInd w:val="0"/>
                    <w:snapToGrid w:val="0"/>
                    <w:spacing w:after="0" w:line="240" w:lineRule="auto"/>
                    <w:ind w:firstLine="420" w:firstLineChars="200"/>
                    <w:jc w:val="both"/>
                    <w:rPr>
                      <w:rFonts w:ascii="Times New Roman" w:hAnsi="Times New Roman"/>
                      <w:color w:val="000000"/>
                      <w:sz w:val="21"/>
                      <w:szCs w:val="21"/>
                      <w:lang w:eastAsia="zh-CN"/>
                    </w:rPr>
                  </w:pPr>
                  <w:r>
                    <w:rPr>
                      <w:rFonts w:hint="eastAsia" w:ascii="Times New Roman" w:hAnsi="Times New Roman"/>
                      <w:color w:val="000000"/>
                      <w:sz w:val="21"/>
                      <w:szCs w:val="21"/>
                      <w:lang w:eastAsia="zh-CN"/>
                    </w:rPr>
                    <w:t>本项目不采用地下水，项目用水来源于市政供水管网。</w:t>
                  </w:r>
                </w:p>
              </w:tc>
              <w:tc>
                <w:tcPr>
                  <w:tcW w:w="397" w:type="pct"/>
                  <w:vAlign w:val="center"/>
                </w:tcPr>
                <w:p w14:paraId="0520A869">
                  <w:pPr>
                    <w:pStyle w:val="468"/>
                    <w:adjustRightInd w:val="0"/>
                    <w:snapToGrid w:val="0"/>
                    <w:spacing w:after="0" w:line="240" w:lineRule="auto"/>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符合</w:t>
                  </w:r>
                </w:p>
              </w:tc>
            </w:tr>
          </w:tbl>
          <w:p w14:paraId="60C22D3D">
            <w:pPr>
              <w:autoSpaceDE w:val="0"/>
              <w:autoSpaceDN w:val="0"/>
              <w:adjustRightInd w:val="0"/>
              <w:snapToGrid w:val="0"/>
              <w:spacing w:before="120" w:beforeLines="50" w:line="360" w:lineRule="auto"/>
              <w:ind w:firstLine="480" w:firstLineChars="200"/>
              <w:rPr>
                <w:color w:val="000000"/>
                <w:kern w:val="0"/>
                <w:sz w:val="24"/>
              </w:rPr>
            </w:pPr>
            <w:r>
              <w:rPr>
                <w:rFonts w:hint="eastAsia"/>
                <w:color w:val="000000"/>
                <w:kern w:val="0"/>
                <w:sz w:val="24"/>
              </w:rPr>
              <w:t>由上表可知，本项目符合“三线一单”相关要求。</w:t>
            </w:r>
          </w:p>
          <w:p w14:paraId="4559BE77">
            <w:pPr>
              <w:pStyle w:val="77"/>
            </w:pPr>
            <w:r>
              <w:rPr>
                <w:rFonts w:hint="eastAsia"/>
              </w:rPr>
              <w:t>2、产业政策的符合性分析</w:t>
            </w:r>
          </w:p>
          <w:p w14:paraId="15C6FD39">
            <w:pPr>
              <w:pStyle w:val="77"/>
              <w:ind w:firstLine="480" w:firstLineChars="200"/>
              <w:rPr>
                <w:b w:val="0"/>
                <w:bCs/>
              </w:rPr>
            </w:pPr>
            <w:r>
              <w:rPr>
                <w:rFonts w:hint="eastAsia"/>
                <w:b w:val="0"/>
                <w:bCs/>
              </w:rPr>
              <w:t>对照《产业结构调整指导目录（2024年本）》，本项目不属于鼓励类、限制类和淘汰类产业，属于允许类，项目建设符合国家现行产业政策。</w:t>
            </w:r>
          </w:p>
          <w:p w14:paraId="144E750C">
            <w:pPr>
              <w:pStyle w:val="77"/>
            </w:pPr>
            <w:r>
              <w:rPr>
                <w:rFonts w:hint="eastAsia"/>
              </w:rPr>
              <w:t>3、选址合理性</w:t>
            </w:r>
            <w:r>
              <w:t>分析</w:t>
            </w:r>
          </w:p>
          <w:p w14:paraId="2C425B0C">
            <w:pPr>
              <w:pStyle w:val="76"/>
              <w:ind w:firstLine="480"/>
              <w:rPr>
                <w:bCs/>
              </w:rPr>
            </w:pPr>
            <w:bookmarkStart w:id="3" w:name="_Hlk60843702"/>
            <w:bookmarkStart w:id="4" w:name="_Hlk60847547"/>
            <w:r>
              <w:rPr>
                <w:bCs/>
              </w:rPr>
              <w:t>本项目位于</w:t>
            </w:r>
            <w:r>
              <w:rPr>
                <w:rFonts w:hint="eastAsia"/>
                <w:bCs/>
              </w:rPr>
              <w:t>内蒙古自治区鄂尔多斯市康巴什区乌兰木伦街汇能大厦负一层，主要进行新型储能方向、分布式能源方向、地下清洁能源资源方向、节能减碳方向和二氧化碳捕集利用与封存方向的科研实验，项目改造建筑面积2888.5m</w:t>
            </w:r>
            <w:r>
              <w:rPr>
                <w:rFonts w:hint="eastAsia"/>
                <w:bCs/>
                <w:vertAlign w:val="superscript"/>
              </w:rPr>
              <w:t>2</w:t>
            </w:r>
            <w:bookmarkEnd w:id="3"/>
            <w:bookmarkEnd w:id="4"/>
            <w:r>
              <w:rPr>
                <w:rFonts w:hint="eastAsia"/>
                <w:bCs/>
              </w:rPr>
              <w:t>。</w:t>
            </w:r>
            <w:r>
              <w:rPr>
                <w:bCs/>
              </w:rPr>
              <w:t>本项目</w:t>
            </w:r>
            <w:r>
              <w:rPr>
                <w:rFonts w:hint="eastAsia"/>
                <w:bCs/>
              </w:rPr>
              <w:t>给排水</w:t>
            </w:r>
            <w:r>
              <w:rPr>
                <w:bCs/>
              </w:rPr>
              <w:t>、供热、供电等均</w:t>
            </w:r>
            <w:r>
              <w:rPr>
                <w:rFonts w:hint="eastAsia"/>
                <w:bCs/>
              </w:rPr>
              <w:t>可依托市政配套</w:t>
            </w:r>
            <w:r>
              <w:rPr>
                <w:bCs/>
              </w:rPr>
              <w:t>。本项目不在自然保护区、风景名胜区、集中式饮用水源保护区等环境敏感区范围内，</w:t>
            </w:r>
            <w:r>
              <w:rPr>
                <w:rFonts w:hint="eastAsia"/>
                <w:bCs/>
              </w:rPr>
              <w:t>对周边生态环境不会造成影响。项目无</w:t>
            </w:r>
            <w:r>
              <w:rPr>
                <w:bCs/>
              </w:rPr>
              <w:t>大气污染物</w:t>
            </w:r>
            <w:r>
              <w:rPr>
                <w:rFonts w:hint="eastAsia"/>
                <w:bCs/>
              </w:rPr>
              <w:t>，污水经过化酸碱中和池和公共粪池处理后排入市政污水管网，</w:t>
            </w:r>
            <w:r>
              <w:rPr>
                <w:bCs/>
              </w:rPr>
              <w:t>通过采取噪声防治措施后厂界噪声也可达标，对周围环境影响较小，项目选址合理。</w:t>
            </w:r>
          </w:p>
        </w:tc>
      </w:tr>
    </w:tbl>
    <w:p w14:paraId="57D7481D">
      <w:pPr>
        <w:spacing w:line="360" w:lineRule="auto"/>
        <w:outlineLvl w:val="0"/>
        <w:rPr>
          <w:rFonts w:eastAsia="黑体"/>
          <w:sz w:val="30"/>
        </w:rPr>
        <w:sectPr>
          <w:footerReference r:id="rId6" w:type="default"/>
          <w:pgSz w:w="11906" w:h="16838"/>
          <w:pgMar w:top="1701" w:right="1531" w:bottom="1701" w:left="1531" w:header="851" w:footer="1077" w:gutter="0"/>
          <w:pgNumType w:start="1"/>
          <w:cols w:space="720" w:num="1"/>
          <w:docGrid w:linePitch="312" w:charSpace="0"/>
        </w:sectPr>
      </w:pPr>
    </w:p>
    <w:p w14:paraId="470CB27B">
      <w:pPr>
        <w:pStyle w:val="44"/>
        <w:jc w:val="center"/>
        <w:outlineLvl w:val="0"/>
        <w:rPr>
          <w:rFonts w:hint="eastAsia" w:ascii="黑体" w:hAnsi="黑体" w:eastAsia="黑体"/>
          <w:snapToGrid w:val="0"/>
          <w:sz w:val="30"/>
          <w:szCs w:val="30"/>
        </w:rPr>
      </w:pPr>
      <w:r>
        <w:rPr>
          <w:rFonts w:hint="eastAsia" w:ascii="黑体" w:hAnsi="黑体" w:eastAsia="黑体"/>
          <w:snapToGrid w:val="0"/>
          <w:sz w:val="30"/>
          <w:szCs w:val="30"/>
        </w:rPr>
        <w:t>二、建设项目工程分析</w:t>
      </w:r>
    </w:p>
    <w:tbl>
      <w:tblPr>
        <w:tblStyle w:val="5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8503"/>
      </w:tblGrid>
      <w:tr w14:paraId="55DB9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4D27E616">
            <w:pPr>
              <w:pStyle w:val="44"/>
              <w:adjustRightInd w:val="0"/>
              <w:snapToGrid w:val="0"/>
              <w:spacing w:before="0" w:beforeAutospacing="0" w:after="0" w:afterAutospacing="0"/>
              <w:jc w:val="center"/>
              <w:rPr>
                <w:rFonts w:hint="eastAsia" w:cs="宋体"/>
                <w:szCs w:val="24"/>
              </w:rPr>
            </w:pPr>
            <w:r>
              <w:rPr>
                <w:rFonts w:hint="eastAsia" w:cs="宋体"/>
                <w:szCs w:val="24"/>
              </w:rPr>
              <w:t>建设内容</w:t>
            </w:r>
          </w:p>
        </w:tc>
        <w:tc>
          <w:tcPr>
            <w:tcW w:w="7983" w:type="dxa"/>
          </w:tcPr>
          <w:p w14:paraId="0EB2A5D3">
            <w:pPr>
              <w:pStyle w:val="77"/>
            </w:pPr>
            <w:r>
              <w:rPr>
                <w:rFonts w:hint="eastAsia"/>
              </w:rPr>
              <w:t>1、项目由来</w:t>
            </w:r>
          </w:p>
          <w:p w14:paraId="1AA2DF8D">
            <w:pPr>
              <w:pStyle w:val="76"/>
              <w:ind w:firstLine="480"/>
            </w:pPr>
            <w:r>
              <w:t>鄂尔多斯市煤炭、天然气传统资源丰富，风、光清洁资源优良，</w:t>
            </w:r>
            <w:r>
              <w:rPr>
                <w:rFonts w:hint="eastAsia"/>
              </w:rPr>
              <w:t>是</w:t>
            </w:r>
            <w:r>
              <w:t>内蒙古</w:t>
            </w:r>
            <w:r>
              <w:rPr>
                <w:rFonts w:hint="eastAsia"/>
              </w:rPr>
              <w:t>“</w:t>
            </w:r>
            <w:r>
              <w:t>国家重要能源和战略资源基地</w:t>
            </w:r>
            <w:r>
              <w:rPr>
                <w:rFonts w:hint="eastAsia"/>
              </w:rPr>
              <w:t>”</w:t>
            </w:r>
            <w:r>
              <w:t>定位的重要支撑点</w:t>
            </w:r>
            <w:r>
              <w:rPr>
                <w:rFonts w:hint="eastAsia"/>
              </w:rPr>
              <w:t>，正着力落实创新驱动首要战略，推动以能源结构转型带动经济结构转型，打造清洁能源供应体系。</w:t>
            </w:r>
            <w:r>
              <w:t>汇能科创大厦是一个集多种功能于一体的综合性建筑，共40层，其中地上37层、地下3层，实用面积达到7.6万平方米。大厦的主要功能</w:t>
            </w:r>
            <w:r>
              <w:rPr>
                <w:rFonts w:hint="eastAsia"/>
              </w:rPr>
              <w:t>有</w:t>
            </w:r>
            <w:r>
              <w:t>：招聘</w:t>
            </w:r>
            <w:r>
              <w:rPr>
                <w:rFonts w:hint="eastAsia"/>
              </w:rPr>
              <w:t>、</w:t>
            </w:r>
            <w:r>
              <w:t>培训</w:t>
            </w:r>
            <w:r>
              <w:rPr>
                <w:rFonts w:hint="eastAsia"/>
              </w:rPr>
              <w:t>、</w:t>
            </w:r>
            <w:r>
              <w:t>党建</w:t>
            </w:r>
            <w:r>
              <w:rPr>
                <w:rFonts w:hint="eastAsia"/>
              </w:rPr>
              <w:t>、</w:t>
            </w:r>
            <w:r>
              <w:t>科技展</w:t>
            </w:r>
            <w:r>
              <w:rPr>
                <w:rFonts w:hint="eastAsia"/>
              </w:rPr>
              <w:t>示、</w:t>
            </w:r>
            <w:r>
              <w:t>综合实验室</w:t>
            </w:r>
            <w:r>
              <w:rPr>
                <w:rFonts w:hint="eastAsia"/>
              </w:rPr>
              <w:t>、</w:t>
            </w:r>
            <w:r>
              <w:t>产业技术创新</w:t>
            </w:r>
            <w:r>
              <w:rPr>
                <w:rFonts w:hint="eastAsia"/>
              </w:rPr>
              <w:t>、</w:t>
            </w:r>
            <w:r>
              <w:t>产学研一体化办公</w:t>
            </w:r>
            <w:r>
              <w:rPr>
                <w:rFonts w:hint="eastAsia"/>
              </w:rPr>
              <w:t>等。研究院通过深度对接鄂尔多斯的能源禀赋和产业布局，开展能源转型和碳中和愿景的前沿理论和关键核心技术研究，遂推进北京大学鄂尔多斯能源研究院布局，提出本工程的建设。</w:t>
            </w:r>
          </w:p>
          <w:p w14:paraId="218BFE0A">
            <w:pPr>
              <w:pStyle w:val="76"/>
              <w:ind w:firstLine="480"/>
            </w:pPr>
            <w:r>
              <w:t>依据《中华人民共和国环境影响评价法》及《建设项目环境保护管理条例》的规定，凡从事对环境有影响的建设项目必须进行环境影响评价。</w:t>
            </w:r>
            <w:r>
              <w:rPr>
                <w:rFonts w:hint="eastAsia"/>
              </w:rPr>
              <w:t>本项目实验会产生危险废物，</w:t>
            </w:r>
            <w:r>
              <w:t>根据《建设项目环境影响评价分类管理名录（2021版）》，本项目</w:t>
            </w:r>
            <w:r>
              <w:rPr>
                <w:rFonts w:hint="eastAsia"/>
              </w:rPr>
              <w:t>属于“四十五、研究和试验发展 98.专业实验室、研发（试验）基地，其他（不产生实验废气、废水、危险废物的除外）”</w:t>
            </w:r>
            <w:r>
              <w:t>需要编制报告表</w:t>
            </w:r>
            <w:r>
              <w:rPr>
                <w:rFonts w:hint="eastAsia"/>
              </w:rPr>
              <w:t>。</w:t>
            </w:r>
            <w:r>
              <w:t>因此，</w:t>
            </w:r>
            <w:r>
              <w:rPr>
                <w:rFonts w:hint="eastAsia"/>
              </w:rPr>
              <w:t>北京大学鄂尔多斯能源研究院</w:t>
            </w:r>
            <w:r>
              <w:t>委托我公司对本项目进行环境影响评价工作。接受委托后，我公司技术人员严格按照国家的有关</w:t>
            </w:r>
            <w:r>
              <w:rPr>
                <w:rFonts w:hint="eastAsia"/>
              </w:rPr>
              <w:t>法律</w:t>
            </w:r>
            <w:r>
              <w:t>法规及当地</w:t>
            </w:r>
            <w:r>
              <w:rPr>
                <w:rFonts w:hint="eastAsia"/>
              </w:rPr>
              <w:t>生态环境主管</w:t>
            </w:r>
            <w:r>
              <w:t>部门的要求，认真研究该项目的有关文件，并进行实地踏勘和调研，收集和核实了有关材料，根据有关工程资料，在现场调查、预测计算分析等环节工作的基础上，编制完成了本项目环境影响报告表。</w:t>
            </w:r>
          </w:p>
          <w:p w14:paraId="0007CFD6">
            <w:pPr>
              <w:pStyle w:val="77"/>
            </w:pPr>
            <w:r>
              <w:rPr>
                <w:rFonts w:hint="eastAsia"/>
              </w:rPr>
              <w:t>2、项目组成</w:t>
            </w:r>
          </w:p>
          <w:p w14:paraId="46BCEF74">
            <w:pPr>
              <w:pStyle w:val="76"/>
              <w:ind w:firstLine="480"/>
            </w:pPr>
            <w:r>
              <w:t>本项</w:t>
            </w:r>
            <w:r>
              <w:rPr>
                <w:rFonts w:hint="eastAsia"/>
              </w:rPr>
              <w:t>目将汇能大厦地下一层部分车库改建为实验室，原建筑总建筑面积为46467.1m</w:t>
            </w:r>
            <w:r>
              <w:rPr>
                <w:rFonts w:hint="eastAsia"/>
                <w:vertAlign w:val="superscript"/>
              </w:rPr>
              <w:t>2</w:t>
            </w:r>
            <w:r>
              <w:rPr>
                <w:rFonts w:hint="eastAsia"/>
              </w:rPr>
              <w:t>，改造面积为2888.5 m</w:t>
            </w:r>
            <w:r>
              <w:rPr>
                <w:rFonts w:hint="eastAsia"/>
                <w:vertAlign w:val="superscript"/>
              </w:rPr>
              <w:t>2</w:t>
            </w:r>
            <w:r>
              <w:rPr>
                <w:rFonts w:hint="eastAsia"/>
              </w:rPr>
              <w:t>。</w:t>
            </w:r>
            <w:r>
              <w:t>主要建设内容为</w:t>
            </w:r>
            <w:r>
              <w:rPr>
                <w:rFonts w:hint="eastAsia"/>
              </w:rPr>
              <w:t>12个实验室，配套建设展示区及公用设施用房。</w:t>
            </w:r>
            <w:r>
              <w:t>具体建设情况见下表。</w:t>
            </w:r>
          </w:p>
          <w:p w14:paraId="593AFD26">
            <w:pPr>
              <w:pStyle w:val="127"/>
              <w:rPr>
                <w:color w:val="auto"/>
              </w:rPr>
            </w:pPr>
            <w:r>
              <w:rPr>
                <w:rFonts w:hint="eastAsia"/>
                <w:color w:val="auto"/>
              </w:rPr>
              <w:t>表2-1</w:t>
            </w:r>
            <w:r>
              <w:rPr>
                <w:color w:val="auto"/>
              </w:rPr>
              <w:t>项目组成表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12"/>
              <w:gridCol w:w="5310"/>
              <w:gridCol w:w="836"/>
            </w:tblGrid>
            <w:tr w14:paraId="502B5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2" w:type="pct"/>
                  <w:gridSpan w:val="2"/>
                  <w:vAlign w:val="center"/>
                </w:tcPr>
                <w:p w14:paraId="470E7146">
                  <w:pPr>
                    <w:pStyle w:val="130"/>
                    <w:rPr>
                      <w:b/>
                      <w:bCs/>
                    </w:rPr>
                  </w:pPr>
                  <w:bookmarkStart w:id="5" w:name="_Hlk3383177"/>
                  <w:r>
                    <w:rPr>
                      <w:b/>
                      <w:bCs/>
                    </w:rPr>
                    <w:t>工程类别</w:t>
                  </w:r>
                </w:p>
              </w:tc>
              <w:tc>
                <w:tcPr>
                  <w:tcW w:w="3204" w:type="pct"/>
                  <w:vAlign w:val="center"/>
                </w:tcPr>
                <w:p w14:paraId="101C5570">
                  <w:pPr>
                    <w:pStyle w:val="130"/>
                    <w:rPr>
                      <w:b/>
                      <w:bCs/>
                    </w:rPr>
                  </w:pPr>
                  <w:r>
                    <w:rPr>
                      <w:b/>
                      <w:bCs/>
                    </w:rPr>
                    <w:t>工程内容</w:t>
                  </w:r>
                </w:p>
              </w:tc>
              <w:tc>
                <w:tcPr>
                  <w:tcW w:w="504" w:type="pct"/>
                  <w:vAlign w:val="center"/>
                </w:tcPr>
                <w:p w14:paraId="2A065659">
                  <w:pPr>
                    <w:pStyle w:val="130"/>
                    <w:rPr>
                      <w:b/>
                      <w:bCs/>
                    </w:rPr>
                  </w:pPr>
                  <w:r>
                    <w:rPr>
                      <w:b/>
                      <w:bCs/>
                    </w:rPr>
                    <w:t>备注</w:t>
                  </w:r>
                </w:p>
              </w:tc>
            </w:tr>
            <w:tr w14:paraId="63A34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40" w:type="pct"/>
                  <w:vMerge w:val="restart"/>
                  <w:vAlign w:val="center"/>
                </w:tcPr>
                <w:p w14:paraId="28EA10CD">
                  <w:pPr>
                    <w:pStyle w:val="130"/>
                    <w:rPr>
                      <w:color w:val="auto"/>
                    </w:rPr>
                  </w:pPr>
                  <w:r>
                    <w:rPr>
                      <w:color w:val="auto"/>
                    </w:rPr>
                    <w:t>主体</w:t>
                  </w:r>
                </w:p>
                <w:p w14:paraId="36935AF8">
                  <w:pPr>
                    <w:pStyle w:val="130"/>
                    <w:rPr>
                      <w:color w:val="auto"/>
                    </w:rPr>
                  </w:pPr>
                  <w:r>
                    <w:rPr>
                      <w:color w:val="auto"/>
                    </w:rPr>
                    <w:t>工程</w:t>
                  </w:r>
                </w:p>
              </w:tc>
              <w:tc>
                <w:tcPr>
                  <w:tcW w:w="852" w:type="pct"/>
                  <w:vAlign w:val="center"/>
                </w:tcPr>
                <w:p w14:paraId="4E15B568">
                  <w:pPr>
                    <w:pStyle w:val="130"/>
                    <w:jc w:val="both"/>
                    <w:rPr>
                      <w:color w:val="auto"/>
                    </w:rPr>
                  </w:pPr>
                  <w:r>
                    <w:rPr>
                      <w:rFonts w:hint="eastAsia"/>
                      <w:color w:val="auto"/>
                    </w:rPr>
                    <w:t>CCUS方向-- CO</w:t>
                  </w:r>
                  <w:r>
                    <w:rPr>
                      <w:rFonts w:hint="eastAsia"/>
                      <w:color w:val="auto"/>
                      <w:vertAlign w:val="subscript"/>
                    </w:rPr>
                    <w:t>2</w:t>
                  </w:r>
                  <w:r>
                    <w:rPr>
                      <w:rFonts w:hint="eastAsia"/>
                      <w:color w:val="auto"/>
                    </w:rPr>
                    <w:t>地质利用与封存实验室</w:t>
                  </w:r>
                </w:p>
              </w:tc>
              <w:tc>
                <w:tcPr>
                  <w:tcW w:w="3204" w:type="pct"/>
                  <w:vAlign w:val="center"/>
                </w:tcPr>
                <w:p w14:paraId="31DD4467">
                  <w:pPr>
                    <w:pStyle w:val="130"/>
                    <w:rPr>
                      <w:color w:val="auto"/>
                    </w:rPr>
                  </w:pPr>
                  <w:r>
                    <w:rPr>
                      <w:rFonts w:hint="eastAsia"/>
                      <w:color w:val="auto"/>
                    </w:rPr>
                    <w:t>建筑面积57.56</w:t>
                  </w:r>
                  <w:r>
                    <w:rPr>
                      <w:color w:val="auto"/>
                    </w:rPr>
                    <w:t xml:space="preserve"> m</w:t>
                  </w:r>
                  <w:r>
                    <w:rPr>
                      <w:color w:val="auto"/>
                      <w:vertAlign w:val="superscript"/>
                    </w:rPr>
                    <w:t>2</w:t>
                  </w:r>
                  <w:r>
                    <w:rPr>
                      <w:rFonts w:hint="eastAsia"/>
                      <w:color w:val="auto"/>
                    </w:rPr>
                    <w:t>，进行天然气藏岩心注CO</w:t>
                  </w:r>
                  <w:r>
                    <w:rPr>
                      <w:rFonts w:hint="eastAsia"/>
                      <w:color w:val="auto"/>
                      <w:vertAlign w:val="subscript"/>
                    </w:rPr>
                    <w:t>2</w:t>
                  </w:r>
                  <w:r>
                    <w:rPr>
                      <w:rFonts w:hint="eastAsia"/>
                      <w:color w:val="auto"/>
                    </w:rPr>
                    <w:t>驱替CH</w:t>
                  </w:r>
                  <w:r>
                    <w:rPr>
                      <w:rFonts w:hint="eastAsia"/>
                      <w:color w:val="auto"/>
                      <w:vertAlign w:val="subscript"/>
                    </w:rPr>
                    <w:t>4</w:t>
                  </w:r>
                  <w:r>
                    <w:rPr>
                      <w:rFonts w:hint="eastAsia"/>
                      <w:color w:val="auto"/>
                    </w:rPr>
                    <w:t>实验，为物理实验。</w:t>
                  </w:r>
                </w:p>
              </w:tc>
              <w:tc>
                <w:tcPr>
                  <w:tcW w:w="504" w:type="pct"/>
                  <w:vMerge w:val="restart"/>
                  <w:vAlign w:val="center"/>
                </w:tcPr>
                <w:p w14:paraId="1095F34B">
                  <w:pPr>
                    <w:pStyle w:val="130"/>
                  </w:pPr>
                  <w:r>
                    <w:rPr>
                      <w:rFonts w:hint="eastAsia"/>
                    </w:rPr>
                    <w:t>利用汇能大厦地下一层车库改建</w:t>
                  </w:r>
                </w:p>
              </w:tc>
            </w:tr>
            <w:tr w14:paraId="61C64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0B3B1C3D">
                  <w:pPr>
                    <w:pStyle w:val="130"/>
                    <w:rPr>
                      <w:color w:val="auto"/>
                    </w:rPr>
                  </w:pPr>
                </w:p>
              </w:tc>
              <w:tc>
                <w:tcPr>
                  <w:tcW w:w="852" w:type="pct"/>
                  <w:vAlign w:val="center"/>
                </w:tcPr>
                <w:p w14:paraId="75B712EB">
                  <w:pPr>
                    <w:pStyle w:val="130"/>
                    <w:jc w:val="both"/>
                    <w:rPr>
                      <w:color w:val="auto"/>
                    </w:rPr>
                  </w:pPr>
                  <w:r>
                    <w:rPr>
                      <w:rFonts w:hint="eastAsia"/>
                      <w:color w:val="auto"/>
                    </w:rPr>
                    <w:t>CCUS方向-- CO</w:t>
                  </w:r>
                  <w:r>
                    <w:rPr>
                      <w:rFonts w:hint="eastAsia"/>
                      <w:color w:val="auto"/>
                      <w:vertAlign w:val="subscript"/>
                    </w:rPr>
                    <w:t>2</w:t>
                  </w:r>
                  <w:r>
                    <w:rPr>
                      <w:rFonts w:hint="eastAsia"/>
                      <w:color w:val="auto"/>
                    </w:rPr>
                    <w:t>捕集、矿化、利用实验室</w:t>
                  </w:r>
                </w:p>
              </w:tc>
              <w:tc>
                <w:tcPr>
                  <w:tcW w:w="3204" w:type="pct"/>
                  <w:vAlign w:val="center"/>
                </w:tcPr>
                <w:p w14:paraId="0B5DBB82">
                  <w:pPr>
                    <w:pStyle w:val="130"/>
                    <w:rPr>
                      <w:color w:val="auto"/>
                    </w:rPr>
                  </w:pPr>
                  <w:r>
                    <w:rPr>
                      <w:rFonts w:hint="eastAsia"/>
                      <w:color w:val="auto"/>
                    </w:rPr>
                    <w:t>建筑面积43.24</w:t>
                  </w:r>
                  <w:r>
                    <w:rPr>
                      <w:color w:val="auto"/>
                    </w:rPr>
                    <w:t>m</w:t>
                  </w:r>
                  <w:r>
                    <w:rPr>
                      <w:color w:val="auto"/>
                      <w:vertAlign w:val="superscript"/>
                    </w:rPr>
                    <w:t>2</w:t>
                  </w:r>
                  <w:r>
                    <w:rPr>
                      <w:rFonts w:hint="eastAsia"/>
                      <w:color w:val="auto"/>
                    </w:rPr>
                    <w:t>，进行CO</w:t>
                  </w:r>
                  <w:r>
                    <w:rPr>
                      <w:rFonts w:hint="eastAsia"/>
                      <w:color w:val="auto"/>
                      <w:vertAlign w:val="subscript"/>
                    </w:rPr>
                    <w:t>2</w:t>
                  </w:r>
                  <w:r>
                    <w:rPr>
                      <w:rFonts w:hint="eastAsia"/>
                      <w:color w:val="auto"/>
                    </w:rPr>
                    <w:t>捕集实验和CO</w:t>
                  </w:r>
                  <w:r>
                    <w:rPr>
                      <w:rFonts w:hint="eastAsia"/>
                      <w:color w:val="auto"/>
                      <w:vertAlign w:val="subscript"/>
                    </w:rPr>
                    <w:t>2</w:t>
                  </w:r>
                  <w:r>
                    <w:rPr>
                      <w:rFonts w:hint="eastAsia"/>
                      <w:color w:val="auto"/>
                    </w:rPr>
                    <w:t>矿化实验，为化学实验。</w:t>
                  </w:r>
                </w:p>
              </w:tc>
              <w:tc>
                <w:tcPr>
                  <w:tcW w:w="504" w:type="pct"/>
                  <w:vMerge w:val="continue"/>
                  <w:vAlign w:val="center"/>
                </w:tcPr>
                <w:p w14:paraId="25EF20B4">
                  <w:pPr>
                    <w:pStyle w:val="130"/>
                  </w:pPr>
                </w:p>
              </w:tc>
            </w:tr>
            <w:tr w14:paraId="6D059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2E4686CD">
                  <w:pPr>
                    <w:pStyle w:val="130"/>
                    <w:rPr>
                      <w:color w:val="auto"/>
                    </w:rPr>
                  </w:pPr>
                </w:p>
              </w:tc>
              <w:tc>
                <w:tcPr>
                  <w:tcW w:w="852" w:type="pct"/>
                  <w:vAlign w:val="center"/>
                </w:tcPr>
                <w:p w14:paraId="62AE41E2">
                  <w:pPr>
                    <w:pStyle w:val="130"/>
                    <w:jc w:val="both"/>
                    <w:rPr>
                      <w:color w:val="auto"/>
                    </w:rPr>
                  </w:pPr>
                  <w:r>
                    <w:rPr>
                      <w:rFonts w:hint="eastAsia"/>
                      <w:color w:val="auto"/>
                    </w:rPr>
                    <w:t>CCUS方向-- CO</w:t>
                  </w:r>
                  <w:r>
                    <w:rPr>
                      <w:rFonts w:hint="eastAsia"/>
                      <w:color w:val="auto"/>
                      <w:vertAlign w:val="subscript"/>
                    </w:rPr>
                    <w:t>2</w:t>
                  </w:r>
                  <w:r>
                    <w:rPr>
                      <w:rFonts w:hint="eastAsia"/>
                      <w:color w:val="auto"/>
                    </w:rPr>
                    <w:t>监测落地设备实验室</w:t>
                  </w:r>
                </w:p>
              </w:tc>
              <w:tc>
                <w:tcPr>
                  <w:tcW w:w="3204" w:type="pct"/>
                  <w:vAlign w:val="center"/>
                </w:tcPr>
                <w:p w14:paraId="52226C05">
                  <w:pPr>
                    <w:pStyle w:val="130"/>
                    <w:rPr>
                      <w:color w:val="auto"/>
                    </w:rPr>
                  </w:pPr>
                  <w:r>
                    <w:rPr>
                      <w:rFonts w:hint="eastAsia"/>
                      <w:color w:val="auto"/>
                    </w:rPr>
                    <w:t>建筑面积27.78</w:t>
                  </w:r>
                  <w:r>
                    <w:rPr>
                      <w:color w:val="auto"/>
                    </w:rPr>
                    <w:t>m</w:t>
                  </w:r>
                  <w:r>
                    <w:rPr>
                      <w:color w:val="auto"/>
                      <w:vertAlign w:val="superscript"/>
                    </w:rPr>
                    <w:t>2</w:t>
                  </w:r>
                  <w:r>
                    <w:rPr>
                      <w:rFonts w:hint="eastAsia"/>
                      <w:color w:val="auto"/>
                    </w:rPr>
                    <w:t>，放置CO</w:t>
                  </w:r>
                  <w:r>
                    <w:rPr>
                      <w:rFonts w:hint="eastAsia"/>
                      <w:color w:val="auto"/>
                      <w:vertAlign w:val="subscript"/>
                    </w:rPr>
                    <w:t>2</w:t>
                  </w:r>
                  <w:r>
                    <w:rPr>
                      <w:rFonts w:hint="eastAsia"/>
                      <w:color w:val="auto"/>
                    </w:rPr>
                    <w:t>监测设备。</w:t>
                  </w:r>
                </w:p>
              </w:tc>
              <w:tc>
                <w:tcPr>
                  <w:tcW w:w="504" w:type="pct"/>
                  <w:vMerge w:val="continue"/>
                  <w:vAlign w:val="center"/>
                </w:tcPr>
                <w:p w14:paraId="0D96CB65">
                  <w:pPr>
                    <w:pStyle w:val="130"/>
                  </w:pPr>
                </w:p>
              </w:tc>
            </w:tr>
            <w:tr w14:paraId="47694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7B8BD656">
                  <w:pPr>
                    <w:pStyle w:val="130"/>
                    <w:rPr>
                      <w:color w:val="auto"/>
                    </w:rPr>
                  </w:pPr>
                </w:p>
              </w:tc>
              <w:tc>
                <w:tcPr>
                  <w:tcW w:w="852" w:type="pct"/>
                  <w:vAlign w:val="center"/>
                </w:tcPr>
                <w:p w14:paraId="3EAA9C0D">
                  <w:pPr>
                    <w:pStyle w:val="130"/>
                    <w:jc w:val="both"/>
                    <w:rPr>
                      <w:color w:val="auto"/>
                    </w:rPr>
                  </w:pPr>
                  <w:r>
                    <w:rPr>
                      <w:rFonts w:hint="eastAsia"/>
                      <w:color w:val="auto"/>
                    </w:rPr>
                    <w:t>CCUS方向--中试实验室</w:t>
                  </w:r>
                </w:p>
              </w:tc>
              <w:tc>
                <w:tcPr>
                  <w:tcW w:w="3204" w:type="pct"/>
                  <w:vAlign w:val="center"/>
                </w:tcPr>
                <w:p w14:paraId="32316D79">
                  <w:pPr>
                    <w:pStyle w:val="130"/>
                    <w:rPr>
                      <w:color w:val="auto"/>
                    </w:rPr>
                  </w:pPr>
                  <w:r>
                    <w:rPr>
                      <w:rFonts w:hint="eastAsia"/>
                      <w:color w:val="auto"/>
                    </w:rPr>
                    <w:t>建筑面积185.72</w:t>
                  </w:r>
                  <w:r>
                    <w:rPr>
                      <w:color w:val="auto"/>
                    </w:rPr>
                    <w:t>m</w:t>
                  </w:r>
                  <w:r>
                    <w:rPr>
                      <w:color w:val="auto"/>
                      <w:vertAlign w:val="superscript"/>
                    </w:rPr>
                    <w:t>2</w:t>
                  </w:r>
                  <w:r>
                    <w:rPr>
                      <w:color w:val="auto"/>
                    </w:rPr>
                    <w:t>，</w:t>
                  </w:r>
                  <w:r>
                    <w:rPr>
                      <w:rFonts w:hint="eastAsia"/>
                      <w:color w:val="auto"/>
                    </w:rPr>
                    <w:t>放置中试反应捕集矿化一体化设备和CO</w:t>
                  </w:r>
                  <w:r>
                    <w:rPr>
                      <w:rFonts w:hint="eastAsia"/>
                      <w:color w:val="auto"/>
                      <w:vertAlign w:val="subscript"/>
                    </w:rPr>
                    <w:t>2</w:t>
                  </w:r>
                  <w:r>
                    <w:rPr>
                      <w:rFonts w:hint="eastAsia"/>
                      <w:color w:val="auto"/>
                    </w:rPr>
                    <w:t>捕集系统，进行CO</w:t>
                  </w:r>
                  <w:r>
                    <w:rPr>
                      <w:rFonts w:hint="eastAsia"/>
                      <w:color w:val="auto"/>
                      <w:vertAlign w:val="subscript"/>
                    </w:rPr>
                    <w:t>2</w:t>
                  </w:r>
                  <w:r>
                    <w:rPr>
                      <w:rFonts w:hint="eastAsia"/>
                      <w:color w:val="auto"/>
                    </w:rPr>
                    <w:t>捕集实验和CO</w:t>
                  </w:r>
                  <w:r>
                    <w:rPr>
                      <w:rFonts w:hint="eastAsia"/>
                      <w:color w:val="auto"/>
                      <w:vertAlign w:val="subscript"/>
                    </w:rPr>
                    <w:t>2</w:t>
                  </w:r>
                  <w:r>
                    <w:rPr>
                      <w:rFonts w:hint="eastAsia"/>
                      <w:color w:val="auto"/>
                    </w:rPr>
                    <w:t>矿化实验，为化学实验。</w:t>
                  </w:r>
                </w:p>
              </w:tc>
              <w:tc>
                <w:tcPr>
                  <w:tcW w:w="504" w:type="pct"/>
                  <w:vMerge w:val="continue"/>
                  <w:vAlign w:val="center"/>
                </w:tcPr>
                <w:p w14:paraId="2D419120">
                  <w:pPr>
                    <w:pStyle w:val="130"/>
                  </w:pPr>
                </w:p>
              </w:tc>
            </w:tr>
            <w:tr w14:paraId="47E07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013C3CEA">
                  <w:pPr>
                    <w:pStyle w:val="130"/>
                    <w:rPr>
                      <w:color w:val="auto"/>
                    </w:rPr>
                  </w:pPr>
                </w:p>
              </w:tc>
              <w:tc>
                <w:tcPr>
                  <w:tcW w:w="852" w:type="pct"/>
                  <w:vAlign w:val="center"/>
                </w:tcPr>
                <w:p w14:paraId="7EF97CA0">
                  <w:pPr>
                    <w:pStyle w:val="130"/>
                    <w:jc w:val="both"/>
                    <w:rPr>
                      <w:color w:val="auto"/>
                    </w:rPr>
                  </w:pPr>
                  <w:r>
                    <w:rPr>
                      <w:rFonts w:hint="eastAsia"/>
                      <w:color w:val="auto"/>
                    </w:rPr>
                    <w:t>节能减碳</w:t>
                  </w:r>
                  <w:bookmarkStart w:id="6" w:name="_Hlk172105475"/>
                  <w:r>
                    <w:rPr>
                      <w:rFonts w:hint="eastAsia"/>
                      <w:color w:val="auto"/>
                    </w:rPr>
                    <w:t>二氧化碳空气源冷热一体化实验室</w:t>
                  </w:r>
                  <w:bookmarkEnd w:id="6"/>
                </w:p>
              </w:tc>
              <w:tc>
                <w:tcPr>
                  <w:tcW w:w="3204" w:type="pct"/>
                  <w:vAlign w:val="center"/>
                </w:tcPr>
                <w:p w14:paraId="442EF8FE">
                  <w:pPr>
                    <w:pStyle w:val="130"/>
                    <w:rPr>
                      <w:color w:val="auto"/>
                    </w:rPr>
                  </w:pPr>
                  <w:r>
                    <w:rPr>
                      <w:rFonts w:hint="eastAsia"/>
                      <w:color w:val="auto"/>
                    </w:rPr>
                    <w:t>建筑面积174.55</w:t>
                  </w:r>
                  <w:r>
                    <w:rPr>
                      <w:color w:val="auto"/>
                    </w:rPr>
                    <w:t>m</w:t>
                  </w:r>
                  <w:r>
                    <w:rPr>
                      <w:color w:val="auto"/>
                      <w:vertAlign w:val="superscript"/>
                    </w:rPr>
                    <w:t>2</w:t>
                  </w:r>
                  <w:r>
                    <w:rPr>
                      <w:rFonts w:hint="eastAsia"/>
                      <w:color w:val="auto"/>
                    </w:rPr>
                    <w:t>，实验利用CO2蓄冰和制热，收集实验数据。制热实验系统室外设备放置在大厦南侧停车场东侧地下通道旁附近，管线连接至室内设备，蓄冰与供热实验系统放置在室内。</w:t>
                  </w:r>
                </w:p>
              </w:tc>
              <w:tc>
                <w:tcPr>
                  <w:tcW w:w="504" w:type="pct"/>
                  <w:vMerge w:val="continue"/>
                  <w:vAlign w:val="center"/>
                </w:tcPr>
                <w:p w14:paraId="5912F8D2">
                  <w:pPr>
                    <w:pStyle w:val="130"/>
                  </w:pPr>
                </w:p>
              </w:tc>
            </w:tr>
            <w:tr w14:paraId="57607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3ADB0A7E">
                  <w:pPr>
                    <w:pStyle w:val="130"/>
                    <w:rPr>
                      <w:color w:val="auto"/>
                    </w:rPr>
                  </w:pPr>
                </w:p>
              </w:tc>
              <w:tc>
                <w:tcPr>
                  <w:tcW w:w="852" w:type="pct"/>
                  <w:vAlign w:val="center"/>
                </w:tcPr>
                <w:p w14:paraId="002E5380">
                  <w:pPr>
                    <w:pStyle w:val="130"/>
                    <w:jc w:val="both"/>
                    <w:rPr>
                      <w:color w:val="auto"/>
                    </w:rPr>
                  </w:pPr>
                  <w:r>
                    <w:rPr>
                      <w:rFonts w:hint="eastAsia"/>
                      <w:color w:val="auto"/>
                    </w:rPr>
                    <w:t>地下清洁能源资源方向--氢气、氦气测试分析实验室</w:t>
                  </w:r>
                </w:p>
              </w:tc>
              <w:tc>
                <w:tcPr>
                  <w:tcW w:w="3204" w:type="pct"/>
                  <w:vAlign w:val="center"/>
                </w:tcPr>
                <w:p w14:paraId="0C46132B">
                  <w:pPr>
                    <w:pStyle w:val="130"/>
                    <w:rPr>
                      <w:color w:val="auto"/>
                    </w:rPr>
                  </w:pPr>
                  <w:r>
                    <w:rPr>
                      <w:rFonts w:hint="eastAsia"/>
                      <w:color w:val="auto"/>
                    </w:rPr>
                    <w:t>建筑面积94.13</w:t>
                  </w:r>
                  <w:r>
                    <w:rPr>
                      <w:color w:val="auto"/>
                    </w:rPr>
                    <w:t xml:space="preserve"> m</w:t>
                  </w:r>
                  <w:r>
                    <w:rPr>
                      <w:color w:val="auto"/>
                      <w:vertAlign w:val="superscript"/>
                    </w:rPr>
                    <w:t>2</w:t>
                  </w:r>
                  <w:r>
                    <w:rPr>
                      <w:rFonts w:hint="eastAsia"/>
                      <w:color w:val="auto"/>
                    </w:rPr>
                    <w:t>，进行气体组分浓度的测定实验。</w:t>
                  </w:r>
                </w:p>
              </w:tc>
              <w:tc>
                <w:tcPr>
                  <w:tcW w:w="504" w:type="pct"/>
                  <w:vMerge w:val="continue"/>
                  <w:vAlign w:val="center"/>
                </w:tcPr>
                <w:p w14:paraId="775A1EE7">
                  <w:pPr>
                    <w:pStyle w:val="130"/>
                  </w:pPr>
                </w:p>
              </w:tc>
            </w:tr>
            <w:tr w14:paraId="66D63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6791D9BC">
                  <w:pPr>
                    <w:pStyle w:val="130"/>
                    <w:rPr>
                      <w:color w:val="auto"/>
                    </w:rPr>
                  </w:pPr>
                </w:p>
              </w:tc>
              <w:tc>
                <w:tcPr>
                  <w:tcW w:w="852" w:type="pct"/>
                  <w:vAlign w:val="center"/>
                </w:tcPr>
                <w:p w14:paraId="615ADD9B">
                  <w:pPr>
                    <w:pStyle w:val="130"/>
                    <w:jc w:val="both"/>
                    <w:rPr>
                      <w:color w:val="auto"/>
                    </w:rPr>
                  </w:pPr>
                  <w:r>
                    <w:rPr>
                      <w:rFonts w:hint="eastAsia"/>
                      <w:color w:val="auto"/>
                    </w:rPr>
                    <w:t>地下清洁能源资源方向--储能关键金属实验室</w:t>
                  </w:r>
                </w:p>
              </w:tc>
              <w:tc>
                <w:tcPr>
                  <w:tcW w:w="3204" w:type="pct"/>
                  <w:vAlign w:val="center"/>
                </w:tcPr>
                <w:p w14:paraId="75F47B1E">
                  <w:pPr>
                    <w:pStyle w:val="130"/>
                    <w:rPr>
                      <w:color w:val="auto"/>
                    </w:rPr>
                  </w:pPr>
                  <w:r>
                    <w:rPr>
                      <w:rFonts w:hint="eastAsia"/>
                      <w:color w:val="auto"/>
                    </w:rPr>
                    <w:t>建筑面积136.8</w:t>
                  </w:r>
                  <w:r>
                    <w:rPr>
                      <w:color w:val="auto"/>
                    </w:rPr>
                    <w:t xml:space="preserve"> m</w:t>
                  </w:r>
                  <w:r>
                    <w:rPr>
                      <w:color w:val="auto"/>
                      <w:vertAlign w:val="superscript"/>
                    </w:rPr>
                    <w:t>2</w:t>
                  </w:r>
                  <w:r>
                    <w:rPr>
                      <w:rFonts w:hint="eastAsia"/>
                      <w:color w:val="auto"/>
                    </w:rPr>
                    <w:t>，放置ICP-MS质谱仪设备，进行ICP测试样品的预处理和质谱分析。</w:t>
                  </w:r>
                </w:p>
              </w:tc>
              <w:tc>
                <w:tcPr>
                  <w:tcW w:w="504" w:type="pct"/>
                  <w:vMerge w:val="continue"/>
                  <w:vAlign w:val="center"/>
                </w:tcPr>
                <w:p w14:paraId="3F2418BF">
                  <w:pPr>
                    <w:pStyle w:val="130"/>
                  </w:pPr>
                </w:p>
              </w:tc>
            </w:tr>
            <w:tr w14:paraId="64B18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6DE64E26">
                  <w:pPr>
                    <w:pStyle w:val="130"/>
                    <w:rPr>
                      <w:color w:val="auto"/>
                    </w:rPr>
                  </w:pPr>
                </w:p>
              </w:tc>
              <w:tc>
                <w:tcPr>
                  <w:tcW w:w="852" w:type="pct"/>
                  <w:vAlign w:val="center"/>
                </w:tcPr>
                <w:p w14:paraId="37510AC8">
                  <w:pPr>
                    <w:pStyle w:val="130"/>
                    <w:jc w:val="both"/>
                    <w:rPr>
                      <w:color w:val="auto"/>
                    </w:rPr>
                  </w:pPr>
                  <w:r>
                    <w:rPr>
                      <w:rFonts w:hint="eastAsia"/>
                      <w:color w:val="auto"/>
                    </w:rPr>
                    <w:t>公共力学及理化方向</w:t>
                  </w:r>
                  <w:r>
                    <w:rPr>
                      <w:color w:val="auto"/>
                    </w:rPr>
                    <w:t>—</w:t>
                  </w:r>
                  <w:r>
                    <w:rPr>
                      <w:rFonts w:hint="eastAsia"/>
                      <w:color w:val="auto"/>
                    </w:rPr>
                    <w:t>岩石力学实验室</w:t>
                  </w:r>
                </w:p>
              </w:tc>
              <w:tc>
                <w:tcPr>
                  <w:tcW w:w="3204" w:type="pct"/>
                  <w:vAlign w:val="center"/>
                </w:tcPr>
                <w:p w14:paraId="3B17619D">
                  <w:pPr>
                    <w:pStyle w:val="130"/>
                    <w:rPr>
                      <w:color w:val="auto"/>
                    </w:rPr>
                  </w:pPr>
                  <w:r>
                    <w:rPr>
                      <w:rFonts w:hint="eastAsia"/>
                      <w:color w:val="auto"/>
                    </w:rPr>
                    <w:t>建筑面积136.02</w:t>
                  </w:r>
                  <w:r>
                    <w:rPr>
                      <w:color w:val="auto"/>
                    </w:rPr>
                    <w:t xml:space="preserve"> m</w:t>
                  </w:r>
                  <w:r>
                    <w:rPr>
                      <w:color w:val="auto"/>
                      <w:vertAlign w:val="superscript"/>
                    </w:rPr>
                    <w:t>2</w:t>
                  </w:r>
                  <w:r>
                    <w:rPr>
                      <w:rFonts w:hint="eastAsia"/>
                      <w:color w:val="auto"/>
                    </w:rPr>
                    <w:t>，主要进行多尺度岩土体试样相关的物理实验，满足煤、废矸石、岩石、岩芯等固体样品的处理需求。</w:t>
                  </w:r>
                </w:p>
              </w:tc>
              <w:tc>
                <w:tcPr>
                  <w:tcW w:w="504" w:type="pct"/>
                  <w:vMerge w:val="continue"/>
                  <w:vAlign w:val="center"/>
                </w:tcPr>
                <w:p w14:paraId="0B089E67">
                  <w:pPr>
                    <w:pStyle w:val="130"/>
                  </w:pPr>
                </w:p>
              </w:tc>
            </w:tr>
            <w:tr w14:paraId="16903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259175A3">
                  <w:pPr>
                    <w:pStyle w:val="130"/>
                    <w:rPr>
                      <w:color w:val="auto"/>
                    </w:rPr>
                  </w:pPr>
                </w:p>
              </w:tc>
              <w:tc>
                <w:tcPr>
                  <w:tcW w:w="852" w:type="pct"/>
                  <w:vAlign w:val="center"/>
                </w:tcPr>
                <w:p w14:paraId="585AB120">
                  <w:pPr>
                    <w:pStyle w:val="130"/>
                    <w:jc w:val="both"/>
                    <w:rPr>
                      <w:color w:val="auto"/>
                    </w:rPr>
                  </w:pPr>
                  <w:r>
                    <w:rPr>
                      <w:rFonts w:hint="eastAsia"/>
                      <w:color w:val="auto"/>
                    </w:rPr>
                    <w:t>分布式能源检测控制与交易实验室</w:t>
                  </w:r>
                </w:p>
              </w:tc>
              <w:tc>
                <w:tcPr>
                  <w:tcW w:w="3204" w:type="pct"/>
                  <w:vAlign w:val="center"/>
                </w:tcPr>
                <w:p w14:paraId="2A49FA55">
                  <w:pPr>
                    <w:pStyle w:val="130"/>
                    <w:rPr>
                      <w:color w:val="auto"/>
                    </w:rPr>
                  </w:pPr>
                  <w:r>
                    <w:rPr>
                      <w:rFonts w:hint="eastAsia"/>
                      <w:color w:val="auto"/>
                    </w:rPr>
                    <w:t>建筑面积92.45</w:t>
                  </w:r>
                  <w:r>
                    <w:rPr>
                      <w:color w:val="auto"/>
                    </w:rPr>
                    <w:t xml:space="preserve"> m</w:t>
                  </w:r>
                  <w:r>
                    <w:rPr>
                      <w:color w:val="auto"/>
                      <w:vertAlign w:val="superscript"/>
                    </w:rPr>
                    <w:t>2</w:t>
                  </w:r>
                  <w:r>
                    <w:rPr>
                      <w:rFonts w:hint="eastAsia"/>
                      <w:color w:val="auto"/>
                    </w:rPr>
                    <w:t>，分布式能源监测控制与交易实验室主要涉及微电网实验系统和分布式发电交易平台。</w:t>
                  </w:r>
                </w:p>
              </w:tc>
              <w:tc>
                <w:tcPr>
                  <w:tcW w:w="504" w:type="pct"/>
                  <w:vMerge w:val="continue"/>
                  <w:vAlign w:val="center"/>
                </w:tcPr>
                <w:p w14:paraId="73156352">
                  <w:pPr>
                    <w:pStyle w:val="130"/>
                  </w:pPr>
                </w:p>
              </w:tc>
            </w:tr>
            <w:tr w14:paraId="425AA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450365D5">
                  <w:pPr>
                    <w:pStyle w:val="130"/>
                    <w:rPr>
                      <w:color w:val="auto"/>
                    </w:rPr>
                  </w:pPr>
                </w:p>
              </w:tc>
              <w:tc>
                <w:tcPr>
                  <w:tcW w:w="852" w:type="pct"/>
                  <w:vAlign w:val="center"/>
                </w:tcPr>
                <w:p w14:paraId="2E666FDA">
                  <w:pPr>
                    <w:pStyle w:val="130"/>
                    <w:jc w:val="both"/>
                    <w:rPr>
                      <w:color w:val="auto"/>
                    </w:rPr>
                  </w:pPr>
                  <w:r>
                    <w:rPr>
                      <w:rFonts w:hint="eastAsia"/>
                      <w:color w:val="auto"/>
                    </w:rPr>
                    <w:t>新型储能方向--储能材料实验室</w:t>
                  </w:r>
                </w:p>
              </w:tc>
              <w:tc>
                <w:tcPr>
                  <w:tcW w:w="3204" w:type="pct"/>
                  <w:vAlign w:val="center"/>
                </w:tcPr>
                <w:p w14:paraId="2ADDBF03">
                  <w:pPr>
                    <w:pStyle w:val="130"/>
                    <w:rPr>
                      <w:color w:val="auto"/>
                    </w:rPr>
                  </w:pPr>
                  <w:r>
                    <w:rPr>
                      <w:rFonts w:hint="eastAsia"/>
                      <w:color w:val="auto"/>
                    </w:rPr>
                    <w:t>建筑面积64.70</w:t>
                  </w:r>
                  <w:r>
                    <w:rPr>
                      <w:color w:val="auto"/>
                    </w:rPr>
                    <w:t xml:space="preserve"> m</w:t>
                  </w:r>
                  <w:r>
                    <w:rPr>
                      <w:color w:val="auto"/>
                      <w:vertAlign w:val="superscript"/>
                    </w:rPr>
                    <w:t>2</w:t>
                  </w:r>
                  <w:r>
                    <w:rPr>
                      <w:rFonts w:hint="eastAsia"/>
                      <w:color w:val="auto"/>
                    </w:rPr>
                    <w:t>，主要开展材料制备及形貌表征实验，分析金属电池原材料的工艺技术，为物理实验。</w:t>
                  </w:r>
                </w:p>
              </w:tc>
              <w:tc>
                <w:tcPr>
                  <w:tcW w:w="504" w:type="pct"/>
                  <w:vMerge w:val="continue"/>
                  <w:vAlign w:val="center"/>
                </w:tcPr>
                <w:p w14:paraId="17F58E24">
                  <w:pPr>
                    <w:pStyle w:val="130"/>
                  </w:pPr>
                </w:p>
              </w:tc>
            </w:tr>
            <w:tr w14:paraId="74DFE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5ADA10D4">
                  <w:pPr>
                    <w:pStyle w:val="130"/>
                    <w:rPr>
                      <w:color w:val="auto"/>
                    </w:rPr>
                  </w:pPr>
                </w:p>
              </w:tc>
              <w:tc>
                <w:tcPr>
                  <w:tcW w:w="852" w:type="pct"/>
                  <w:vAlign w:val="center"/>
                </w:tcPr>
                <w:p w14:paraId="7AC469C2">
                  <w:pPr>
                    <w:pStyle w:val="130"/>
                    <w:jc w:val="both"/>
                    <w:rPr>
                      <w:color w:val="auto"/>
                    </w:rPr>
                  </w:pPr>
                  <w:r>
                    <w:rPr>
                      <w:rFonts w:hint="eastAsia"/>
                      <w:color w:val="auto"/>
                    </w:rPr>
                    <w:t>新型储能方向--地质储能实验室</w:t>
                  </w:r>
                </w:p>
              </w:tc>
              <w:tc>
                <w:tcPr>
                  <w:tcW w:w="3204" w:type="pct"/>
                  <w:vAlign w:val="center"/>
                </w:tcPr>
                <w:p w14:paraId="5C1A2206">
                  <w:pPr>
                    <w:pStyle w:val="130"/>
                    <w:rPr>
                      <w:color w:val="auto"/>
                    </w:rPr>
                  </w:pPr>
                  <w:r>
                    <w:rPr>
                      <w:rFonts w:hint="eastAsia"/>
                      <w:color w:val="auto"/>
                    </w:rPr>
                    <w:t>建筑面积111.34</w:t>
                  </w:r>
                  <w:r>
                    <w:rPr>
                      <w:color w:val="auto"/>
                    </w:rPr>
                    <w:t xml:space="preserve"> m</w:t>
                  </w:r>
                  <w:r>
                    <w:rPr>
                      <w:color w:val="auto"/>
                      <w:vertAlign w:val="superscript"/>
                    </w:rPr>
                    <w:t>2</w:t>
                  </w:r>
                  <w:r>
                    <w:rPr>
                      <w:rFonts w:hint="eastAsia"/>
                      <w:color w:val="auto"/>
                    </w:rPr>
                    <w:t>，主要开展岩石力学性能测试实验。</w:t>
                  </w:r>
                </w:p>
              </w:tc>
              <w:tc>
                <w:tcPr>
                  <w:tcW w:w="504" w:type="pct"/>
                  <w:vMerge w:val="continue"/>
                  <w:vAlign w:val="center"/>
                </w:tcPr>
                <w:p w14:paraId="71982568">
                  <w:pPr>
                    <w:pStyle w:val="130"/>
                  </w:pPr>
                </w:p>
              </w:tc>
            </w:tr>
            <w:tr w14:paraId="4A3BA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6C8B5611">
                  <w:pPr>
                    <w:pStyle w:val="130"/>
                  </w:pPr>
                </w:p>
              </w:tc>
              <w:tc>
                <w:tcPr>
                  <w:tcW w:w="852" w:type="pct"/>
                  <w:vAlign w:val="center"/>
                </w:tcPr>
                <w:p w14:paraId="3871CE46">
                  <w:pPr>
                    <w:pStyle w:val="130"/>
                    <w:jc w:val="both"/>
                  </w:pPr>
                  <w:r>
                    <w:rPr>
                      <w:rFonts w:hint="eastAsia"/>
                    </w:rPr>
                    <w:t>中心共享实验室</w:t>
                  </w:r>
                </w:p>
              </w:tc>
              <w:tc>
                <w:tcPr>
                  <w:tcW w:w="3204" w:type="pct"/>
                  <w:vAlign w:val="center"/>
                </w:tcPr>
                <w:p w14:paraId="01033644">
                  <w:pPr>
                    <w:pStyle w:val="130"/>
                  </w:pPr>
                  <w:r>
                    <w:rPr>
                      <w:rFonts w:hint="eastAsia"/>
                    </w:rPr>
                    <w:t>建筑面积86.11</w:t>
                  </w:r>
                  <w:r>
                    <w:t xml:space="preserve"> m</w:t>
                  </w:r>
                  <w:r>
                    <w:rPr>
                      <w:vertAlign w:val="superscript"/>
                    </w:rPr>
                    <w:t>2</w:t>
                  </w:r>
                  <w:r>
                    <w:rPr>
                      <w:rFonts w:hint="eastAsia"/>
                    </w:rPr>
                    <w:t>，作为备用实验室。</w:t>
                  </w:r>
                </w:p>
              </w:tc>
              <w:tc>
                <w:tcPr>
                  <w:tcW w:w="504" w:type="pct"/>
                  <w:vMerge w:val="continue"/>
                  <w:vAlign w:val="center"/>
                </w:tcPr>
                <w:p w14:paraId="73457237">
                  <w:pPr>
                    <w:pStyle w:val="130"/>
                  </w:pPr>
                </w:p>
              </w:tc>
            </w:tr>
            <w:tr w14:paraId="4C54F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restart"/>
                  <w:vAlign w:val="center"/>
                </w:tcPr>
                <w:p w14:paraId="08D85434">
                  <w:pPr>
                    <w:pStyle w:val="130"/>
                  </w:pPr>
                  <w:r>
                    <w:t>公</w:t>
                  </w:r>
                  <w:r>
                    <w:rPr>
                      <w:rFonts w:hint="eastAsia"/>
                    </w:rPr>
                    <w:t>用</w:t>
                  </w:r>
                </w:p>
                <w:p w14:paraId="6E231505">
                  <w:pPr>
                    <w:pStyle w:val="130"/>
                  </w:pPr>
                  <w:r>
                    <w:t>工程</w:t>
                  </w:r>
                </w:p>
              </w:tc>
              <w:tc>
                <w:tcPr>
                  <w:tcW w:w="852" w:type="pct"/>
                  <w:vAlign w:val="center"/>
                </w:tcPr>
                <w:p w14:paraId="52EA619E">
                  <w:pPr>
                    <w:pStyle w:val="130"/>
                  </w:pPr>
                  <w:r>
                    <w:t>给水</w:t>
                  </w:r>
                </w:p>
              </w:tc>
              <w:tc>
                <w:tcPr>
                  <w:tcW w:w="3204" w:type="pct"/>
                  <w:vAlign w:val="center"/>
                </w:tcPr>
                <w:p w14:paraId="04AFCD88">
                  <w:pPr>
                    <w:pStyle w:val="130"/>
                  </w:pPr>
                  <w:r>
                    <w:t>使用原有市政给水系统。</w:t>
                  </w:r>
                </w:p>
              </w:tc>
              <w:tc>
                <w:tcPr>
                  <w:tcW w:w="504" w:type="pct"/>
                  <w:vMerge w:val="restart"/>
                  <w:vAlign w:val="center"/>
                </w:tcPr>
                <w:p w14:paraId="676C99CB">
                  <w:pPr>
                    <w:pStyle w:val="130"/>
                  </w:pPr>
                  <w:r>
                    <w:t>依托</w:t>
                  </w:r>
                </w:p>
              </w:tc>
            </w:tr>
            <w:tr w14:paraId="27484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722991EF">
                  <w:pPr>
                    <w:pStyle w:val="130"/>
                  </w:pPr>
                </w:p>
              </w:tc>
              <w:tc>
                <w:tcPr>
                  <w:tcW w:w="852" w:type="pct"/>
                  <w:vAlign w:val="center"/>
                </w:tcPr>
                <w:p w14:paraId="3FD06141">
                  <w:pPr>
                    <w:pStyle w:val="130"/>
                  </w:pPr>
                  <w:r>
                    <w:t>供电</w:t>
                  </w:r>
                </w:p>
              </w:tc>
              <w:tc>
                <w:tcPr>
                  <w:tcW w:w="3204" w:type="pct"/>
                  <w:vAlign w:val="center"/>
                </w:tcPr>
                <w:p w14:paraId="382FD5F4">
                  <w:pPr>
                    <w:pStyle w:val="130"/>
                  </w:pPr>
                  <w:r>
                    <w:rPr>
                      <w:rFonts w:hint="eastAsia"/>
                    </w:rPr>
                    <w:t>由市政提供。</w:t>
                  </w:r>
                </w:p>
              </w:tc>
              <w:tc>
                <w:tcPr>
                  <w:tcW w:w="504" w:type="pct"/>
                  <w:vMerge w:val="continue"/>
                  <w:vAlign w:val="center"/>
                </w:tcPr>
                <w:p w14:paraId="1E2FB53A">
                  <w:pPr>
                    <w:pStyle w:val="130"/>
                  </w:pPr>
                </w:p>
              </w:tc>
            </w:tr>
            <w:tr w14:paraId="63ABA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1AA945EC">
                  <w:pPr>
                    <w:pStyle w:val="130"/>
                  </w:pPr>
                </w:p>
              </w:tc>
              <w:tc>
                <w:tcPr>
                  <w:tcW w:w="852" w:type="pct"/>
                  <w:vAlign w:val="center"/>
                </w:tcPr>
                <w:p w14:paraId="6AEC40C7">
                  <w:pPr>
                    <w:pStyle w:val="130"/>
                  </w:pPr>
                  <w:r>
                    <w:t>排水</w:t>
                  </w:r>
                </w:p>
              </w:tc>
              <w:tc>
                <w:tcPr>
                  <w:tcW w:w="3204" w:type="pct"/>
                  <w:vAlign w:val="center"/>
                </w:tcPr>
                <w:p w14:paraId="625ACF21">
                  <w:pPr>
                    <w:pStyle w:val="130"/>
                    <w:jc w:val="both"/>
                  </w:pPr>
                  <w:r>
                    <w:rPr>
                      <w:rFonts w:hint="eastAsia"/>
                    </w:rPr>
                    <w:t>去离子水制备仪产生的浓水：直接排入市政污水管网；</w:t>
                  </w:r>
                </w:p>
                <w:p w14:paraId="50C913F5">
                  <w:pPr>
                    <w:pStyle w:val="130"/>
                    <w:jc w:val="both"/>
                  </w:pPr>
                  <w:r>
                    <w:rPr>
                      <w:rFonts w:hint="eastAsia"/>
                    </w:rPr>
                    <w:t>实验废水：原有集水坑做防渗防腐处理后用作酸碱中和池，处理后排入市政污水管网；</w:t>
                  </w:r>
                </w:p>
                <w:p w14:paraId="047E0E87">
                  <w:pPr>
                    <w:pStyle w:val="130"/>
                    <w:jc w:val="both"/>
                  </w:pPr>
                  <w:r>
                    <w:rPr>
                      <w:rFonts w:hint="eastAsia"/>
                    </w:rPr>
                    <w:t>生</w:t>
                  </w:r>
                  <w:r>
                    <w:t>活</w:t>
                  </w:r>
                  <w:r>
                    <w:rPr>
                      <w:rFonts w:hint="eastAsia"/>
                    </w:rPr>
                    <w:t>污水：经现有公共化粪池处理后</w:t>
                  </w:r>
                  <w:r>
                    <w:t>排入市政污水管网</w:t>
                  </w:r>
                  <w:r>
                    <w:rPr>
                      <w:rFonts w:hint="eastAsia"/>
                    </w:rPr>
                    <w:t>。</w:t>
                  </w:r>
                </w:p>
              </w:tc>
              <w:tc>
                <w:tcPr>
                  <w:tcW w:w="504" w:type="pct"/>
                  <w:vMerge w:val="continue"/>
                  <w:vAlign w:val="center"/>
                </w:tcPr>
                <w:p w14:paraId="73000ACF">
                  <w:pPr>
                    <w:pStyle w:val="130"/>
                  </w:pPr>
                </w:p>
              </w:tc>
            </w:tr>
            <w:tr w14:paraId="2FA94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4B840944">
                  <w:pPr>
                    <w:pStyle w:val="130"/>
                  </w:pPr>
                </w:p>
              </w:tc>
              <w:tc>
                <w:tcPr>
                  <w:tcW w:w="852" w:type="pct"/>
                  <w:vAlign w:val="center"/>
                </w:tcPr>
                <w:p w14:paraId="23644AF9">
                  <w:pPr>
                    <w:pStyle w:val="130"/>
                  </w:pPr>
                  <w:r>
                    <w:t>供热</w:t>
                  </w:r>
                </w:p>
              </w:tc>
              <w:tc>
                <w:tcPr>
                  <w:tcW w:w="3204" w:type="pct"/>
                  <w:vAlign w:val="center"/>
                </w:tcPr>
                <w:p w14:paraId="599D010E">
                  <w:pPr>
                    <w:pStyle w:val="130"/>
                  </w:pPr>
                  <w:r>
                    <w:rPr>
                      <w:rFonts w:hint="eastAsia"/>
                    </w:rPr>
                    <w:t>采用市政集中供热。</w:t>
                  </w:r>
                </w:p>
              </w:tc>
              <w:tc>
                <w:tcPr>
                  <w:tcW w:w="504" w:type="pct"/>
                  <w:vMerge w:val="continue"/>
                  <w:vAlign w:val="center"/>
                </w:tcPr>
                <w:p w14:paraId="773E64AD">
                  <w:pPr>
                    <w:pStyle w:val="130"/>
                  </w:pPr>
                </w:p>
              </w:tc>
            </w:tr>
            <w:tr w14:paraId="0EA85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Align w:val="center"/>
                </w:tcPr>
                <w:p w14:paraId="441A4DE3">
                  <w:pPr>
                    <w:pStyle w:val="130"/>
                  </w:pPr>
                  <w:r>
                    <w:rPr>
                      <w:rFonts w:hint="eastAsia"/>
                    </w:rPr>
                    <w:t>储运工程</w:t>
                  </w:r>
                </w:p>
              </w:tc>
              <w:tc>
                <w:tcPr>
                  <w:tcW w:w="852" w:type="pct"/>
                  <w:vAlign w:val="center"/>
                </w:tcPr>
                <w:p w14:paraId="402AE52A">
                  <w:pPr>
                    <w:pStyle w:val="130"/>
                  </w:pPr>
                  <w:r>
                    <w:rPr>
                      <w:rFonts w:hint="eastAsia"/>
                    </w:rPr>
                    <w:t>气瓶室</w:t>
                  </w:r>
                </w:p>
              </w:tc>
              <w:tc>
                <w:tcPr>
                  <w:tcW w:w="3204" w:type="pct"/>
                  <w:vAlign w:val="center"/>
                </w:tcPr>
                <w:p w14:paraId="48A66515">
                  <w:pPr>
                    <w:pStyle w:val="130"/>
                  </w:pPr>
                  <w:r>
                    <w:rPr>
                      <w:rFonts w:hint="eastAsia"/>
                    </w:rPr>
                    <w:t>布置于大厦南侧停车场东侧地下通道旁附近</w:t>
                  </w:r>
                </w:p>
              </w:tc>
              <w:tc>
                <w:tcPr>
                  <w:tcW w:w="504" w:type="pct"/>
                  <w:vAlign w:val="center"/>
                </w:tcPr>
                <w:p w14:paraId="3280B4E4">
                  <w:pPr>
                    <w:pStyle w:val="130"/>
                  </w:pPr>
                  <w:r>
                    <w:rPr>
                      <w:rFonts w:hint="eastAsia"/>
                    </w:rPr>
                    <w:t>新建</w:t>
                  </w:r>
                </w:p>
              </w:tc>
            </w:tr>
            <w:tr w14:paraId="48933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40" w:type="pct"/>
                  <w:vMerge w:val="restart"/>
                  <w:vAlign w:val="center"/>
                </w:tcPr>
                <w:p w14:paraId="0BC6DABF">
                  <w:pPr>
                    <w:pStyle w:val="130"/>
                    <w:rPr>
                      <w:bCs/>
                      <w:snapToGrid w:val="0"/>
                    </w:rPr>
                  </w:pPr>
                  <w:r>
                    <w:rPr>
                      <w:bCs/>
                      <w:snapToGrid w:val="0"/>
                    </w:rPr>
                    <w:t>环保</w:t>
                  </w:r>
                </w:p>
                <w:p w14:paraId="66C29B44">
                  <w:pPr>
                    <w:pStyle w:val="130"/>
                    <w:rPr>
                      <w:bCs/>
                      <w:snapToGrid w:val="0"/>
                    </w:rPr>
                  </w:pPr>
                  <w:r>
                    <w:rPr>
                      <w:bCs/>
                      <w:snapToGrid w:val="0"/>
                    </w:rPr>
                    <w:t>工程</w:t>
                  </w:r>
                </w:p>
              </w:tc>
              <w:tc>
                <w:tcPr>
                  <w:tcW w:w="852" w:type="pct"/>
                  <w:vAlign w:val="center"/>
                </w:tcPr>
                <w:p w14:paraId="52CB5D4A">
                  <w:pPr>
                    <w:pStyle w:val="130"/>
                    <w:rPr>
                      <w:snapToGrid w:val="0"/>
                    </w:rPr>
                  </w:pPr>
                  <w:r>
                    <w:rPr>
                      <w:snapToGrid w:val="0"/>
                    </w:rPr>
                    <w:t>废气</w:t>
                  </w:r>
                </w:p>
              </w:tc>
              <w:tc>
                <w:tcPr>
                  <w:tcW w:w="3204" w:type="pct"/>
                  <w:vAlign w:val="center"/>
                </w:tcPr>
                <w:p w14:paraId="5EC6B4B3">
                  <w:pPr>
                    <w:pStyle w:val="130"/>
                    <w:jc w:val="both"/>
                    <w:rPr>
                      <w:bCs/>
                    </w:rPr>
                  </w:pPr>
                  <w:r>
                    <w:rPr>
                      <w:rFonts w:hint="eastAsia"/>
                      <w:bCs/>
                      <w:szCs w:val="24"/>
                    </w:rPr>
                    <w:t>本项目</w:t>
                  </w:r>
                  <w:r>
                    <w:rPr>
                      <w:szCs w:val="24"/>
                    </w:rPr>
                    <w:t>CO</w:t>
                  </w:r>
                  <w:r>
                    <w:rPr>
                      <w:szCs w:val="24"/>
                      <w:vertAlign w:val="subscript"/>
                    </w:rPr>
                    <w:t>2</w:t>
                  </w:r>
                  <w:r>
                    <w:rPr>
                      <w:szCs w:val="24"/>
                    </w:rPr>
                    <w:t>驱替实验</w:t>
                  </w:r>
                  <w:r>
                    <w:rPr>
                      <w:rFonts w:hint="eastAsia"/>
                      <w:szCs w:val="24"/>
                    </w:rPr>
                    <w:t>和</w:t>
                  </w:r>
                  <w:r>
                    <w:rPr>
                      <w:kern w:val="0"/>
                      <w:szCs w:val="24"/>
                      <w:lang w:bidi="ar"/>
                    </w:rPr>
                    <w:t>气体组分</w:t>
                  </w:r>
                  <w:r>
                    <w:rPr>
                      <w:rFonts w:hint="eastAsia"/>
                      <w:kern w:val="0"/>
                      <w:szCs w:val="24"/>
                      <w:lang w:bidi="ar"/>
                    </w:rPr>
                    <w:t>测定</w:t>
                  </w:r>
                  <w:r>
                    <w:rPr>
                      <w:kern w:val="0"/>
                      <w:szCs w:val="24"/>
                      <w:lang w:bidi="ar"/>
                    </w:rPr>
                    <w:t>实</w:t>
                  </w:r>
                  <w:r>
                    <w:rPr>
                      <w:rFonts w:hint="eastAsia"/>
                      <w:bCs/>
                      <w:szCs w:val="24"/>
                    </w:rPr>
                    <w:t>验产生少量CO</w:t>
                  </w:r>
                  <w:r>
                    <w:rPr>
                      <w:rFonts w:hint="eastAsia"/>
                      <w:bCs/>
                      <w:szCs w:val="24"/>
                      <w:vertAlign w:val="subscript"/>
                    </w:rPr>
                    <w:t>2</w:t>
                  </w:r>
                  <w:r>
                    <w:rPr>
                      <w:rFonts w:hint="eastAsia"/>
                      <w:bCs/>
                      <w:szCs w:val="24"/>
                    </w:rPr>
                    <w:t>、CH</w:t>
                  </w:r>
                  <w:r>
                    <w:rPr>
                      <w:rFonts w:hint="eastAsia"/>
                      <w:bCs/>
                      <w:szCs w:val="24"/>
                      <w:vertAlign w:val="subscript"/>
                    </w:rPr>
                    <w:t>4</w:t>
                  </w:r>
                  <w:r>
                    <w:rPr>
                      <w:rFonts w:hint="eastAsia"/>
                      <w:bCs/>
                      <w:szCs w:val="24"/>
                    </w:rPr>
                    <w:t>气体，由</w:t>
                  </w:r>
                  <w:r>
                    <w:rPr>
                      <w:szCs w:val="24"/>
                    </w:rPr>
                    <w:t>CO</w:t>
                  </w:r>
                  <w:r>
                    <w:rPr>
                      <w:szCs w:val="24"/>
                      <w:vertAlign w:val="subscript"/>
                    </w:rPr>
                    <w:t>2</w:t>
                  </w:r>
                  <w:r>
                    <w:rPr>
                      <w:rFonts w:ascii="宋体" w:hAnsi="宋体" w:cs="宋体"/>
                      <w:color w:val="000000"/>
                      <w:kern w:val="0"/>
                      <w:szCs w:val="24"/>
                      <w:lang w:bidi="ar"/>
                    </w:rPr>
                    <w:t>地</w:t>
                  </w:r>
                  <w:r>
                    <w:rPr>
                      <w:rFonts w:hint="eastAsia" w:ascii="宋体" w:hAnsi="宋体" w:cs="宋体"/>
                      <w:color w:val="000000"/>
                      <w:kern w:val="0"/>
                      <w:szCs w:val="24"/>
                      <w:lang w:bidi="ar"/>
                    </w:rPr>
                    <w:t>质</w:t>
                  </w:r>
                  <w:r>
                    <w:rPr>
                      <w:rFonts w:ascii="宋体" w:hAnsi="宋体" w:cs="宋体"/>
                      <w:color w:val="000000"/>
                      <w:kern w:val="0"/>
                      <w:szCs w:val="24"/>
                      <w:lang w:bidi="ar"/>
                    </w:rPr>
                    <w:t>利用与封存实验室</w:t>
                  </w:r>
                  <w:r>
                    <w:rPr>
                      <w:rFonts w:hint="eastAsia" w:ascii="宋体" w:hAnsi="宋体" w:cs="宋体"/>
                      <w:color w:val="000000"/>
                      <w:kern w:val="0"/>
                      <w:szCs w:val="24"/>
                      <w:lang w:bidi="ar"/>
                    </w:rPr>
                    <w:t>和</w:t>
                  </w:r>
                  <w:r>
                    <w:rPr>
                      <w:rFonts w:hint="eastAsia" w:ascii="宋体" w:hAnsi="宋体" w:cs="宋体"/>
                      <w:kern w:val="0"/>
                      <w:szCs w:val="24"/>
                      <w:lang w:bidi="ar"/>
                    </w:rPr>
                    <w:t>氢气和氦气测试分析</w:t>
                  </w:r>
                  <w:r>
                    <w:rPr>
                      <w:rFonts w:hint="eastAsia"/>
                      <w:bCs/>
                      <w:szCs w:val="24"/>
                    </w:rPr>
                    <w:t>实验室的排气装置收集后排放至室外。</w:t>
                  </w:r>
                </w:p>
              </w:tc>
              <w:tc>
                <w:tcPr>
                  <w:tcW w:w="504" w:type="pct"/>
                  <w:vAlign w:val="center"/>
                </w:tcPr>
                <w:p w14:paraId="080F288C">
                  <w:pPr>
                    <w:pStyle w:val="130"/>
                  </w:pPr>
                  <w:r>
                    <w:rPr>
                      <w:rFonts w:hint="eastAsia"/>
                    </w:rPr>
                    <w:t>新建</w:t>
                  </w:r>
                </w:p>
              </w:tc>
            </w:tr>
            <w:tr w14:paraId="1108D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38699CEC">
                  <w:pPr>
                    <w:pStyle w:val="130"/>
                    <w:rPr>
                      <w:bCs/>
                      <w:snapToGrid w:val="0"/>
                    </w:rPr>
                  </w:pPr>
                </w:p>
              </w:tc>
              <w:tc>
                <w:tcPr>
                  <w:tcW w:w="852" w:type="pct"/>
                  <w:vAlign w:val="center"/>
                </w:tcPr>
                <w:p w14:paraId="46B5D99C">
                  <w:pPr>
                    <w:pStyle w:val="130"/>
                    <w:rPr>
                      <w:snapToGrid w:val="0"/>
                    </w:rPr>
                  </w:pPr>
                  <w:r>
                    <w:rPr>
                      <w:snapToGrid w:val="0"/>
                    </w:rPr>
                    <w:t>废水</w:t>
                  </w:r>
                </w:p>
              </w:tc>
              <w:tc>
                <w:tcPr>
                  <w:tcW w:w="3204" w:type="pct"/>
                  <w:vAlign w:val="center"/>
                </w:tcPr>
                <w:p w14:paraId="496A0146">
                  <w:pPr>
                    <w:pStyle w:val="130"/>
                    <w:jc w:val="both"/>
                    <w:rPr>
                      <w:bCs/>
                    </w:rPr>
                  </w:pPr>
                  <w:r>
                    <w:rPr>
                      <w:rFonts w:hint="eastAsia"/>
                    </w:rPr>
                    <w:t>本项目实验用水在系统内循环；去离子水制备仪产生的浓水属于清净下水，直接</w:t>
                  </w:r>
                  <w:r>
                    <w:t>排入市政污水管网</w:t>
                  </w:r>
                  <w:r>
                    <w:rPr>
                      <w:rFonts w:hint="eastAsia"/>
                    </w:rPr>
                    <w:t>；实验器皿清洗废水，排入酸碱中和池，处理合格后排入</w:t>
                  </w:r>
                  <w:r>
                    <w:t>市政污水管网</w:t>
                  </w:r>
                  <w:r>
                    <w:rPr>
                      <w:rFonts w:hint="eastAsia"/>
                    </w:rPr>
                    <w:t>，实验室内有3处酸碱中和池，采用防腐防渗材料；生</w:t>
                  </w:r>
                  <w:r>
                    <w:t>活</w:t>
                  </w:r>
                  <w:r>
                    <w:rPr>
                      <w:rFonts w:hint="eastAsia"/>
                    </w:rPr>
                    <w:t>污水经现有公共化粪池处理后</w:t>
                  </w:r>
                  <w:r>
                    <w:t>排入市政污水管网</w:t>
                  </w:r>
                  <w:r>
                    <w:rPr>
                      <w:rFonts w:hint="eastAsia"/>
                    </w:rPr>
                    <w:t>。</w:t>
                  </w:r>
                </w:p>
              </w:tc>
              <w:tc>
                <w:tcPr>
                  <w:tcW w:w="504" w:type="pct"/>
                  <w:vAlign w:val="center"/>
                </w:tcPr>
                <w:p w14:paraId="02BFBED6">
                  <w:pPr>
                    <w:pStyle w:val="130"/>
                  </w:pPr>
                  <w:r>
                    <w:rPr>
                      <w:rFonts w:hint="eastAsia"/>
                    </w:rPr>
                    <w:t>依托</w:t>
                  </w:r>
                </w:p>
              </w:tc>
            </w:tr>
            <w:tr w14:paraId="15CEB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1BB35AA3">
                  <w:pPr>
                    <w:pStyle w:val="130"/>
                    <w:rPr>
                      <w:bCs/>
                      <w:snapToGrid w:val="0"/>
                    </w:rPr>
                  </w:pPr>
                </w:p>
              </w:tc>
              <w:tc>
                <w:tcPr>
                  <w:tcW w:w="852" w:type="pct"/>
                  <w:vAlign w:val="center"/>
                </w:tcPr>
                <w:p w14:paraId="4AA8EC8A">
                  <w:pPr>
                    <w:pStyle w:val="130"/>
                    <w:rPr>
                      <w:snapToGrid w:val="0"/>
                    </w:rPr>
                  </w:pPr>
                  <w:r>
                    <w:rPr>
                      <w:snapToGrid w:val="0"/>
                    </w:rPr>
                    <w:t>噪声</w:t>
                  </w:r>
                </w:p>
              </w:tc>
              <w:tc>
                <w:tcPr>
                  <w:tcW w:w="3204" w:type="pct"/>
                  <w:vAlign w:val="center"/>
                </w:tcPr>
                <w:p w14:paraId="4D87555B">
                  <w:pPr>
                    <w:jc w:val="center"/>
                  </w:pPr>
                  <w:r>
                    <w:rPr>
                      <w:rFonts w:hint="eastAsia"/>
                    </w:rPr>
                    <w:t>隔声减震</w:t>
                  </w:r>
                </w:p>
              </w:tc>
              <w:tc>
                <w:tcPr>
                  <w:tcW w:w="504" w:type="pct"/>
                  <w:vAlign w:val="center"/>
                </w:tcPr>
                <w:p w14:paraId="5BE25B20">
                  <w:pPr>
                    <w:pStyle w:val="130"/>
                  </w:pPr>
                  <w:r>
                    <w:rPr>
                      <w:rFonts w:hint="eastAsia"/>
                    </w:rPr>
                    <w:t>新建</w:t>
                  </w:r>
                </w:p>
              </w:tc>
            </w:tr>
            <w:tr w14:paraId="57B74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364FC682">
                  <w:pPr>
                    <w:pStyle w:val="130"/>
                    <w:rPr>
                      <w:bCs/>
                      <w:snapToGrid w:val="0"/>
                    </w:rPr>
                  </w:pPr>
                </w:p>
              </w:tc>
              <w:tc>
                <w:tcPr>
                  <w:tcW w:w="852" w:type="pct"/>
                  <w:vAlign w:val="center"/>
                </w:tcPr>
                <w:p w14:paraId="2D7F2997">
                  <w:pPr>
                    <w:pStyle w:val="130"/>
                    <w:rPr>
                      <w:snapToGrid w:val="0"/>
                    </w:rPr>
                  </w:pPr>
                  <w:r>
                    <w:rPr>
                      <w:rFonts w:hint="eastAsia"/>
                      <w:snapToGrid w:val="0"/>
                    </w:rPr>
                    <w:t>一般</w:t>
                  </w:r>
                  <w:r>
                    <w:rPr>
                      <w:snapToGrid w:val="0"/>
                    </w:rPr>
                    <w:t>固废</w:t>
                  </w:r>
                </w:p>
              </w:tc>
              <w:tc>
                <w:tcPr>
                  <w:tcW w:w="3204" w:type="pct"/>
                  <w:vAlign w:val="center"/>
                </w:tcPr>
                <w:p w14:paraId="026B60D3">
                  <w:pPr>
                    <w:pStyle w:val="130"/>
                    <w:jc w:val="both"/>
                    <w:rPr>
                      <w:bCs/>
                    </w:rPr>
                  </w:pPr>
                  <w:r>
                    <w:rPr>
                      <w:rFonts w:hint="eastAsia"/>
                      <w:bCs/>
                    </w:rPr>
                    <w:t>收集到垃圾桶后由当地环卫部门统一处理。</w:t>
                  </w:r>
                </w:p>
              </w:tc>
              <w:tc>
                <w:tcPr>
                  <w:tcW w:w="504" w:type="pct"/>
                  <w:vAlign w:val="center"/>
                </w:tcPr>
                <w:p w14:paraId="6C6E1F65">
                  <w:pPr>
                    <w:pStyle w:val="130"/>
                  </w:pPr>
                  <w:r>
                    <w:rPr>
                      <w:rFonts w:hint="eastAsia"/>
                    </w:rPr>
                    <w:t>新建</w:t>
                  </w:r>
                </w:p>
              </w:tc>
            </w:tr>
            <w:tr w14:paraId="43987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0" w:type="pct"/>
                  <w:vMerge w:val="continue"/>
                  <w:vAlign w:val="center"/>
                </w:tcPr>
                <w:p w14:paraId="4E096307">
                  <w:pPr>
                    <w:pStyle w:val="130"/>
                    <w:rPr>
                      <w:bCs/>
                      <w:snapToGrid w:val="0"/>
                    </w:rPr>
                  </w:pPr>
                </w:p>
              </w:tc>
              <w:tc>
                <w:tcPr>
                  <w:tcW w:w="852" w:type="pct"/>
                  <w:vAlign w:val="center"/>
                </w:tcPr>
                <w:p w14:paraId="5928D5D0">
                  <w:pPr>
                    <w:pStyle w:val="130"/>
                    <w:rPr>
                      <w:snapToGrid w:val="0"/>
                    </w:rPr>
                  </w:pPr>
                  <w:r>
                    <w:rPr>
                      <w:rFonts w:hint="eastAsia"/>
                      <w:snapToGrid w:val="0"/>
                    </w:rPr>
                    <w:t xml:space="preserve">危险废物 </w:t>
                  </w:r>
                </w:p>
              </w:tc>
              <w:tc>
                <w:tcPr>
                  <w:tcW w:w="3204" w:type="pct"/>
                  <w:vAlign w:val="center"/>
                </w:tcPr>
                <w:p w14:paraId="0E9F7757">
                  <w:pPr>
                    <w:pStyle w:val="130"/>
                    <w:jc w:val="both"/>
                    <w:rPr>
                      <w:bCs/>
                    </w:rPr>
                  </w:pPr>
                  <w:r>
                    <w:rPr>
                      <w:rFonts w:hint="eastAsia"/>
                      <w:bCs/>
                    </w:rPr>
                    <w:t>废有机胺溶液、实验废液</w:t>
                  </w:r>
                  <w:r>
                    <w:rPr>
                      <w:rFonts w:hint="eastAsia"/>
                    </w:rPr>
                    <w:t>暂存于危废暂存间，委托有资质的机构处理。危险废物暂存间12m</w:t>
                  </w:r>
                  <w:r>
                    <w:rPr>
                      <w:rFonts w:hint="eastAsia"/>
                      <w:vertAlign w:val="superscript"/>
                    </w:rPr>
                    <w:t>2</w:t>
                  </w:r>
                  <w:r>
                    <w:rPr>
                      <w:rFonts w:hint="eastAsia"/>
                    </w:rPr>
                    <w:t>，地面与裙脚应采取表面防渗措施；表面防渗材料应与所接触的物料或污染物相容，可采用抗渗混凝土、高密度聚乙烯膜、钠基膨润土防水毯或其他防渗性能等效的材料。</w:t>
                  </w:r>
                </w:p>
              </w:tc>
              <w:tc>
                <w:tcPr>
                  <w:tcW w:w="504" w:type="pct"/>
                  <w:vAlign w:val="center"/>
                </w:tcPr>
                <w:p w14:paraId="16B1F1DD">
                  <w:pPr>
                    <w:pStyle w:val="130"/>
                  </w:pPr>
                  <w:r>
                    <w:rPr>
                      <w:rFonts w:hint="eastAsia"/>
                    </w:rPr>
                    <w:t>新建</w:t>
                  </w:r>
                </w:p>
              </w:tc>
            </w:tr>
            <w:bookmarkEnd w:id="5"/>
          </w:tbl>
          <w:p w14:paraId="2E37F433">
            <w:pPr>
              <w:pStyle w:val="77"/>
            </w:pPr>
            <w:r>
              <w:rPr>
                <w:rFonts w:hint="eastAsia"/>
              </w:rPr>
              <w:t>3、项目产品及产能</w:t>
            </w:r>
          </w:p>
          <w:p w14:paraId="773D12CC">
            <w:pPr>
              <w:pStyle w:val="76"/>
              <w:ind w:firstLine="480"/>
            </w:pPr>
            <w:r>
              <w:rPr>
                <w:rFonts w:hint="eastAsia"/>
              </w:rPr>
              <w:t>本项目为科研实验项目，主要从事CO</w:t>
            </w:r>
            <w:r>
              <w:rPr>
                <w:rFonts w:hint="eastAsia"/>
                <w:vertAlign w:val="subscript"/>
              </w:rPr>
              <w:t>2</w:t>
            </w:r>
            <w:r>
              <w:rPr>
                <w:rFonts w:hint="eastAsia" w:cs="仿宋" w:asciiTheme="minorEastAsia" w:hAnsiTheme="minorEastAsia" w:eastAsiaTheme="minorEastAsia"/>
              </w:rPr>
              <w:t>蓄冰与供热一体化实验，</w:t>
            </w:r>
            <w:r>
              <w:rPr>
                <w:rFonts w:hint="eastAsia" w:cs="仿宋" w:eastAsiaTheme="minorEastAsia"/>
              </w:rPr>
              <w:t>CO</w:t>
            </w:r>
            <w:r>
              <w:rPr>
                <w:rFonts w:hint="eastAsia" w:cs="仿宋" w:eastAsiaTheme="minorEastAsia"/>
                <w:vertAlign w:val="subscript"/>
              </w:rPr>
              <w:t>2</w:t>
            </w:r>
            <w:r>
              <w:rPr>
                <w:rFonts w:hint="eastAsia" w:cs="仿宋" w:eastAsiaTheme="minorEastAsia"/>
              </w:rPr>
              <w:t>捕集、驱替和矿化实验，</w:t>
            </w:r>
            <w:r>
              <w:rPr>
                <w:rFonts w:hint="eastAsia" w:ascii="宋体" w:hAnsi="宋体" w:cs="宋体"/>
              </w:rPr>
              <w:t>气体组分</w:t>
            </w:r>
            <w:r>
              <w:rPr>
                <w:rFonts w:ascii="宋体" w:hAnsi="宋体" w:cs="宋体"/>
              </w:rPr>
              <w:t>测定</w:t>
            </w:r>
            <w:r>
              <w:rPr>
                <w:rFonts w:hint="eastAsia" w:ascii="宋体" w:hAnsi="宋体" w:cs="宋体"/>
              </w:rPr>
              <w:t>，</w:t>
            </w:r>
            <w:r>
              <w:rPr>
                <w:rFonts w:hint="eastAsia"/>
              </w:rPr>
              <w:t>岩石力学实验，分布式能源监测、控制与交易实验，材料制备及形貌表征实验，岩石力学性能测试和电池检测实验，无具体产品。</w:t>
            </w:r>
          </w:p>
          <w:p w14:paraId="27966360">
            <w:pPr>
              <w:pStyle w:val="76"/>
              <w:ind w:firstLine="0" w:firstLineChars="0"/>
              <w:rPr>
                <w:b/>
                <w:bCs/>
              </w:rPr>
            </w:pPr>
            <w:r>
              <w:rPr>
                <w:rFonts w:hint="eastAsia"/>
                <w:b/>
                <w:bCs/>
              </w:rPr>
              <w:t>4、项目主要设备</w:t>
            </w:r>
          </w:p>
          <w:p w14:paraId="4F6F11B2">
            <w:pPr>
              <w:pStyle w:val="127"/>
            </w:pPr>
            <w:r>
              <w:rPr>
                <w:rFonts w:hint="eastAsia"/>
              </w:rPr>
              <w:t>表2-</w:t>
            </w:r>
            <w:bookmarkStart w:id="7" w:name="_Hlk171935727"/>
            <w:r>
              <w:rPr>
                <w:rFonts w:hint="eastAsia"/>
              </w:rPr>
              <w:t>2生产设备一览表</w:t>
            </w:r>
            <w:bookmarkEnd w:id="7"/>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2031"/>
              <w:gridCol w:w="2131"/>
              <w:gridCol w:w="2744"/>
              <w:gridCol w:w="819"/>
            </w:tblGrid>
            <w:tr w14:paraId="3796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306BFDD">
                  <w:pPr>
                    <w:pStyle w:val="130"/>
                    <w:widowControl/>
                    <w:rPr>
                      <w:b/>
                    </w:rPr>
                  </w:pPr>
                  <w:bookmarkStart w:id="8" w:name="_Hlk171935707"/>
                  <w:r>
                    <w:rPr>
                      <w:b/>
                    </w:rPr>
                    <w:t>序号</w:t>
                  </w:r>
                </w:p>
              </w:tc>
              <w:tc>
                <w:tcPr>
                  <w:tcW w:w="0" w:type="auto"/>
                  <w:vAlign w:val="center"/>
                </w:tcPr>
                <w:p w14:paraId="0D5F4E18">
                  <w:pPr>
                    <w:pStyle w:val="130"/>
                    <w:widowControl/>
                    <w:rPr>
                      <w:b/>
                    </w:rPr>
                  </w:pPr>
                  <w:r>
                    <w:rPr>
                      <w:b/>
                    </w:rPr>
                    <w:t>项目</w:t>
                  </w:r>
                </w:p>
              </w:tc>
              <w:tc>
                <w:tcPr>
                  <w:tcW w:w="0" w:type="auto"/>
                  <w:vAlign w:val="center"/>
                </w:tcPr>
                <w:p w14:paraId="64FB7832">
                  <w:pPr>
                    <w:pStyle w:val="130"/>
                    <w:widowControl/>
                    <w:rPr>
                      <w:b/>
                    </w:rPr>
                  </w:pPr>
                  <w:r>
                    <w:rPr>
                      <w:b/>
                    </w:rPr>
                    <w:t>设备名称</w:t>
                  </w:r>
                </w:p>
              </w:tc>
              <w:tc>
                <w:tcPr>
                  <w:tcW w:w="0" w:type="auto"/>
                  <w:vAlign w:val="center"/>
                </w:tcPr>
                <w:p w14:paraId="1E3EFA32">
                  <w:pPr>
                    <w:pStyle w:val="130"/>
                    <w:widowControl/>
                    <w:rPr>
                      <w:b/>
                    </w:rPr>
                  </w:pPr>
                  <w:r>
                    <w:rPr>
                      <w:b/>
                    </w:rPr>
                    <w:t>规格型号</w:t>
                  </w:r>
                </w:p>
              </w:tc>
              <w:tc>
                <w:tcPr>
                  <w:tcW w:w="0" w:type="auto"/>
                  <w:vAlign w:val="center"/>
                </w:tcPr>
                <w:p w14:paraId="71111672">
                  <w:pPr>
                    <w:pStyle w:val="130"/>
                    <w:widowControl/>
                    <w:rPr>
                      <w:b/>
                    </w:rPr>
                  </w:pPr>
                  <w:r>
                    <w:rPr>
                      <w:b/>
                    </w:rPr>
                    <w:t>数量（台/套）</w:t>
                  </w:r>
                </w:p>
              </w:tc>
            </w:tr>
            <w:tr w14:paraId="519E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0" w:type="auto"/>
                  <w:vAlign w:val="center"/>
                </w:tcPr>
                <w:p w14:paraId="36464F46">
                  <w:pPr>
                    <w:jc w:val="center"/>
                    <w:rPr>
                      <w:szCs w:val="21"/>
                    </w:rPr>
                  </w:pPr>
                  <w:r>
                    <w:rPr>
                      <w:szCs w:val="21"/>
                    </w:rPr>
                    <w:t>1</w:t>
                  </w:r>
                </w:p>
              </w:tc>
              <w:tc>
                <w:tcPr>
                  <w:tcW w:w="0" w:type="auto"/>
                  <w:vMerge w:val="restart"/>
                  <w:vAlign w:val="center"/>
                </w:tcPr>
                <w:p w14:paraId="69984AFF">
                  <w:pPr>
                    <w:jc w:val="center"/>
                    <w:rPr>
                      <w:szCs w:val="21"/>
                    </w:rPr>
                  </w:pPr>
                  <w:r>
                    <w:rPr>
                      <w:szCs w:val="21"/>
                    </w:rPr>
                    <w:t>二氧化碳空气源冷热一体化实验室-制热实验主机</w:t>
                  </w:r>
                </w:p>
              </w:tc>
              <w:tc>
                <w:tcPr>
                  <w:tcW w:w="0" w:type="auto"/>
                  <w:vAlign w:val="center"/>
                </w:tcPr>
                <w:p w14:paraId="425BF092">
                  <w:pPr>
                    <w:jc w:val="center"/>
                    <w:rPr>
                      <w:szCs w:val="21"/>
                    </w:rPr>
                  </w:pPr>
                  <w:r>
                    <w:rPr>
                      <w:color w:val="000000"/>
                      <w:kern w:val="0"/>
                      <w:szCs w:val="21"/>
                    </w:rPr>
                    <w:t>CO2压缩机</w:t>
                  </w:r>
                </w:p>
              </w:tc>
              <w:tc>
                <w:tcPr>
                  <w:tcW w:w="0" w:type="auto"/>
                  <w:vMerge w:val="restart"/>
                  <w:vAlign w:val="center"/>
                </w:tcPr>
                <w:p w14:paraId="5C28D718">
                  <w:pPr>
                    <w:jc w:val="center"/>
                    <w:rPr>
                      <w:szCs w:val="21"/>
                    </w:rPr>
                  </w:pPr>
                  <w:r>
                    <w:rPr>
                      <w:szCs w:val="21"/>
                    </w:rPr>
                    <w:t>自研定制加工</w:t>
                  </w:r>
                </w:p>
              </w:tc>
              <w:tc>
                <w:tcPr>
                  <w:tcW w:w="0" w:type="auto"/>
                  <w:vAlign w:val="center"/>
                </w:tcPr>
                <w:p w14:paraId="25D0AD8E">
                  <w:pPr>
                    <w:jc w:val="center"/>
                    <w:rPr>
                      <w:color w:val="000000"/>
                      <w:szCs w:val="21"/>
                    </w:rPr>
                  </w:pPr>
                  <w:r>
                    <w:rPr>
                      <w:color w:val="000000"/>
                      <w:kern w:val="0"/>
                      <w:szCs w:val="21"/>
                    </w:rPr>
                    <w:t>1</w:t>
                  </w:r>
                </w:p>
              </w:tc>
            </w:tr>
            <w:tr w14:paraId="1B1C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739E477">
                  <w:pPr>
                    <w:jc w:val="center"/>
                    <w:rPr>
                      <w:szCs w:val="21"/>
                    </w:rPr>
                  </w:pPr>
                  <w:r>
                    <w:rPr>
                      <w:szCs w:val="21"/>
                    </w:rPr>
                    <w:t>2</w:t>
                  </w:r>
                </w:p>
              </w:tc>
              <w:tc>
                <w:tcPr>
                  <w:tcW w:w="0" w:type="auto"/>
                  <w:vMerge w:val="continue"/>
                  <w:vAlign w:val="center"/>
                </w:tcPr>
                <w:p w14:paraId="23BDA4C1">
                  <w:pPr>
                    <w:jc w:val="center"/>
                    <w:rPr>
                      <w:szCs w:val="21"/>
                    </w:rPr>
                  </w:pPr>
                </w:p>
              </w:tc>
              <w:tc>
                <w:tcPr>
                  <w:tcW w:w="0" w:type="auto"/>
                  <w:vAlign w:val="center"/>
                </w:tcPr>
                <w:p w14:paraId="62FE7DF9">
                  <w:pPr>
                    <w:jc w:val="center"/>
                    <w:rPr>
                      <w:szCs w:val="21"/>
                    </w:rPr>
                  </w:pPr>
                  <w:r>
                    <w:rPr>
                      <w:color w:val="000000"/>
                      <w:kern w:val="0"/>
                      <w:szCs w:val="21"/>
                    </w:rPr>
                    <w:t>回油装置</w:t>
                  </w:r>
                </w:p>
              </w:tc>
              <w:tc>
                <w:tcPr>
                  <w:tcW w:w="0" w:type="auto"/>
                  <w:vMerge w:val="continue"/>
                  <w:vAlign w:val="center"/>
                </w:tcPr>
                <w:p w14:paraId="5833A401">
                  <w:pPr>
                    <w:jc w:val="center"/>
                    <w:rPr>
                      <w:szCs w:val="21"/>
                    </w:rPr>
                  </w:pPr>
                </w:p>
              </w:tc>
              <w:tc>
                <w:tcPr>
                  <w:tcW w:w="0" w:type="auto"/>
                  <w:vAlign w:val="center"/>
                </w:tcPr>
                <w:p w14:paraId="50279F71">
                  <w:pPr>
                    <w:jc w:val="center"/>
                    <w:rPr>
                      <w:color w:val="000000"/>
                      <w:szCs w:val="21"/>
                    </w:rPr>
                  </w:pPr>
                  <w:r>
                    <w:rPr>
                      <w:color w:val="000000"/>
                      <w:kern w:val="0"/>
                      <w:szCs w:val="21"/>
                    </w:rPr>
                    <w:t>1</w:t>
                  </w:r>
                </w:p>
              </w:tc>
            </w:tr>
            <w:tr w14:paraId="3547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160594D">
                  <w:pPr>
                    <w:jc w:val="center"/>
                    <w:rPr>
                      <w:szCs w:val="21"/>
                    </w:rPr>
                  </w:pPr>
                  <w:r>
                    <w:rPr>
                      <w:szCs w:val="21"/>
                    </w:rPr>
                    <w:t>3</w:t>
                  </w:r>
                </w:p>
              </w:tc>
              <w:tc>
                <w:tcPr>
                  <w:tcW w:w="0" w:type="auto"/>
                  <w:vMerge w:val="continue"/>
                  <w:vAlign w:val="center"/>
                </w:tcPr>
                <w:p w14:paraId="17797B23">
                  <w:pPr>
                    <w:jc w:val="center"/>
                    <w:rPr>
                      <w:szCs w:val="21"/>
                    </w:rPr>
                  </w:pPr>
                </w:p>
              </w:tc>
              <w:tc>
                <w:tcPr>
                  <w:tcW w:w="0" w:type="auto"/>
                  <w:vAlign w:val="center"/>
                </w:tcPr>
                <w:p w14:paraId="584EBF08">
                  <w:pPr>
                    <w:jc w:val="center"/>
                    <w:rPr>
                      <w:szCs w:val="21"/>
                    </w:rPr>
                  </w:pPr>
                  <w:r>
                    <w:rPr>
                      <w:color w:val="000000"/>
                      <w:kern w:val="0"/>
                      <w:szCs w:val="21"/>
                    </w:rPr>
                    <w:t>电子膨胀阀</w:t>
                  </w:r>
                </w:p>
              </w:tc>
              <w:tc>
                <w:tcPr>
                  <w:tcW w:w="0" w:type="auto"/>
                  <w:vMerge w:val="continue"/>
                  <w:vAlign w:val="center"/>
                </w:tcPr>
                <w:p w14:paraId="60036A80">
                  <w:pPr>
                    <w:jc w:val="center"/>
                    <w:rPr>
                      <w:szCs w:val="21"/>
                    </w:rPr>
                  </w:pPr>
                </w:p>
              </w:tc>
              <w:tc>
                <w:tcPr>
                  <w:tcW w:w="0" w:type="auto"/>
                  <w:vAlign w:val="center"/>
                </w:tcPr>
                <w:p w14:paraId="7E198D1C">
                  <w:pPr>
                    <w:jc w:val="center"/>
                    <w:rPr>
                      <w:color w:val="000000"/>
                      <w:szCs w:val="21"/>
                    </w:rPr>
                  </w:pPr>
                  <w:r>
                    <w:rPr>
                      <w:color w:val="000000"/>
                      <w:kern w:val="0"/>
                      <w:szCs w:val="21"/>
                    </w:rPr>
                    <w:t>1</w:t>
                  </w:r>
                </w:p>
              </w:tc>
            </w:tr>
            <w:tr w14:paraId="408B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D1AB437">
                  <w:pPr>
                    <w:jc w:val="center"/>
                    <w:rPr>
                      <w:szCs w:val="21"/>
                    </w:rPr>
                  </w:pPr>
                  <w:r>
                    <w:rPr>
                      <w:szCs w:val="21"/>
                    </w:rPr>
                    <w:t>4</w:t>
                  </w:r>
                </w:p>
              </w:tc>
              <w:tc>
                <w:tcPr>
                  <w:tcW w:w="0" w:type="auto"/>
                  <w:vMerge w:val="continue"/>
                  <w:vAlign w:val="center"/>
                </w:tcPr>
                <w:p w14:paraId="01FCD534">
                  <w:pPr>
                    <w:jc w:val="center"/>
                    <w:rPr>
                      <w:szCs w:val="21"/>
                    </w:rPr>
                  </w:pPr>
                </w:p>
              </w:tc>
              <w:tc>
                <w:tcPr>
                  <w:tcW w:w="0" w:type="auto"/>
                  <w:vAlign w:val="center"/>
                </w:tcPr>
                <w:p w14:paraId="54805EAC">
                  <w:pPr>
                    <w:jc w:val="center"/>
                    <w:rPr>
                      <w:szCs w:val="21"/>
                    </w:rPr>
                  </w:pPr>
                  <w:r>
                    <w:rPr>
                      <w:color w:val="000000"/>
                      <w:kern w:val="0"/>
                      <w:szCs w:val="21"/>
                    </w:rPr>
                    <w:t>油分离器</w:t>
                  </w:r>
                </w:p>
              </w:tc>
              <w:tc>
                <w:tcPr>
                  <w:tcW w:w="0" w:type="auto"/>
                  <w:vMerge w:val="continue"/>
                  <w:vAlign w:val="center"/>
                </w:tcPr>
                <w:p w14:paraId="5BBCCB44">
                  <w:pPr>
                    <w:jc w:val="center"/>
                    <w:rPr>
                      <w:szCs w:val="21"/>
                    </w:rPr>
                  </w:pPr>
                </w:p>
              </w:tc>
              <w:tc>
                <w:tcPr>
                  <w:tcW w:w="0" w:type="auto"/>
                  <w:vAlign w:val="center"/>
                </w:tcPr>
                <w:p w14:paraId="74CEE749">
                  <w:pPr>
                    <w:jc w:val="center"/>
                    <w:rPr>
                      <w:color w:val="000000"/>
                      <w:szCs w:val="21"/>
                    </w:rPr>
                  </w:pPr>
                  <w:r>
                    <w:rPr>
                      <w:color w:val="000000"/>
                      <w:kern w:val="0"/>
                      <w:szCs w:val="21"/>
                    </w:rPr>
                    <w:t>1</w:t>
                  </w:r>
                </w:p>
              </w:tc>
            </w:tr>
            <w:tr w14:paraId="76CB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FE3A0AE">
                  <w:pPr>
                    <w:jc w:val="center"/>
                    <w:rPr>
                      <w:szCs w:val="21"/>
                    </w:rPr>
                  </w:pPr>
                  <w:r>
                    <w:rPr>
                      <w:szCs w:val="21"/>
                    </w:rPr>
                    <w:t>5</w:t>
                  </w:r>
                </w:p>
              </w:tc>
              <w:tc>
                <w:tcPr>
                  <w:tcW w:w="0" w:type="auto"/>
                  <w:vMerge w:val="continue"/>
                  <w:vAlign w:val="center"/>
                </w:tcPr>
                <w:p w14:paraId="205E06D1">
                  <w:pPr>
                    <w:jc w:val="center"/>
                    <w:rPr>
                      <w:szCs w:val="21"/>
                    </w:rPr>
                  </w:pPr>
                </w:p>
              </w:tc>
              <w:tc>
                <w:tcPr>
                  <w:tcW w:w="0" w:type="auto"/>
                  <w:vAlign w:val="center"/>
                </w:tcPr>
                <w:p w14:paraId="6A9803AF">
                  <w:pPr>
                    <w:jc w:val="center"/>
                    <w:rPr>
                      <w:szCs w:val="21"/>
                    </w:rPr>
                  </w:pPr>
                  <w:r>
                    <w:rPr>
                      <w:color w:val="000000"/>
                      <w:kern w:val="0"/>
                      <w:szCs w:val="21"/>
                    </w:rPr>
                    <w:t>气液分离器</w:t>
                  </w:r>
                </w:p>
              </w:tc>
              <w:tc>
                <w:tcPr>
                  <w:tcW w:w="0" w:type="auto"/>
                  <w:vMerge w:val="continue"/>
                  <w:vAlign w:val="center"/>
                </w:tcPr>
                <w:p w14:paraId="64D22D8F">
                  <w:pPr>
                    <w:jc w:val="center"/>
                    <w:rPr>
                      <w:szCs w:val="21"/>
                    </w:rPr>
                  </w:pPr>
                </w:p>
              </w:tc>
              <w:tc>
                <w:tcPr>
                  <w:tcW w:w="0" w:type="auto"/>
                  <w:vAlign w:val="center"/>
                </w:tcPr>
                <w:p w14:paraId="6E2AB0BF">
                  <w:pPr>
                    <w:jc w:val="center"/>
                    <w:rPr>
                      <w:color w:val="000000"/>
                      <w:szCs w:val="21"/>
                    </w:rPr>
                  </w:pPr>
                  <w:r>
                    <w:rPr>
                      <w:color w:val="000000"/>
                      <w:kern w:val="0"/>
                      <w:szCs w:val="21"/>
                    </w:rPr>
                    <w:t>1</w:t>
                  </w:r>
                </w:p>
              </w:tc>
            </w:tr>
            <w:tr w14:paraId="720A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74E0842">
                  <w:pPr>
                    <w:jc w:val="center"/>
                    <w:rPr>
                      <w:szCs w:val="21"/>
                    </w:rPr>
                  </w:pPr>
                  <w:r>
                    <w:rPr>
                      <w:szCs w:val="21"/>
                    </w:rPr>
                    <w:t>6</w:t>
                  </w:r>
                </w:p>
              </w:tc>
              <w:tc>
                <w:tcPr>
                  <w:tcW w:w="0" w:type="auto"/>
                  <w:vMerge w:val="continue"/>
                  <w:vAlign w:val="center"/>
                </w:tcPr>
                <w:p w14:paraId="52943705">
                  <w:pPr>
                    <w:jc w:val="center"/>
                    <w:rPr>
                      <w:szCs w:val="21"/>
                    </w:rPr>
                  </w:pPr>
                </w:p>
              </w:tc>
              <w:tc>
                <w:tcPr>
                  <w:tcW w:w="0" w:type="auto"/>
                  <w:vAlign w:val="center"/>
                </w:tcPr>
                <w:p w14:paraId="079FCAAF">
                  <w:pPr>
                    <w:jc w:val="center"/>
                    <w:rPr>
                      <w:szCs w:val="21"/>
                    </w:rPr>
                  </w:pPr>
                  <w:r>
                    <w:rPr>
                      <w:color w:val="000000"/>
                      <w:kern w:val="0"/>
                      <w:szCs w:val="21"/>
                    </w:rPr>
                    <w:t>气体冷却器</w:t>
                  </w:r>
                </w:p>
              </w:tc>
              <w:tc>
                <w:tcPr>
                  <w:tcW w:w="0" w:type="auto"/>
                  <w:vMerge w:val="continue"/>
                  <w:vAlign w:val="center"/>
                </w:tcPr>
                <w:p w14:paraId="182F550C">
                  <w:pPr>
                    <w:jc w:val="center"/>
                    <w:rPr>
                      <w:szCs w:val="21"/>
                    </w:rPr>
                  </w:pPr>
                </w:p>
              </w:tc>
              <w:tc>
                <w:tcPr>
                  <w:tcW w:w="0" w:type="auto"/>
                  <w:vAlign w:val="center"/>
                </w:tcPr>
                <w:p w14:paraId="6ADE6D0C">
                  <w:pPr>
                    <w:jc w:val="center"/>
                    <w:rPr>
                      <w:color w:val="000000"/>
                      <w:szCs w:val="21"/>
                    </w:rPr>
                  </w:pPr>
                  <w:r>
                    <w:rPr>
                      <w:color w:val="000000"/>
                      <w:kern w:val="0"/>
                      <w:szCs w:val="21"/>
                    </w:rPr>
                    <w:t>1</w:t>
                  </w:r>
                </w:p>
              </w:tc>
            </w:tr>
            <w:tr w14:paraId="0989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06BFF27">
                  <w:pPr>
                    <w:jc w:val="center"/>
                    <w:rPr>
                      <w:szCs w:val="21"/>
                    </w:rPr>
                  </w:pPr>
                  <w:r>
                    <w:rPr>
                      <w:szCs w:val="21"/>
                    </w:rPr>
                    <w:t>7</w:t>
                  </w:r>
                </w:p>
              </w:tc>
              <w:tc>
                <w:tcPr>
                  <w:tcW w:w="0" w:type="auto"/>
                  <w:vMerge w:val="continue"/>
                  <w:vAlign w:val="center"/>
                </w:tcPr>
                <w:p w14:paraId="3EAD0F61">
                  <w:pPr>
                    <w:jc w:val="center"/>
                    <w:rPr>
                      <w:szCs w:val="21"/>
                    </w:rPr>
                  </w:pPr>
                </w:p>
              </w:tc>
              <w:tc>
                <w:tcPr>
                  <w:tcW w:w="0" w:type="auto"/>
                  <w:vAlign w:val="center"/>
                </w:tcPr>
                <w:p w14:paraId="1A2840C7">
                  <w:pPr>
                    <w:jc w:val="center"/>
                    <w:rPr>
                      <w:szCs w:val="21"/>
                    </w:rPr>
                  </w:pPr>
                  <w:r>
                    <w:rPr>
                      <w:color w:val="000000"/>
                      <w:kern w:val="0"/>
                      <w:szCs w:val="21"/>
                    </w:rPr>
                    <w:t>翅片式蒸发器</w:t>
                  </w:r>
                </w:p>
              </w:tc>
              <w:tc>
                <w:tcPr>
                  <w:tcW w:w="0" w:type="auto"/>
                  <w:vMerge w:val="continue"/>
                  <w:vAlign w:val="center"/>
                </w:tcPr>
                <w:p w14:paraId="1549E252">
                  <w:pPr>
                    <w:jc w:val="center"/>
                    <w:rPr>
                      <w:szCs w:val="21"/>
                    </w:rPr>
                  </w:pPr>
                </w:p>
              </w:tc>
              <w:tc>
                <w:tcPr>
                  <w:tcW w:w="0" w:type="auto"/>
                  <w:vAlign w:val="center"/>
                </w:tcPr>
                <w:p w14:paraId="4E7C16F7">
                  <w:pPr>
                    <w:jc w:val="center"/>
                    <w:rPr>
                      <w:color w:val="000000"/>
                      <w:szCs w:val="21"/>
                    </w:rPr>
                  </w:pPr>
                  <w:r>
                    <w:rPr>
                      <w:color w:val="000000"/>
                      <w:kern w:val="0"/>
                      <w:szCs w:val="21"/>
                    </w:rPr>
                    <w:t>1</w:t>
                  </w:r>
                </w:p>
              </w:tc>
            </w:tr>
            <w:tr w14:paraId="02D9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9125DB5">
                  <w:pPr>
                    <w:jc w:val="center"/>
                    <w:rPr>
                      <w:szCs w:val="21"/>
                    </w:rPr>
                  </w:pPr>
                  <w:r>
                    <w:rPr>
                      <w:szCs w:val="21"/>
                    </w:rPr>
                    <w:t>8</w:t>
                  </w:r>
                </w:p>
              </w:tc>
              <w:tc>
                <w:tcPr>
                  <w:tcW w:w="0" w:type="auto"/>
                  <w:vMerge w:val="continue"/>
                  <w:vAlign w:val="center"/>
                </w:tcPr>
                <w:p w14:paraId="2CDFAF03">
                  <w:pPr>
                    <w:jc w:val="center"/>
                    <w:rPr>
                      <w:szCs w:val="21"/>
                    </w:rPr>
                  </w:pPr>
                </w:p>
              </w:tc>
              <w:tc>
                <w:tcPr>
                  <w:tcW w:w="0" w:type="auto"/>
                  <w:vAlign w:val="center"/>
                </w:tcPr>
                <w:p w14:paraId="20A18F1F">
                  <w:pPr>
                    <w:jc w:val="center"/>
                    <w:rPr>
                      <w:szCs w:val="21"/>
                    </w:rPr>
                  </w:pPr>
                  <w:r>
                    <w:rPr>
                      <w:color w:val="000000"/>
                      <w:kern w:val="0"/>
                      <w:szCs w:val="21"/>
                    </w:rPr>
                    <w:t>风机</w:t>
                  </w:r>
                </w:p>
              </w:tc>
              <w:tc>
                <w:tcPr>
                  <w:tcW w:w="0" w:type="auto"/>
                  <w:vMerge w:val="continue"/>
                  <w:vAlign w:val="center"/>
                </w:tcPr>
                <w:p w14:paraId="70FC4BBC">
                  <w:pPr>
                    <w:jc w:val="center"/>
                    <w:rPr>
                      <w:szCs w:val="21"/>
                    </w:rPr>
                  </w:pPr>
                </w:p>
              </w:tc>
              <w:tc>
                <w:tcPr>
                  <w:tcW w:w="0" w:type="auto"/>
                  <w:vAlign w:val="center"/>
                </w:tcPr>
                <w:p w14:paraId="19F26356">
                  <w:pPr>
                    <w:jc w:val="center"/>
                    <w:rPr>
                      <w:color w:val="000000"/>
                      <w:szCs w:val="21"/>
                    </w:rPr>
                  </w:pPr>
                  <w:r>
                    <w:rPr>
                      <w:color w:val="000000"/>
                      <w:kern w:val="0"/>
                      <w:szCs w:val="21"/>
                    </w:rPr>
                    <w:t>2</w:t>
                  </w:r>
                </w:p>
              </w:tc>
            </w:tr>
            <w:tr w14:paraId="6CBF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F131E08">
                  <w:pPr>
                    <w:jc w:val="center"/>
                    <w:rPr>
                      <w:szCs w:val="21"/>
                    </w:rPr>
                  </w:pPr>
                  <w:r>
                    <w:rPr>
                      <w:szCs w:val="21"/>
                    </w:rPr>
                    <w:t>9</w:t>
                  </w:r>
                </w:p>
              </w:tc>
              <w:tc>
                <w:tcPr>
                  <w:tcW w:w="0" w:type="auto"/>
                  <w:vMerge w:val="continue"/>
                  <w:vAlign w:val="center"/>
                </w:tcPr>
                <w:p w14:paraId="56FE57B4">
                  <w:pPr>
                    <w:jc w:val="center"/>
                    <w:rPr>
                      <w:szCs w:val="21"/>
                    </w:rPr>
                  </w:pPr>
                </w:p>
              </w:tc>
              <w:tc>
                <w:tcPr>
                  <w:tcW w:w="0" w:type="auto"/>
                  <w:vAlign w:val="center"/>
                </w:tcPr>
                <w:p w14:paraId="4B7402C8">
                  <w:pPr>
                    <w:jc w:val="center"/>
                    <w:rPr>
                      <w:szCs w:val="21"/>
                    </w:rPr>
                  </w:pPr>
                  <w:r>
                    <w:rPr>
                      <w:color w:val="000000"/>
                      <w:kern w:val="0"/>
                      <w:szCs w:val="21"/>
                    </w:rPr>
                    <w:t>制冷剂</w:t>
                  </w:r>
                </w:p>
              </w:tc>
              <w:tc>
                <w:tcPr>
                  <w:tcW w:w="0" w:type="auto"/>
                  <w:vMerge w:val="continue"/>
                  <w:vAlign w:val="center"/>
                </w:tcPr>
                <w:p w14:paraId="3C9B9663">
                  <w:pPr>
                    <w:jc w:val="center"/>
                    <w:rPr>
                      <w:szCs w:val="21"/>
                    </w:rPr>
                  </w:pPr>
                </w:p>
              </w:tc>
              <w:tc>
                <w:tcPr>
                  <w:tcW w:w="0" w:type="auto"/>
                  <w:vAlign w:val="center"/>
                </w:tcPr>
                <w:p w14:paraId="37E524BD">
                  <w:pPr>
                    <w:jc w:val="center"/>
                    <w:rPr>
                      <w:color w:val="000000"/>
                      <w:szCs w:val="21"/>
                    </w:rPr>
                  </w:pPr>
                  <w:r>
                    <w:rPr>
                      <w:color w:val="000000"/>
                      <w:kern w:val="0"/>
                      <w:szCs w:val="21"/>
                    </w:rPr>
                    <w:t>1</w:t>
                  </w:r>
                </w:p>
              </w:tc>
            </w:tr>
            <w:tr w14:paraId="0BE9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F008CD8">
                  <w:pPr>
                    <w:jc w:val="center"/>
                    <w:rPr>
                      <w:szCs w:val="21"/>
                    </w:rPr>
                  </w:pPr>
                  <w:r>
                    <w:rPr>
                      <w:szCs w:val="21"/>
                    </w:rPr>
                    <w:t>10</w:t>
                  </w:r>
                </w:p>
              </w:tc>
              <w:tc>
                <w:tcPr>
                  <w:tcW w:w="0" w:type="auto"/>
                  <w:vMerge w:val="continue"/>
                  <w:vAlign w:val="center"/>
                </w:tcPr>
                <w:p w14:paraId="611704B9">
                  <w:pPr>
                    <w:jc w:val="center"/>
                    <w:rPr>
                      <w:szCs w:val="21"/>
                    </w:rPr>
                  </w:pPr>
                </w:p>
              </w:tc>
              <w:tc>
                <w:tcPr>
                  <w:tcW w:w="0" w:type="auto"/>
                  <w:vAlign w:val="center"/>
                </w:tcPr>
                <w:p w14:paraId="53282817">
                  <w:pPr>
                    <w:jc w:val="center"/>
                    <w:rPr>
                      <w:szCs w:val="21"/>
                    </w:rPr>
                  </w:pPr>
                  <w:r>
                    <w:rPr>
                      <w:color w:val="000000"/>
                      <w:kern w:val="0"/>
                      <w:szCs w:val="21"/>
                    </w:rPr>
                    <w:t>控制模块</w:t>
                  </w:r>
                </w:p>
              </w:tc>
              <w:tc>
                <w:tcPr>
                  <w:tcW w:w="0" w:type="auto"/>
                  <w:vMerge w:val="continue"/>
                  <w:vAlign w:val="center"/>
                </w:tcPr>
                <w:p w14:paraId="4696CA4E">
                  <w:pPr>
                    <w:jc w:val="center"/>
                    <w:rPr>
                      <w:szCs w:val="21"/>
                    </w:rPr>
                  </w:pPr>
                </w:p>
              </w:tc>
              <w:tc>
                <w:tcPr>
                  <w:tcW w:w="0" w:type="auto"/>
                  <w:vAlign w:val="center"/>
                </w:tcPr>
                <w:p w14:paraId="21DBE4E9">
                  <w:pPr>
                    <w:jc w:val="center"/>
                    <w:rPr>
                      <w:color w:val="000000"/>
                      <w:szCs w:val="21"/>
                    </w:rPr>
                  </w:pPr>
                  <w:r>
                    <w:rPr>
                      <w:color w:val="000000"/>
                      <w:kern w:val="0"/>
                      <w:szCs w:val="21"/>
                    </w:rPr>
                    <w:t>1</w:t>
                  </w:r>
                </w:p>
              </w:tc>
            </w:tr>
            <w:tr w14:paraId="16B5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6C315D0">
                  <w:pPr>
                    <w:jc w:val="center"/>
                    <w:rPr>
                      <w:szCs w:val="21"/>
                    </w:rPr>
                  </w:pPr>
                  <w:r>
                    <w:rPr>
                      <w:szCs w:val="21"/>
                    </w:rPr>
                    <w:t>11</w:t>
                  </w:r>
                </w:p>
              </w:tc>
              <w:tc>
                <w:tcPr>
                  <w:tcW w:w="0" w:type="auto"/>
                  <w:vMerge w:val="continue"/>
                  <w:vAlign w:val="center"/>
                </w:tcPr>
                <w:p w14:paraId="341723DC">
                  <w:pPr>
                    <w:jc w:val="center"/>
                    <w:rPr>
                      <w:szCs w:val="21"/>
                    </w:rPr>
                  </w:pPr>
                </w:p>
              </w:tc>
              <w:tc>
                <w:tcPr>
                  <w:tcW w:w="0" w:type="auto"/>
                  <w:vAlign w:val="center"/>
                </w:tcPr>
                <w:p w14:paraId="55289CCF">
                  <w:pPr>
                    <w:jc w:val="center"/>
                    <w:rPr>
                      <w:szCs w:val="21"/>
                    </w:rPr>
                  </w:pPr>
                  <w:r>
                    <w:rPr>
                      <w:color w:val="000000"/>
                      <w:kern w:val="0"/>
                      <w:szCs w:val="21"/>
                    </w:rPr>
                    <w:t>触摸屏</w:t>
                  </w:r>
                </w:p>
              </w:tc>
              <w:tc>
                <w:tcPr>
                  <w:tcW w:w="0" w:type="auto"/>
                  <w:vMerge w:val="continue"/>
                  <w:vAlign w:val="center"/>
                </w:tcPr>
                <w:p w14:paraId="12149FA6">
                  <w:pPr>
                    <w:jc w:val="center"/>
                    <w:rPr>
                      <w:szCs w:val="21"/>
                    </w:rPr>
                  </w:pPr>
                </w:p>
              </w:tc>
              <w:tc>
                <w:tcPr>
                  <w:tcW w:w="0" w:type="auto"/>
                  <w:vAlign w:val="center"/>
                </w:tcPr>
                <w:p w14:paraId="3C3D4CBE">
                  <w:pPr>
                    <w:jc w:val="center"/>
                    <w:rPr>
                      <w:color w:val="000000"/>
                      <w:szCs w:val="21"/>
                    </w:rPr>
                  </w:pPr>
                  <w:r>
                    <w:rPr>
                      <w:color w:val="000000"/>
                      <w:kern w:val="0"/>
                      <w:szCs w:val="21"/>
                    </w:rPr>
                    <w:t>1</w:t>
                  </w:r>
                </w:p>
              </w:tc>
            </w:tr>
            <w:tr w14:paraId="6D5E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96BEA8E">
                  <w:pPr>
                    <w:jc w:val="center"/>
                    <w:rPr>
                      <w:szCs w:val="21"/>
                    </w:rPr>
                  </w:pPr>
                  <w:r>
                    <w:rPr>
                      <w:szCs w:val="21"/>
                    </w:rPr>
                    <w:t>12</w:t>
                  </w:r>
                </w:p>
              </w:tc>
              <w:tc>
                <w:tcPr>
                  <w:tcW w:w="0" w:type="auto"/>
                  <w:vMerge w:val="continue"/>
                  <w:vAlign w:val="center"/>
                </w:tcPr>
                <w:p w14:paraId="5E1046F2">
                  <w:pPr>
                    <w:jc w:val="center"/>
                    <w:rPr>
                      <w:szCs w:val="21"/>
                    </w:rPr>
                  </w:pPr>
                </w:p>
              </w:tc>
              <w:tc>
                <w:tcPr>
                  <w:tcW w:w="0" w:type="auto"/>
                  <w:vAlign w:val="center"/>
                </w:tcPr>
                <w:p w14:paraId="1C123257">
                  <w:pPr>
                    <w:jc w:val="center"/>
                    <w:rPr>
                      <w:szCs w:val="21"/>
                    </w:rPr>
                  </w:pPr>
                  <w:r>
                    <w:rPr>
                      <w:color w:val="000000"/>
                      <w:kern w:val="0"/>
                      <w:szCs w:val="21"/>
                    </w:rPr>
                    <w:t>铜管及配件</w:t>
                  </w:r>
                </w:p>
              </w:tc>
              <w:tc>
                <w:tcPr>
                  <w:tcW w:w="0" w:type="auto"/>
                  <w:vMerge w:val="continue"/>
                  <w:vAlign w:val="center"/>
                </w:tcPr>
                <w:p w14:paraId="0121E48A">
                  <w:pPr>
                    <w:jc w:val="center"/>
                    <w:rPr>
                      <w:szCs w:val="21"/>
                    </w:rPr>
                  </w:pPr>
                </w:p>
              </w:tc>
              <w:tc>
                <w:tcPr>
                  <w:tcW w:w="0" w:type="auto"/>
                  <w:vAlign w:val="center"/>
                </w:tcPr>
                <w:p w14:paraId="0C4926B4">
                  <w:pPr>
                    <w:jc w:val="center"/>
                    <w:rPr>
                      <w:color w:val="000000"/>
                      <w:szCs w:val="21"/>
                    </w:rPr>
                  </w:pPr>
                  <w:r>
                    <w:rPr>
                      <w:color w:val="000000"/>
                      <w:kern w:val="0"/>
                      <w:szCs w:val="21"/>
                    </w:rPr>
                    <w:t>1</w:t>
                  </w:r>
                </w:p>
              </w:tc>
            </w:tr>
            <w:tr w14:paraId="1289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A8B8B9E">
                  <w:pPr>
                    <w:jc w:val="center"/>
                    <w:rPr>
                      <w:szCs w:val="21"/>
                    </w:rPr>
                  </w:pPr>
                  <w:r>
                    <w:rPr>
                      <w:szCs w:val="21"/>
                    </w:rPr>
                    <w:t>13</w:t>
                  </w:r>
                </w:p>
              </w:tc>
              <w:tc>
                <w:tcPr>
                  <w:tcW w:w="0" w:type="auto"/>
                  <w:vMerge w:val="continue"/>
                  <w:vAlign w:val="center"/>
                </w:tcPr>
                <w:p w14:paraId="5E8ABF5F">
                  <w:pPr>
                    <w:jc w:val="center"/>
                    <w:rPr>
                      <w:szCs w:val="21"/>
                    </w:rPr>
                  </w:pPr>
                </w:p>
              </w:tc>
              <w:tc>
                <w:tcPr>
                  <w:tcW w:w="0" w:type="auto"/>
                  <w:vAlign w:val="center"/>
                </w:tcPr>
                <w:p w14:paraId="36780B7C">
                  <w:pPr>
                    <w:jc w:val="center"/>
                    <w:rPr>
                      <w:szCs w:val="21"/>
                    </w:rPr>
                  </w:pPr>
                  <w:r>
                    <w:rPr>
                      <w:color w:val="000000"/>
                      <w:kern w:val="0"/>
                      <w:szCs w:val="21"/>
                    </w:rPr>
                    <w:t>电器元件</w:t>
                  </w:r>
                </w:p>
              </w:tc>
              <w:tc>
                <w:tcPr>
                  <w:tcW w:w="0" w:type="auto"/>
                  <w:vMerge w:val="continue"/>
                  <w:vAlign w:val="center"/>
                </w:tcPr>
                <w:p w14:paraId="365D5AC8">
                  <w:pPr>
                    <w:jc w:val="center"/>
                    <w:rPr>
                      <w:szCs w:val="21"/>
                    </w:rPr>
                  </w:pPr>
                </w:p>
              </w:tc>
              <w:tc>
                <w:tcPr>
                  <w:tcW w:w="0" w:type="auto"/>
                  <w:vAlign w:val="center"/>
                </w:tcPr>
                <w:p w14:paraId="3670701E">
                  <w:pPr>
                    <w:jc w:val="center"/>
                    <w:rPr>
                      <w:color w:val="000000"/>
                      <w:szCs w:val="21"/>
                    </w:rPr>
                  </w:pPr>
                  <w:r>
                    <w:rPr>
                      <w:color w:val="000000"/>
                      <w:kern w:val="0"/>
                      <w:szCs w:val="21"/>
                    </w:rPr>
                    <w:t>1</w:t>
                  </w:r>
                </w:p>
              </w:tc>
            </w:tr>
            <w:tr w14:paraId="2C68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0EED554">
                  <w:pPr>
                    <w:jc w:val="center"/>
                    <w:rPr>
                      <w:szCs w:val="21"/>
                    </w:rPr>
                  </w:pPr>
                  <w:r>
                    <w:rPr>
                      <w:szCs w:val="21"/>
                    </w:rPr>
                    <w:t>14</w:t>
                  </w:r>
                </w:p>
              </w:tc>
              <w:tc>
                <w:tcPr>
                  <w:tcW w:w="0" w:type="auto"/>
                  <w:vMerge w:val="restart"/>
                  <w:vAlign w:val="center"/>
                </w:tcPr>
                <w:p w14:paraId="24F17A51">
                  <w:pPr>
                    <w:jc w:val="center"/>
                    <w:rPr>
                      <w:szCs w:val="21"/>
                    </w:rPr>
                  </w:pPr>
                  <w:r>
                    <w:rPr>
                      <w:szCs w:val="21"/>
                    </w:rPr>
                    <w:t>二氧化碳空气源冷热一体化实验室-蓄冰与供热实验主机</w:t>
                  </w:r>
                </w:p>
              </w:tc>
              <w:tc>
                <w:tcPr>
                  <w:tcW w:w="0" w:type="auto"/>
                  <w:vAlign w:val="center"/>
                </w:tcPr>
                <w:p w14:paraId="757AD2ED">
                  <w:pPr>
                    <w:jc w:val="center"/>
                    <w:rPr>
                      <w:szCs w:val="21"/>
                    </w:rPr>
                  </w:pPr>
                  <w:r>
                    <w:rPr>
                      <w:color w:val="000000"/>
                      <w:kern w:val="0"/>
                      <w:szCs w:val="21"/>
                    </w:rPr>
                    <w:t>CO2压缩机</w:t>
                  </w:r>
                </w:p>
              </w:tc>
              <w:tc>
                <w:tcPr>
                  <w:tcW w:w="0" w:type="auto"/>
                  <w:vAlign w:val="center"/>
                </w:tcPr>
                <w:p w14:paraId="03FABF05">
                  <w:pPr>
                    <w:jc w:val="center"/>
                    <w:rPr>
                      <w:szCs w:val="21"/>
                    </w:rPr>
                  </w:pPr>
                  <w:r>
                    <w:rPr>
                      <w:color w:val="000000"/>
                      <w:kern w:val="0"/>
                      <w:szCs w:val="21"/>
                    </w:rPr>
                    <w:t>50P</w:t>
                  </w:r>
                </w:p>
              </w:tc>
              <w:tc>
                <w:tcPr>
                  <w:tcW w:w="0" w:type="auto"/>
                  <w:vAlign w:val="center"/>
                </w:tcPr>
                <w:p w14:paraId="457ECC1A">
                  <w:pPr>
                    <w:jc w:val="center"/>
                    <w:rPr>
                      <w:color w:val="000000"/>
                      <w:szCs w:val="21"/>
                    </w:rPr>
                  </w:pPr>
                  <w:r>
                    <w:rPr>
                      <w:color w:val="000000"/>
                      <w:kern w:val="0"/>
                      <w:szCs w:val="21"/>
                    </w:rPr>
                    <w:t>1</w:t>
                  </w:r>
                </w:p>
              </w:tc>
            </w:tr>
            <w:tr w14:paraId="3943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E2CEBA1">
                  <w:pPr>
                    <w:jc w:val="center"/>
                    <w:rPr>
                      <w:szCs w:val="21"/>
                    </w:rPr>
                  </w:pPr>
                  <w:r>
                    <w:rPr>
                      <w:szCs w:val="21"/>
                    </w:rPr>
                    <w:t>15</w:t>
                  </w:r>
                </w:p>
              </w:tc>
              <w:tc>
                <w:tcPr>
                  <w:tcW w:w="0" w:type="auto"/>
                  <w:vMerge w:val="continue"/>
                  <w:vAlign w:val="center"/>
                </w:tcPr>
                <w:p w14:paraId="7455D88C">
                  <w:pPr>
                    <w:jc w:val="center"/>
                    <w:rPr>
                      <w:szCs w:val="21"/>
                    </w:rPr>
                  </w:pPr>
                </w:p>
              </w:tc>
              <w:tc>
                <w:tcPr>
                  <w:tcW w:w="0" w:type="auto"/>
                  <w:vAlign w:val="center"/>
                </w:tcPr>
                <w:p w14:paraId="2C58677E">
                  <w:pPr>
                    <w:jc w:val="center"/>
                    <w:rPr>
                      <w:szCs w:val="21"/>
                    </w:rPr>
                  </w:pPr>
                  <w:r>
                    <w:rPr>
                      <w:color w:val="000000"/>
                      <w:kern w:val="0"/>
                      <w:szCs w:val="21"/>
                    </w:rPr>
                    <w:t>回油装置</w:t>
                  </w:r>
                </w:p>
              </w:tc>
              <w:tc>
                <w:tcPr>
                  <w:tcW w:w="0" w:type="auto"/>
                  <w:vMerge w:val="restart"/>
                  <w:vAlign w:val="center"/>
                </w:tcPr>
                <w:p w14:paraId="568704BE">
                  <w:pPr>
                    <w:jc w:val="center"/>
                    <w:rPr>
                      <w:szCs w:val="21"/>
                    </w:rPr>
                  </w:pPr>
                  <w:r>
                    <w:rPr>
                      <w:szCs w:val="21"/>
                    </w:rPr>
                    <w:t>自研定制加工</w:t>
                  </w:r>
                </w:p>
              </w:tc>
              <w:tc>
                <w:tcPr>
                  <w:tcW w:w="0" w:type="auto"/>
                  <w:vAlign w:val="center"/>
                </w:tcPr>
                <w:p w14:paraId="14CDE12A">
                  <w:pPr>
                    <w:jc w:val="center"/>
                    <w:rPr>
                      <w:color w:val="000000"/>
                      <w:szCs w:val="21"/>
                    </w:rPr>
                  </w:pPr>
                  <w:r>
                    <w:rPr>
                      <w:color w:val="000000"/>
                      <w:kern w:val="0"/>
                      <w:szCs w:val="21"/>
                    </w:rPr>
                    <w:t>1</w:t>
                  </w:r>
                </w:p>
              </w:tc>
            </w:tr>
            <w:tr w14:paraId="0209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9A50903">
                  <w:pPr>
                    <w:jc w:val="center"/>
                    <w:rPr>
                      <w:szCs w:val="21"/>
                    </w:rPr>
                  </w:pPr>
                  <w:r>
                    <w:rPr>
                      <w:szCs w:val="21"/>
                    </w:rPr>
                    <w:t>16</w:t>
                  </w:r>
                </w:p>
              </w:tc>
              <w:tc>
                <w:tcPr>
                  <w:tcW w:w="0" w:type="auto"/>
                  <w:vMerge w:val="continue"/>
                  <w:vAlign w:val="center"/>
                </w:tcPr>
                <w:p w14:paraId="62B8B0D9">
                  <w:pPr>
                    <w:jc w:val="center"/>
                    <w:rPr>
                      <w:szCs w:val="21"/>
                    </w:rPr>
                  </w:pPr>
                </w:p>
              </w:tc>
              <w:tc>
                <w:tcPr>
                  <w:tcW w:w="0" w:type="auto"/>
                  <w:vAlign w:val="center"/>
                </w:tcPr>
                <w:p w14:paraId="4B57BD16">
                  <w:pPr>
                    <w:jc w:val="center"/>
                    <w:rPr>
                      <w:szCs w:val="21"/>
                    </w:rPr>
                  </w:pPr>
                  <w:r>
                    <w:rPr>
                      <w:color w:val="000000"/>
                      <w:kern w:val="0"/>
                      <w:szCs w:val="21"/>
                    </w:rPr>
                    <w:t>电子膨胀阀</w:t>
                  </w:r>
                </w:p>
              </w:tc>
              <w:tc>
                <w:tcPr>
                  <w:tcW w:w="0" w:type="auto"/>
                  <w:vMerge w:val="continue"/>
                  <w:vAlign w:val="center"/>
                </w:tcPr>
                <w:p w14:paraId="7FFDDEB6">
                  <w:pPr>
                    <w:jc w:val="center"/>
                    <w:rPr>
                      <w:szCs w:val="21"/>
                    </w:rPr>
                  </w:pPr>
                </w:p>
              </w:tc>
              <w:tc>
                <w:tcPr>
                  <w:tcW w:w="0" w:type="auto"/>
                  <w:vAlign w:val="center"/>
                </w:tcPr>
                <w:p w14:paraId="4955F7A2">
                  <w:pPr>
                    <w:jc w:val="center"/>
                    <w:rPr>
                      <w:color w:val="000000"/>
                      <w:szCs w:val="21"/>
                    </w:rPr>
                  </w:pPr>
                  <w:r>
                    <w:rPr>
                      <w:color w:val="000000"/>
                      <w:kern w:val="0"/>
                      <w:szCs w:val="21"/>
                    </w:rPr>
                    <w:t>1</w:t>
                  </w:r>
                </w:p>
              </w:tc>
            </w:tr>
            <w:tr w14:paraId="2C4E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07FD87D">
                  <w:pPr>
                    <w:jc w:val="center"/>
                    <w:rPr>
                      <w:szCs w:val="21"/>
                    </w:rPr>
                  </w:pPr>
                  <w:r>
                    <w:rPr>
                      <w:szCs w:val="21"/>
                    </w:rPr>
                    <w:t>17</w:t>
                  </w:r>
                </w:p>
              </w:tc>
              <w:tc>
                <w:tcPr>
                  <w:tcW w:w="0" w:type="auto"/>
                  <w:vMerge w:val="continue"/>
                  <w:vAlign w:val="center"/>
                </w:tcPr>
                <w:p w14:paraId="68089A4B">
                  <w:pPr>
                    <w:jc w:val="center"/>
                    <w:rPr>
                      <w:szCs w:val="21"/>
                    </w:rPr>
                  </w:pPr>
                </w:p>
              </w:tc>
              <w:tc>
                <w:tcPr>
                  <w:tcW w:w="0" w:type="auto"/>
                  <w:vAlign w:val="center"/>
                </w:tcPr>
                <w:p w14:paraId="53A10B9A">
                  <w:pPr>
                    <w:jc w:val="center"/>
                    <w:rPr>
                      <w:szCs w:val="21"/>
                    </w:rPr>
                  </w:pPr>
                  <w:r>
                    <w:rPr>
                      <w:color w:val="000000"/>
                      <w:kern w:val="0"/>
                      <w:szCs w:val="21"/>
                    </w:rPr>
                    <w:t>油分离器</w:t>
                  </w:r>
                </w:p>
              </w:tc>
              <w:tc>
                <w:tcPr>
                  <w:tcW w:w="0" w:type="auto"/>
                  <w:vMerge w:val="continue"/>
                  <w:vAlign w:val="center"/>
                </w:tcPr>
                <w:p w14:paraId="6446FBC5">
                  <w:pPr>
                    <w:jc w:val="center"/>
                    <w:rPr>
                      <w:szCs w:val="21"/>
                    </w:rPr>
                  </w:pPr>
                </w:p>
              </w:tc>
              <w:tc>
                <w:tcPr>
                  <w:tcW w:w="0" w:type="auto"/>
                  <w:vAlign w:val="center"/>
                </w:tcPr>
                <w:p w14:paraId="123592D4">
                  <w:pPr>
                    <w:jc w:val="center"/>
                    <w:rPr>
                      <w:color w:val="000000"/>
                      <w:szCs w:val="21"/>
                    </w:rPr>
                  </w:pPr>
                  <w:r>
                    <w:rPr>
                      <w:color w:val="000000"/>
                      <w:kern w:val="0"/>
                      <w:szCs w:val="21"/>
                    </w:rPr>
                    <w:t>1</w:t>
                  </w:r>
                </w:p>
              </w:tc>
            </w:tr>
            <w:tr w14:paraId="3092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DD68C14">
                  <w:pPr>
                    <w:jc w:val="center"/>
                    <w:rPr>
                      <w:szCs w:val="21"/>
                    </w:rPr>
                  </w:pPr>
                  <w:r>
                    <w:rPr>
                      <w:szCs w:val="21"/>
                    </w:rPr>
                    <w:t>18</w:t>
                  </w:r>
                </w:p>
              </w:tc>
              <w:tc>
                <w:tcPr>
                  <w:tcW w:w="0" w:type="auto"/>
                  <w:vMerge w:val="continue"/>
                  <w:vAlign w:val="center"/>
                </w:tcPr>
                <w:p w14:paraId="79EBC644">
                  <w:pPr>
                    <w:jc w:val="center"/>
                    <w:rPr>
                      <w:szCs w:val="21"/>
                    </w:rPr>
                  </w:pPr>
                </w:p>
              </w:tc>
              <w:tc>
                <w:tcPr>
                  <w:tcW w:w="0" w:type="auto"/>
                  <w:vAlign w:val="center"/>
                </w:tcPr>
                <w:p w14:paraId="0AC8BF99">
                  <w:pPr>
                    <w:jc w:val="center"/>
                    <w:rPr>
                      <w:szCs w:val="21"/>
                    </w:rPr>
                  </w:pPr>
                  <w:r>
                    <w:rPr>
                      <w:color w:val="000000"/>
                      <w:kern w:val="0"/>
                      <w:szCs w:val="21"/>
                    </w:rPr>
                    <w:t>气液分离器</w:t>
                  </w:r>
                </w:p>
              </w:tc>
              <w:tc>
                <w:tcPr>
                  <w:tcW w:w="0" w:type="auto"/>
                  <w:vMerge w:val="continue"/>
                  <w:vAlign w:val="center"/>
                </w:tcPr>
                <w:p w14:paraId="526B0C60">
                  <w:pPr>
                    <w:jc w:val="center"/>
                    <w:rPr>
                      <w:szCs w:val="21"/>
                    </w:rPr>
                  </w:pPr>
                </w:p>
              </w:tc>
              <w:tc>
                <w:tcPr>
                  <w:tcW w:w="0" w:type="auto"/>
                  <w:vAlign w:val="center"/>
                </w:tcPr>
                <w:p w14:paraId="6FC696C3">
                  <w:pPr>
                    <w:jc w:val="center"/>
                    <w:rPr>
                      <w:color w:val="000000"/>
                      <w:szCs w:val="21"/>
                    </w:rPr>
                  </w:pPr>
                  <w:r>
                    <w:rPr>
                      <w:color w:val="000000"/>
                      <w:kern w:val="0"/>
                      <w:szCs w:val="21"/>
                    </w:rPr>
                    <w:t>1</w:t>
                  </w:r>
                </w:p>
              </w:tc>
            </w:tr>
            <w:tr w14:paraId="1D44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7E3CE67">
                  <w:pPr>
                    <w:jc w:val="center"/>
                    <w:rPr>
                      <w:szCs w:val="21"/>
                    </w:rPr>
                  </w:pPr>
                  <w:r>
                    <w:rPr>
                      <w:szCs w:val="21"/>
                    </w:rPr>
                    <w:t>19</w:t>
                  </w:r>
                </w:p>
              </w:tc>
              <w:tc>
                <w:tcPr>
                  <w:tcW w:w="0" w:type="auto"/>
                  <w:vMerge w:val="continue"/>
                  <w:vAlign w:val="center"/>
                </w:tcPr>
                <w:p w14:paraId="6802E7B8">
                  <w:pPr>
                    <w:jc w:val="center"/>
                    <w:rPr>
                      <w:szCs w:val="21"/>
                    </w:rPr>
                  </w:pPr>
                </w:p>
              </w:tc>
              <w:tc>
                <w:tcPr>
                  <w:tcW w:w="0" w:type="auto"/>
                  <w:vAlign w:val="center"/>
                </w:tcPr>
                <w:p w14:paraId="497209E7">
                  <w:pPr>
                    <w:jc w:val="center"/>
                    <w:rPr>
                      <w:szCs w:val="21"/>
                    </w:rPr>
                  </w:pPr>
                  <w:r>
                    <w:rPr>
                      <w:color w:val="000000"/>
                      <w:kern w:val="0"/>
                      <w:szCs w:val="21"/>
                    </w:rPr>
                    <w:t>气体冷却器</w:t>
                  </w:r>
                </w:p>
              </w:tc>
              <w:tc>
                <w:tcPr>
                  <w:tcW w:w="0" w:type="auto"/>
                  <w:vMerge w:val="continue"/>
                  <w:vAlign w:val="center"/>
                </w:tcPr>
                <w:p w14:paraId="36F2BD82">
                  <w:pPr>
                    <w:jc w:val="center"/>
                    <w:rPr>
                      <w:szCs w:val="21"/>
                    </w:rPr>
                  </w:pPr>
                </w:p>
              </w:tc>
              <w:tc>
                <w:tcPr>
                  <w:tcW w:w="0" w:type="auto"/>
                  <w:vAlign w:val="center"/>
                </w:tcPr>
                <w:p w14:paraId="195CEEDC">
                  <w:pPr>
                    <w:jc w:val="center"/>
                    <w:rPr>
                      <w:color w:val="000000"/>
                      <w:szCs w:val="21"/>
                    </w:rPr>
                  </w:pPr>
                  <w:r>
                    <w:rPr>
                      <w:color w:val="000000"/>
                      <w:kern w:val="0"/>
                      <w:szCs w:val="21"/>
                    </w:rPr>
                    <w:t>1</w:t>
                  </w:r>
                </w:p>
              </w:tc>
            </w:tr>
            <w:tr w14:paraId="597C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67166E2">
                  <w:pPr>
                    <w:jc w:val="center"/>
                    <w:rPr>
                      <w:szCs w:val="21"/>
                    </w:rPr>
                  </w:pPr>
                  <w:r>
                    <w:rPr>
                      <w:szCs w:val="21"/>
                    </w:rPr>
                    <w:t>20</w:t>
                  </w:r>
                </w:p>
              </w:tc>
              <w:tc>
                <w:tcPr>
                  <w:tcW w:w="0" w:type="auto"/>
                  <w:vMerge w:val="continue"/>
                  <w:vAlign w:val="center"/>
                </w:tcPr>
                <w:p w14:paraId="0784C053">
                  <w:pPr>
                    <w:jc w:val="center"/>
                    <w:rPr>
                      <w:szCs w:val="21"/>
                    </w:rPr>
                  </w:pPr>
                </w:p>
              </w:tc>
              <w:tc>
                <w:tcPr>
                  <w:tcW w:w="0" w:type="auto"/>
                  <w:vAlign w:val="center"/>
                </w:tcPr>
                <w:p w14:paraId="0AD2E9ED">
                  <w:pPr>
                    <w:jc w:val="center"/>
                    <w:rPr>
                      <w:szCs w:val="21"/>
                    </w:rPr>
                  </w:pPr>
                  <w:r>
                    <w:rPr>
                      <w:color w:val="000000"/>
                      <w:kern w:val="0"/>
                      <w:szCs w:val="21"/>
                    </w:rPr>
                    <w:t>制冰换热装置</w:t>
                  </w:r>
                </w:p>
              </w:tc>
              <w:tc>
                <w:tcPr>
                  <w:tcW w:w="0" w:type="auto"/>
                  <w:vMerge w:val="continue"/>
                  <w:vAlign w:val="center"/>
                </w:tcPr>
                <w:p w14:paraId="5864DE4C">
                  <w:pPr>
                    <w:jc w:val="center"/>
                    <w:rPr>
                      <w:szCs w:val="21"/>
                    </w:rPr>
                  </w:pPr>
                </w:p>
              </w:tc>
              <w:tc>
                <w:tcPr>
                  <w:tcW w:w="0" w:type="auto"/>
                  <w:vAlign w:val="center"/>
                </w:tcPr>
                <w:p w14:paraId="0CDEC6C8">
                  <w:pPr>
                    <w:jc w:val="center"/>
                    <w:rPr>
                      <w:color w:val="000000"/>
                      <w:szCs w:val="21"/>
                    </w:rPr>
                  </w:pPr>
                  <w:r>
                    <w:rPr>
                      <w:color w:val="000000"/>
                      <w:kern w:val="0"/>
                      <w:szCs w:val="21"/>
                    </w:rPr>
                    <w:t>1</w:t>
                  </w:r>
                </w:p>
              </w:tc>
            </w:tr>
            <w:tr w14:paraId="25C6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D464B45">
                  <w:pPr>
                    <w:jc w:val="center"/>
                    <w:rPr>
                      <w:szCs w:val="21"/>
                    </w:rPr>
                  </w:pPr>
                  <w:r>
                    <w:rPr>
                      <w:szCs w:val="21"/>
                    </w:rPr>
                    <w:t>21</w:t>
                  </w:r>
                </w:p>
              </w:tc>
              <w:tc>
                <w:tcPr>
                  <w:tcW w:w="0" w:type="auto"/>
                  <w:vMerge w:val="continue"/>
                  <w:vAlign w:val="center"/>
                </w:tcPr>
                <w:p w14:paraId="3CC27BE5">
                  <w:pPr>
                    <w:jc w:val="center"/>
                    <w:rPr>
                      <w:szCs w:val="21"/>
                    </w:rPr>
                  </w:pPr>
                </w:p>
              </w:tc>
              <w:tc>
                <w:tcPr>
                  <w:tcW w:w="0" w:type="auto"/>
                  <w:vAlign w:val="center"/>
                </w:tcPr>
                <w:p w14:paraId="0C17D457">
                  <w:pPr>
                    <w:jc w:val="center"/>
                    <w:rPr>
                      <w:szCs w:val="21"/>
                    </w:rPr>
                  </w:pPr>
                  <w:r>
                    <w:rPr>
                      <w:color w:val="000000"/>
                      <w:kern w:val="0"/>
                      <w:szCs w:val="21"/>
                    </w:rPr>
                    <w:t>冰浆输送泵</w:t>
                  </w:r>
                </w:p>
              </w:tc>
              <w:tc>
                <w:tcPr>
                  <w:tcW w:w="0" w:type="auto"/>
                  <w:vMerge w:val="continue"/>
                  <w:vAlign w:val="center"/>
                </w:tcPr>
                <w:p w14:paraId="0939C069">
                  <w:pPr>
                    <w:jc w:val="center"/>
                    <w:rPr>
                      <w:szCs w:val="21"/>
                    </w:rPr>
                  </w:pPr>
                </w:p>
              </w:tc>
              <w:tc>
                <w:tcPr>
                  <w:tcW w:w="0" w:type="auto"/>
                  <w:vAlign w:val="center"/>
                </w:tcPr>
                <w:p w14:paraId="4EEAEE58">
                  <w:pPr>
                    <w:jc w:val="center"/>
                    <w:rPr>
                      <w:color w:val="000000"/>
                      <w:szCs w:val="21"/>
                    </w:rPr>
                  </w:pPr>
                  <w:r>
                    <w:rPr>
                      <w:color w:val="000000"/>
                      <w:kern w:val="0"/>
                      <w:szCs w:val="21"/>
                    </w:rPr>
                    <w:t>1</w:t>
                  </w:r>
                </w:p>
              </w:tc>
            </w:tr>
            <w:tr w14:paraId="32F3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E444A65">
                  <w:pPr>
                    <w:jc w:val="center"/>
                    <w:rPr>
                      <w:szCs w:val="21"/>
                    </w:rPr>
                  </w:pPr>
                  <w:r>
                    <w:rPr>
                      <w:szCs w:val="21"/>
                    </w:rPr>
                    <w:t>22</w:t>
                  </w:r>
                </w:p>
              </w:tc>
              <w:tc>
                <w:tcPr>
                  <w:tcW w:w="0" w:type="auto"/>
                  <w:vMerge w:val="continue"/>
                  <w:vAlign w:val="center"/>
                </w:tcPr>
                <w:p w14:paraId="5CE6DE87">
                  <w:pPr>
                    <w:jc w:val="center"/>
                    <w:rPr>
                      <w:szCs w:val="21"/>
                    </w:rPr>
                  </w:pPr>
                </w:p>
              </w:tc>
              <w:tc>
                <w:tcPr>
                  <w:tcW w:w="0" w:type="auto"/>
                  <w:vAlign w:val="center"/>
                </w:tcPr>
                <w:p w14:paraId="1FF3D915">
                  <w:pPr>
                    <w:jc w:val="center"/>
                    <w:rPr>
                      <w:szCs w:val="21"/>
                    </w:rPr>
                  </w:pPr>
                  <w:r>
                    <w:rPr>
                      <w:color w:val="000000"/>
                      <w:kern w:val="0"/>
                      <w:szCs w:val="21"/>
                    </w:rPr>
                    <w:t>制冷剂</w:t>
                  </w:r>
                </w:p>
              </w:tc>
              <w:tc>
                <w:tcPr>
                  <w:tcW w:w="0" w:type="auto"/>
                  <w:vMerge w:val="continue"/>
                  <w:vAlign w:val="center"/>
                </w:tcPr>
                <w:p w14:paraId="68DBADA7">
                  <w:pPr>
                    <w:jc w:val="center"/>
                    <w:rPr>
                      <w:szCs w:val="21"/>
                    </w:rPr>
                  </w:pPr>
                </w:p>
              </w:tc>
              <w:tc>
                <w:tcPr>
                  <w:tcW w:w="0" w:type="auto"/>
                  <w:vAlign w:val="center"/>
                </w:tcPr>
                <w:p w14:paraId="3158B3BB">
                  <w:pPr>
                    <w:jc w:val="center"/>
                    <w:rPr>
                      <w:color w:val="000000"/>
                      <w:szCs w:val="21"/>
                    </w:rPr>
                  </w:pPr>
                  <w:r>
                    <w:rPr>
                      <w:color w:val="000000"/>
                      <w:kern w:val="0"/>
                      <w:szCs w:val="21"/>
                    </w:rPr>
                    <w:t>1</w:t>
                  </w:r>
                </w:p>
              </w:tc>
            </w:tr>
            <w:tr w14:paraId="5C9E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36212CF">
                  <w:pPr>
                    <w:jc w:val="center"/>
                    <w:rPr>
                      <w:szCs w:val="21"/>
                    </w:rPr>
                  </w:pPr>
                  <w:r>
                    <w:rPr>
                      <w:szCs w:val="21"/>
                    </w:rPr>
                    <w:t>23</w:t>
                  </w:r>
                </w:p>
              </w:tc>
              <w:tc>
                <w:tcPr>
                  <w:tcW w:w="0" w:type="auto"/>
                  <w:vMerge w:val="continue"/>
                  <w:vAlign w:val="center"/>
                </w:tcPr>
                <w:p w14:paraId="6478467F">
                  <w:pPr>
                    <w:jc w:val="center"/>
                    <w:rPr>
                      <w:szCs w:val="21"/>
                    </w:rPr>
                  </w:pPr>
                </w:p>
              </w:tc>
              <w:tc>
                <w:tcPr>
                  <w:tcW w:w="0" w:type="auto"/>
                  <w:vAlign w:val="center"/>
                </w:tcPr>
                <w:p w14:paraId="753551EC">
                  <w:pPr>
                    <w:jc w:val="center"/>
                    <w:rPr>
                      <w:szCs w:val="21"/>
                    </w:rPr>
                  </w:pPr>
                  <w:r>
                    <w:rPr>
                      <w:color w:val="000000"/>
                      <w:kern w:val="0"/>
                      <w:szCs w:val="21"/>
                    </w:rPr>
                    <w:t>控制模块</w:t>
                  </w:r>
                </w:p>
              </w:tc>
              <w:tc>
                <w:tcPr>
                  <w:tcW w:w="0" w:type="auto"/>
                  <w:vMerge w:val="continue"/>
                  <w:vAlign w:val="center"/>
                </w:tcPr>
                <w:p w14:paraId="1994B822">
                  <w:pPr>
                    <w:jc w:val="center"/>
                    <w:rPr>
                      <w:szCs w:val="21"/>
                    </w:rPr>
                  </w:pPr>
                </w:p>
              </w:tc>
              <w:tc>
                <w:tcPr>
                  <w:tcW w:w="0" w:type="auto"/>
                  <w:vAlign w:val="center"/>
                </w:tcPr>
                <w:p w14:paraId="3F8140C1">
                  <w:pPr>
                    <w:jc w:val="center"/>
                    <w:rPr>
                      <w:color w:val="000000"/>
                      <w:szCs w:val="21"/>
                    </w:rPr>
                  </w:pPr>
                  <w:r>
                    <w:rPr>
                      <w:color w:val="000000"/>
                      <w:kern w:val="0"/>
                      <w:szCs w:val="21"/>
                    </w:rPr>
                    <w:t>1</w:t>
                  </w:r>
                </w:p>
              </w:tc>
            </w:tr>
            <w:tr w14:paraId="77A2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C936C94">
                  <w:pPr>
                    <w:jc w:val="center"/>
                    <w:rPr>
                      <w:szCs w:val="21"/>
                    </w:rPr>
                  </w:pPr>
                  <w:r>
                    <w:rPr>
                      <w:szCs w:val="21"/>
                    </w:rPr>
                    <w:t>24</w:t>
                  </w:r>
                </w:p>
              </w:tc>
              <w:tc>
                <w:tcPr>
                  <w:tcW w:w="0" w:type="auto"/>
                  <w:vMerge w:val="continue"/>
                  <w:vAlign w:val="center"/>
                </w:tcPr>
                <w:p w14:paraId="4EB94900">
                  <w:pPr>
                    <w:jc w:val="center"/>
                    <w:rPr>
                      <w:szCs w:val="21"/>
                    </w:rPr>
                  </w:pPr>
                </w:p>
              </w:tc>
              <w:tc>
                <w:tcPr>
                  <w:tcW w:w="0" w:type="auto"/>
                  <w:vAlign w:val="center"/>
                </w:tcPr>
                <w:p w14:paraId="353259AC">
                  <w:pPr>
                    <w:jc w:val="center"/>
                    <w:rPr>
                      <w:szCs w:val="21"/>
                    </w:rPr>
                  </w:pPr>
                  <w:r>
                    <w:rPr>
                      <w:color w:val="000000"/>
                      <w:kern w:val="0"/>
                      <w:szCs w:val="21"/>
                    </w:rPr>
                    <w:t>触摸屏</w:t>
                  </w:r>
                </w:p>
              </w:tc>
              <w:tc>
                <w:tcPr>
                  <w:tcW w:w="0" w:type="auto"/>
                  <w:vMerge w:val="continue"/>
                  <w:vAlign w:val="center"/>
                </w:tcPr>
                <w:p w14:paraId="67A6D8B3">
                  <w:pPr>
                    <w:jc w:val="center"/>
                    <w:rPr>
                      <w:szCs w:val="21"/>
                    </w:rPr>
                  </w:pPr>
                </w:p>
              </w:tc>
              <w:tc>
                <w:tcPr>
                  <w:tcW w:w="0" w:type="auto"/>
                  <w:vAlign w:val="center"/>
                </w:tcPr>
                <w:p w14:paraId="15E46FD0">
                  <w:pPr>
                    <w:jc w:val="center"/>
                    <w:rPr>
                      <w:color w:val="000000"/>
                      <w:szCs w:val="21"/>
                    </w:rPr>
                  </w:pPr>
                  <w:r>
                    <w:rPr>
                      <w:color w:val="000000"/>
                      <w:kern w:val="0"/>
                      <w:szCs w:val="21"/>
                    </w:rPr>
                    <w:t>1</w:t>
                  </w:r>
                </w:p>
              </w:tc>
            </w:tr>
            <w:tr w14:paraId="69F9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30B2584">
                  <w:pPr>
                    <w:jc w:val="center"/>
                    <w:rPr>
                      <w:szCs w:val="21"/>
                    </w:rPr>
                  </w:pPr>
                  <w:r>
                    <w:rPr>
                      <w:szCs w:val="21"/>
                    </w:rPr>
                    <w:t>25</w:t>
                  </w:r>
                </w:p>
              </w:tc>
              <w:tc>
                <w:tcPr>
                  <w:tcW w:w="0" w:type="auto"/>
                  <w:vMerge w:val="continue"/>
                  <w:vAlign w:val="center"/>
                </w:tcPr>
                <w:p w14:paraId="7DAB0A3F">
                  <w:pPr>
                    <w:jc w:val="center"/>
                    <w:rPr>
                      <w:szCs w:val="21"/>
                    </w:rPr>
                  </w:pPr>
                </w:p>
              </w:tc>
              <w:tc>
                <w:tcPr>
                  <w:tcW w:w="0" w:type="auto"/>
                  <w:vAlign w:val="center"/>
                </w:tcPr>
                <w:p w14:paraId="25B5162A">
                  <w:pPr>
                    <w:jc w:val="center"/>
                    <w:rPr>
                      <w:szCs w:val="21"/>
                    </w:rPr>
                  </w:pPr>
                  <w:r>
                    <w:rPr>
                      <w:color w:val="000000"/>
                      <w:kern w:val="0"/>
                      <w:szCs w:val="21"/>
                    </w:rPr>
                    <w:t>铜管及配件</w:t>
                  </w:r>
                </w:p>
              </w:tc>
              <w:tc>
                <w:tcPr>
                  <w:tcW w:w="0" w:type="auto"/>
                  <w:vMerge w:val="continue"/>
                  <w:vAlign w:val="center"/>
                </w:tcPr>
                <w:p w14:paraId="2F2005BA">
                  <w:pPr>
                    <w:jc w:val="center"/>
                    <w:rPr>
                      <w:szCs w:val="21"/>
                    </w:rPr>
                  </w:pPr>
                </w:p>
              </w:tc>
              <w:tc>
                <w:tcPr>
                  <w:tcW w:w="0" w:type="auto"/>
                  <w:vAlign w:val="center"/>
                </w:tcPr>
                <w:p w14:paraId="60CE6B5C">
                  <w:pPr>
                    <w:jc w:val="center"/>
                    <w:rPr>
                      <w:color w:val="000000"/>
                      <w:szCs w:val="21"/>
                    </w:rPr>
                  </w:pPr>
                  <w:r>
                    <w:rPr>
                      <w:color w:val="000000"/>
                      <w:kern w:val="0"/>
                      <w:szCs w:val="21"/>
                    </w:rPr>
                    <w:t>1</w:t>
                  </w:r>
                </w:p>
              </w:tc>
            </w:tr>
            <w:tr w14:paraId="6E3D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C69CD9C">
                  <w:pPr>
                    <w:jc w:val="center"/>
                    <w:rPr>
                      <w:szCs w:val="21"/>
                    </w:rPr>
                  </w:pPr>
                  <w:r>
                    <w:rPr>
                      <w:szCs w:val="21"/>
                    </w:rPr>
                    <w:t>26</w:t>
                  </w:r>
                </w:p>
              </w:tc>
              <w:tc>
                <w:tcPr>
                  <w:tcW w:w="0" w:type="auto"/>
                  <w:vMerge w:val="continue"/>
                  <w:vAlign w:val="center"/>
                </w:tcPr>
                <w:p w14:paraId="72019264">
                  <w:pPr>
                    <w:jc w:val="center"/>
                    <w:rPr>
                      <w:szCs w:val="21"/>
                    </w:rPr>
                  </w:pPr>
                </w:p>
              </w:tc>
              <w:tc>
                <w:tcPr>
                  <w:tcW w:w="0" w:type="auto"/>
                  <w:vAlign w:val="center"/>
                </w:tcPr>
                <w:p w14:paraId="4159F36D">
                  <w:pPr>
                    <w:jc w:val="center"/>
                    <w:rPr>
                      <w:szCs w:val="21"/>
                    </w:rPr>
                  </w:pPr>
                  <w:r>
                    <w:rPr>
                      <w:color w:val="000000"/>
                      <w:kern w:val="0"/>
                      <w:szCs w:val="21"/>
                    </w:rPr>
                    <w:t>电器元件</w:t>
                  </w:r>
                </w:p>
              </w:tc>
              <w:tc>
                <w:tcPr>
                  <w:tcW w:w="0" w:type="auto"/>
                  <w:vMerge w:val="continue"/>
                  <w:vAlign w:val="center"/>
                </w:tcPr>
                <w:p w14:paraId="32DC620F">
                  <w:pPr>
                    <w:jc w:val="center"/>
                    <w:rPr>
                      <w:szCs w:val="21"/>
                    </w:rPr>
                  </w:pPr>
                </w:p>
              </w:tc>
              <w:tc>
                <w:tcPr>
                  <w:tcW w:w="0" w:type="auto"/>
                  <w:vAlign w:val="center"/>
                </w:tcPr>
                <w:p w14:paraId="6B1DB88C">
                  <w:pPr>
                    <w:jc w:val="center"/>
                    <w:rPr>
                      <w:color w:val="000000"/>
                      <w:szCs w:val="21"/>
                    </w:rPr>
                  </w:pPr>
                  <w:r>
                    <w:rPr>
                      <w:color w:val="000000"/>
                      <w:kern w:val="0"/>
                      <w:szCs w:val="21"/>
                    </w:rPr>
                    <w:t>1</w:t>
                  </w:r>
                </w:p>
              </w:tc>
            </w:tr>
            <w:tr w14:paraId="5FAA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1D3E004">
                  <w:pPr>
                    <w:jc w:val="center"/>
                    <w:rPr>
                      <w:szCs w:val="21"/>
                    </w:rPr>
                  </w:pPr>
                  <w:r>
                    <w:rPr>
                      <w:szCs w:val="21"/>
                    </w:rPr>
                    <w:t>27</w:t>
                  </w:r>
                </w:p>
              </w:tc>
              <w:tc>
                <w:tcPr>
                  <w:tcW w:w="0" w:type="auto"/>
                  <w:vMerge w:val="restart"/>
                  <w:vAlign w:val="center"/>
                </w:tcPr>
                <w:p w14:paraId="38459B65">
                  <w:pPr>
                    <w:jc w:val="center"/>
                    <w:rPr>
                      <w:szCs w:val="21"/>
                    </w:rPr>
                  </w:pPr>
                  <w:r>
                    <w:rPr>
                      <w:szCs w:val="21"/>
                    </w:rPr>
                    <w:t>二氧化碳空气源冷热一体化实验室-</w:t>
                  </w:r>
                  <w:r>
                    <w:rPr>
                      <w:color w:val="000000"/>
                      <w:kern w:val="0"/>
                      <w:szCs w:val="21"/>
                    </w:rPr>
                    <w:t>水系统</w:t>
                  </w:r>
                </w:p>
              </w:tc>
              <w:tc>
                <w:tcPr>
                  <w:tcW w:w="0" w:type="auto"/>
                  <w:vAlign w:val="center"/>
                </w:tcPr>
                <w:p w14:paraId="61675665">
                  <w:pPr>
                    <w:jc w:val="center"/>
                    <w:rPr>
                      <w:szCs w:val="21"/>
                    </w:rPr>
                  </w:pPr>
                  <w:r>
                    <w:rPr>
                      <w:color w:val="000000"/>
                      <w:kern w:val="0"/>
                      <w:szCs w:val="21"/>
                    </w:rPr>
                    <w:t>水系统管网</w:t>
                  </w:r>
                </w:p>
              </w:tc>
              <w:tc>
                <w:tcPr>
                  <w:tcW w:w="0" w:type="auto"/>
                  <w:vAlign w:val="center"/>
                </w:tcPr>
                <w:p w14:paraId="546A5654">
                  <w:pPr>
                    <w:jc w:val="center"/>
                    <w:rPr>
                      <w:szCs w:val="21"/>
                    </w:rPr>
                  </w:pPr>
                  <w:r>
                    <w:rPr>
                      <w:color w:val="000000"/>
                      <w:kern w:val="0"/>
                      <w:szCs w:val="21"/>
                    </w:rPr>
                    <w:t>镀锌管、弯头、三通、变径、法兰（DN65、DN50、DN40、DN32、DN15）</w:t>
                  </w:r>
                </w:p>
              </w:tc>
              <w:tc>
                <w:tcPr>
                  <w:tcW w:w="0" w:type="auto"/>
                  <w:vAlign w:val="center"/>
                </w:tcPr>
                <w:p w14:paraId="2DF65F18">
                  <w:pPr>
                    <w:jc w:val="center"/>
                    <w:rPr>
                      <w:color w:val="000000"/>
                      <w:szCs w:val="21"/>
                    </w:rPr>
                  </w:pPr>
                  <w:r>
                    <w:rPr>
                      <w:color w:val="000000"/>
                      <w:kern w:val="0"/>
                      <w:szCs w:val="21"/>
                    </w:rPr>
                    <w:t>1</w:t>
                  </w:r>
                </w:p>
              </w:tc>
            </w:tr>
            <w:tr w14:paraId="4D6D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9EE61E6">
                  <w:pPr>
                    <w:jc w:val="center"/>
                    <w:rPr>
                      <w:szCs w:val="21"/>
                    </w:rPr>
                  </w:pPr>
                  <w:r>
                    <w:rPr>
                      <w:szCs w:val="21"/>
                    </w:rPr>
                    <w:t>28</w:t>
                  </w:r>
                </w:p>
              </w:tc>
              <w:tc>
                <w:tcPr>
                  <w:tcW w:w="0" w:type="auto"/>
                  <w:vMerge w:val="continue"/>
                  <w:vAlign w:val="center"/>
                </w:tcPr>
                <w:p w14:paraId="692E79B6">
                  <w:pPr>
                    <w:jc w:val="center"/>
                    <w:rPr>
                      <w:szCs w:val="21"/>
                    </w:rPr>
                  </w:pPr>
                </w:p>
              </w:tc>
              <w:tc>
                <w:tcPr>
                  <w:tcW w:w="0" w:type="auto"/>
                  <w:vAlign w:val="center"/>
                </w:tcPr>
                <w:p w14:paraId="37002E0F">
                  <w:pPr>
                    <w:jc w:val="center"/>
                    <w:rPr>
                      <w:szCs w:val="21"/>
                    </w:rPr>
                  </w:pPr>
                  <w:r>
                    <w:rPr>
                      <w:color w:val="000000"/>
                      <w:kern w:val="0"/>
                      <w:szCs w:val="21"/>
                    </w:rPr>
                    <w:t>保温系统</w:t>
                  </w:r>
                </w:p>
              </w:tc>
              <w:tc>
                <w:tcPr>
                  <w:tcW w:w="0" w:type="auto"/>
                  <w:vAlign w:val="center"/>
                </w:tcPr>
                <w:p w14:paraId="1CF3C15B">
                  <w:pPr>
                    <w:jc w:val="center"/>
                    <w:rPr>
                      <w:szCs w:val="21"/>
                    </w:rPr>
                  </w:pPr>
                  <w:r>
                    <w:rPr>
                      <w:color w:val="000000"/>
                      <w:kern w:val="0"/>
                      <w:szCs w:val="21"/>
                    </w:rPr>
                    <w:t>橡塑棉+保温胶带</w:t>
                  </w:r>
                </w:p>
              </w:tc>
              <w:tc>
                <w:tcPr>
                  <w:tcW w:w="0" w:type="auto"/>
                  <w:vAlign w:val="center"/>
                </w:tcPr>
                <w:p w14:paraId="0C590051">
                  <w:pPr>
                    <w:jc w:val="center"/>
                    <w:rPr>
                      <w:color w:val="000000"/>
                      <w:szCs w:val="21"/>
                    </w:rPr>
                  </w:pPr>
                  <w:r>
                    <w:rPr>
                      <w:color w:val="000000"/>
                      <w:kern w:val="0"/>
                      <w:szCs w:val="21"/>
                    </w:rPr>
                    <w:t>1</w:t>
                  </w:r>
                </w:p>
              </w:tc>
            </w:tr>
            <w:tr w14:paraId="1663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90AC2EB">
                  <w:pPr>
                    <w:jc w:val="center"/>
                    <w:rPr>
                      <w:szCs w:val="21"/>
                    </w:rPr>
                  </w:pPr>
                  <w:r>
                    <w:rPr>
                      <w:szCs w:val="21"/>
                    </w:rPr>
                    <w:t>29</w:t>
                  </w:r>
                </w:p>
              </w:tc>
              <w:tc>
                <w:tcPr>
                  <w:tcW w:w="0" w:type="auto"/>
                  <w:vMerge w:val="continue"/>
                  <w:vAlign w:val="center"/>
                </w:tcPr>
                <w:p w14:paraId="1CE47BED">
                  <w:pPr>
                    <w:jc w:val="center"/>
                    <w:rPr>
                      <w:szCs w:val="21"/>
                    </w:rPr>
                  </w:pPr>
                </w:p>
              </w:tc>
              <w:tc>
                <w:tcPr>
                  <w:tcW w:w="0" w:type="auto"/>
                  <w:vAlign w:val="center"/>
                </w:tcPr>
                <w:p w14:paraId="047302AD">
                  <w:pPr>
                    <w:jc w:val="center"/>
                    <w:rPr>
                      <w:szCs w:val="21"/>
                    </w:rPr>
                  </w:pPr>
                  <w:r>
                    <w:rPr>
                      <w:color w:val="000000"/>
                      <w:kern w:val="0"/>
                      <w:szCs w:val="21"/>
                    </w:rPr>
                    <w:t>制热主机水流量调节系统1</w:t>
                  </w:r>
                </w:p>
              </w:tc>
              <w:tc>
                <w:tcPr>
                  <w:tcW w:w="0" w:type="auto"/>
                  <w:vAlign w:val="center"/>
                </w:tcPr>
                <w:p w14:paraId="4B3A5694">
                  <w:pPr>
                    <w:jc w:val="center"/>
                    <w:rPr>
                      <w:szCs w:val="21"/>
                    </w:rPr>
                  </w:pPr>
                  <w:r>
                    <w:rPr>
                      <w:color w:val="000000"/>
                      <w:kern w:val="0"/>
                      <w:szCs w:val="21"/>
                    </w:rPr>
                    <w:t>水泵、流量阀、流量计、软连接、单向阀（流量0.5~3m³/h）</w:t>
                  </w:r>
                </w:p>
              </w:tc>
              <w:tc>
                <w:tcPr>
                  <w:tcW w:w="0" w:type="auto"/>
                  <w:vAlign w:val="center"/>
                </w:tcPr>
                <w:p w14:paraId="74811081">
                  <w:pPr>
                    <w:jc w:val="center"/>
                    <w:rPr>
                      <w:color w:val="000000"/>
                      <w:szCs w:val="21"/>
                    </w:rPr>
                  </w:pPr>
                  <w:r>
                    <w:rPr>
                      <w:color w:val="000000"/>
                      <w:kern w:val="0"/>
                      <w:szCs w:val="21"/>
                    </w:rPr>
                    <w:t>1</w:t>
                  </w:r>
                </w:p>
              </w:tc>
            </w:tr>
            <w:tr w14:paraId="5235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CFAEC9E">
                  <w:pPr>
                    <w:jc w:val="center"/>
                    <w:rPr>
                      <w:szCs w:val="21"/>
                    </w:rPr>
                  </w:pPr>
                  <w:r>
                    <w:rPr>
                      <w:szCs w:val="21"/>
                    </w:rPr>
                    <w:t>30</w:t>
                  </w:r>
                </w:p>
              </w:tc>
              <w:tc>
                <w:tcPr>
                  <w:tcW w:w="0" w:type="auto"/>
                  <w:vMerge w:val="continue"/>
                  <w:vAlign w:val="center"/>
                </w:tcPr>
                <w:p w14:paraId="71545824">
                  <w:pPr>
                    <w:jc w:val="center"/>
                    <w:rPr>
                      <w:szCs w:val="21"/>
                    </w:rPr>
                  </w:pPr>
                </w:p>
              </w:tc>
              <w:tc>
                <w:tcPr>
                  <w:tcW w:w="0" w:type="auto"/>
                  <w:vAlign w:val="center"/>
                </w:tcPr>
                <w:p w14:paraId="4BC648E6">
                  <w:pPr>
                    <w:jc w:val="center"/>
                    <w:rPr>
                      <w:szCs w:val="21"/>
                    </w:rPr>
                  </w:pPr>
                  <w:r>
                    <w:rPr>
                      <w:color w:val="000000"/>
                      <w:kern w:val="0"/>
                      <w:szCs w:val="21"/>
                    </w:rPr>
                    <w:t>制热主机水流量调节系统2</w:t>
                  </w:r>
                </w:p>
              </w:tc>
              <w:tc>
                <w:tcPr>
                  <w:tcW w:w="0" w:type="auto"/>
                  <w:vAlign w:val="center"/>
                </w:tcPr>
                <w:p w14:paraId="10E78815">
                  <w:pPr>
                    <w:jc w:val="center"/>
                    <w:rPr>
                      <w:szCs w:val="21"/>
                    </w:rPr>
                  </w:pPr>
                  <w:r>
                    <w:rPr>
                      <w:color w:val="000000"/>
                      <w:kern w:val="0"/>
                      <w:szCs w:val="21"/>
                    </w:rPr>
                    <w:t>水泵、流量阀、流量计、软连接、单向阀（流量5~10m³/h）</w:t>
                  </w:r>
                </w:p>
              </w:tc>
              <w:tc>
                <w:tcPr>
                  <w:tcW w:w="0" w:type="auto"/>
                  <w:vAlign w:val="center"/>
                </w:tcPr>
                <w:p w14:paraId="797680BE">
                  <w:pPr>
                    <w:jc w:val="center"/>
                    <w:rPr>
                      <w:color w:val="000000"/>
                      <w:szCs w:val="21"/>
                    </w:rPr>
                  </w:pPr>
                  <w:r>
                    <w:rPr>
                      <w:color w:val="000000"/>
                      <w:kern w:val="0"/>
                      <w:szCs w:val="21"/>
                    </w:rPr>
                    <w:t>1</w:t>
                  </w:r>
                </w:p>
              </w:tc>
            </w:tr>
            <w:tr w14:paraId="63BB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B58DF35">
                  <w:pPr>
                    <w:jc w:val="center"/>
                    <w:rPr>
                      <w:szCs w:val="21"/>
                    </w:rPr>
                  </w:pPr>
                  <w:r>
                    <w:rPr>
                      <w:szCs w:val="21"/>
                    </w:rPr>
                    <w:t>31</w:t>
                  </w:r>
                </w:p>
              </w:tc>
              <w:tc>
                <w:tcPr>
                  <w:tcW w:w="0" w:type="auto"/>
                  <w:vMerge w:val="continue"/>
                  <w:vAlign w:val="center"/>
                </w:tcPr>
                <w:p w14:paraId="7B77CE3D">
                  <w:pPr>
                    <w:jc w:val="center"/>
                    <w:rPr>
                      <w:szCs w:val="21"/>
                    </w:rPr>
                  </w:pPr>
                </w:p>
              </w:tc>
              <w:tc>
                <w:tcPr>
                  <w:tcW w:w="0" w:type="auto"/>
                  <w:vAlign w:val="center"/>
                </w:tcPr>
                <w:p w14:paraId="3E300022">
                  <w:pPr>
                    <w:jc w:val="center"/>
                    <w:rPr>
                      <w:szCs w:val="21"/>
                    </w:rPr>
                  </w:pPr>
                  <w:r>
                    <w:rPr>
                      <w:color w:val="000000"/>
                      <w:kern w:val="0"/>
                      <w:szCs w:val="21"/>
                    </w:rPr>
                    <w:t>蓄冰热侧水流量调节系统3</w:t>
                  </w:r>
                </w:p>
              </w:tc>
              <w:tc>
                <w:tcPr>
                  <w:tcW w:w="0" w:type="auto"/>
                  <w:vAlign w:val="center"/>
                </w:tcPr>
                <w:p w14:paraId="5281E980">
                  <w:pPr>
                    <w:jc w:val="center"/>
                    <w:rPr>
                      <w:szCs w:val="21"/>
                    </w:rPr>
                  </w:pPr>
                  <w:r>
                    <w:rPr>
                      <w:color w:val="000000"/>
                      <w:kern w:val="0"/>
                      <w:szCs w:val="21"/>
                    </w:rPr>
                    <w:t>水泵、流量阀、流量计、软连接、单向阀（流量0.5~3m³/h）</w:t>
                  </w:r>
                </w:p>
              </w:tc>
              <w:tc>
                <w:tcPr>
                  <w:tcW w:w="0" w:type="auto"/>
                  <w:vAlign w:val="center"/>
                </w:tcPr>
                <w:p w14:paraId="3D50E708">
                  <w:pPr>
                    <w:jc w:val="center"/>
                    <w:rPr>
                      <w:color w:val="000000"/>
                      <w:szCs w:val="21"/>
                    </w:rPr>
                  </w:pPr>
                  <w:r>
                    <w:rPr>
                      <w:color w:val="000000"/>
                      <w:kern w:val="0"/>
                      <w:szCs w:val="21"/>
                    </w:rPr>
                    <w:t>1</w:t>
                  </w:r>
                </w:p>
              </w:tc>
            </w:tr>
            <w:tr w14:paraId="4E0E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0F41F6D">
                  <w:pPr>
                    <w:jc w:val="center"/>
                    <w:rPr>
                      <w:szCs w:val="21"/>
                    </w:rPr>
                  </w:pPr>
                  <w:r>
                    <w:rPr>
                      <w:szCs w:val="21"/>
                    </w:rPr>
                    <w:t>32</w:t>
                  </w:r>
                </w:p>
              </w:tc>
              <w:tc>
                <w:tcPr>
                  <w:tcW w:w="0" w:type="auto"/>
                  <w:vMerge w:val="continue"/>
                  <w:vAlign w:val="center"/>
                </w:tcPr>
                <w:p w14:paraId="506665FF">
                  <w:pPr>
                    <w:jc w:val="center"/>
                    <w:rPr>
                      <w:szCs w:val="21"/>
                    </w:rPr>
                  </w:pPr>
                </w:p>
              </w:tc>
              <w:tc>
                <w:tcPr>
                  <w:tcW w:w="0" w:type="auto"/>
                  <w:vAlign w:val="center"/>
                </w:tcPr>
                <w:p w14:paraId="0363D9D5">
                  <w:pPr>
                    <w:jc w:val="center"/>
                    <w:rPr>
                      <w:szCs w:val="21"/>
                    </w:rPr>
                  </w:pPr>
                  <w:r>
                    <w:rPr>
                      <w:color w:val="000000"/>
                      <w:kern w:val="0"/>
                      <w:szCs w:val="21"/>
                    </w:rPr>
                    <w:t>蓄冰热侧水流量调节系统4</w:t>
                  </w:r>
                </w:p>
              </w:tc>
              <w:tc>
                <w:tcPr>
                  <w:tcW w:w="0" w:type="auto"/>
                  <w:vAlign w:val="center"/>
                </w:tcPr>
                <w:p w14:paraId="28A86CF7">
                  <w:pPr>
                    <w:jc w:val="center"/>
                    <w:rPr>
                      <w:szCs w:val="21"/>
                    </w:rPr>
                  </w:pPr>
                  <w:r>
                    <w:rPr>
                      <w:color w:val="000000"/>
                      <w:kern w:val="0"/>
                      <w:szCs w:val="21"/>
                    </w:rPr>
                    <w:t>水泵、流量阀、流量计、软连接、单向阀（流量5~10m³/h）</w:t>
                  </w:r>
                </w:p>
              </w:tc>
              <w:tc>
                <w:tcPr>
                  <w:tcW w:w="0" w:type="auto"/>
                  <w:vAlign w:val="center"/>
                </w:tcPr>
                <w:p w14:paraId="35B724E2">
                  <w:pPr>
                    <w:jc w:val="center"/>
                    <w:rPr>
                      <w:color w:val="000000"/>
                      <w:szCs w:val="21"/>
                    </w:rPr>
                  </w:pPr>
                  <w:r>
                    <w:rPr>
                      <w:color w:val="000000"/>
                      <w:kern w:val="0"/>
                      <w:szCs w:val="21"/>
                    </w:rPr>
                    <w:t>1</w:t>
                  </w:r>
                </w:p>
              </w:tc>
            </w:tr>
            <w:tr w14:paraId="57D2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047B419">
                  <w:pPr>
                    <w:jc w:val="center"/>
                    <w:rPr>
                      <w:szCs w:val="21"/>
                    </w:rPr>
                  </w:pPr>
                  <w:r>
                    <w:rPr>
                      <w:szCs w:val="21"/>
                    </w:rPr>
                    <w:t>33</w:t>
                  </w:r>
                </w:p>
              </w:tc>
              <w:tc>
                <w:tcPr>
                  <w:tcW w:w="0" w:type="auto"/>
                  <w:vMerge w:val="continue"/>
                  <w:vAlign w:val="center"/>
                </w:tcPr>
                <w:p w14:paraId="49D4E9D0">
                  <w:pPr>
                    <w:jc w:val="center"/>
                    <w:rPr>
                      <w:szCs w:val="21"/>
                    </w:rPr>
                  </w:pPr>
                </w:p>
              </w:tc>
              <w:tc>
                <w:tcPr>
                  <w:tcW w:w="0" w:type="auto"/>
                  <w:vAlign w:val="center"/>
                </w:tcPr>
                <w:p w14:paraId="081ABC63">
                  <w:pPr>
                    <w:jc w:val="center"/>
                    <w:rPr>
                      <w:szCs w:val="21"/>
                    </w:rPr>
                  </w:pPr>
                  <w:r>
                    <w:rPr>
                      <w:color w:val="000000"/>
                      <w:kern w:val="0"/>
                      <w:szCs w:val="21"/>
                    </w:rPr>
                    <w:t>蓄冰冷侧水流量调节系统5</w:t>
                  </w:r>
                </w:p>
              </w:tc>
              <w:tc>
                <w:tcPr>
                  <w:tcW w:w="0" w:type="auto"/>
                  <w:vAlign w:val="center"/>
                </w:tcPr>
                <w:p w14:paraId="04B9E40E">
                  <w:pPr>
                    <w:jc w:val="center"/>
                    <w:rPr>
                      <w:szCs w:val="21"/>
                    </w:rPr>
                  </w:pPr>
                  <w:r>
                    <w:rPr>
                      <w:color w:val="000000"/>
                      <w:kern w:val="0"/>
                      <w:szCs w:val="21"/>
                    </w:rPr>
                    <w:t>水泵、流量阀、流量计、软连接、单向阀（流量0.5~3m³/h）</w:t>
                  </w:r>
                </w:p>
              </w:tc>
              <w:tc>
                <w:tcPr>
                  <w:tcW w:w="0" w:type="auto"/>
                  <w:vAlign w:val="center"/>
                </w:tcPr>
                <w:p w14:paraId="32433847">
                  <w:pPr>
                    <w:jc w:val="center"/>
                    <w:rPr>
                      <w:color w:val="000000"/>
                      <w:szCs w:val="21"/>
                    </w:rPr>
                  </w:pPr>
                  <w:r>
                    <w:rPr>
                      <w:color w:val="000000"/>
                      <w:kern w:val="0"/>
                      <w:szCs w:val="21"/>
                    </w:rPr>
                    <w:t>1</w:t>
                  </w:r>
                </w:p>
              </w:tc>
            </w:tr>
            <w:tr w14:paraId="699D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0AAE563">
                  <w:pPr>
                    <w:jc w:val="center"/>
                    <w:rPr>
                      <w:szCs w:val="21"/>
                    </w:rPr>
                  </w:pPr>
                  <w:r>
                    <w:rPr>
                      <w:szCs w:val="21"/>
                    </w:rPr>
                    <w:t>34</w:t>
                  </w:r>
                </w:p>
              </w:tc>
              <w:tc>
                <w:tcPr>
                  <w:tcW w:w="0" w:type="auto"/>
                  <w:vMerge w:val="continue"/>
                  <w:vAlign w:val="center"/>
                </w:tcPr>
                <w:p w14:paraId="072EB08E">
                  <w:pPr>
                    <w:jc w:val="center"/>
                    <w:rPr>
                      <w:szCs w:val="21"/>
                    </w:rPr>
                  </w:pPr>
                </w:p>
              </w:tc>
              <w:tc>
                <w:tcPr>
                  <w:tcW w:w="0" w:type="auto"/>
                  <w:vAlign w:val="center"/>
                </w:tcPr>
                <w:p w14:paraId="2537E3CC">
                  <w:pPr>
                    <w:jc w:val="center"/>
                    <w:rPr>
                      <w:szCs w:val="21"/>
                    </w:rPr>
                  </w:pPr>
                  <w:r>
                    <w:rPr>
                      <w:color w:val="000000"/>
                      <w:kern w:val="0"/>
                      <w:szCs w:val="21"/>
                    </w:rPr>
                    <w:t>蓄冰冷侧水流量调节系统6</w:t>
                  </w:r>
                </w:p>
              </w:tc>
              <w:tc>
                <w:tcPr>
                  <w:tcW w:w="0" w:type="auto"/>
                  <w:vAlign w:val="center"/>
                </w:tcPr>
                <w:p w14:paraId="6C2AC307">
                  <w:pPr>
                    <w:jc w:val="center"/>
                    <w:rPr>
                      <w:szCs w:val="21"/>
                    </w:rPr>
                  </w:pPr>
                  <w:r>
                    <w:rPr>
                      <w:color w:val="000000"/>
                      <w:kern w:val="0"/>
                      <w:szCs w:val="21"/>
                    </w:rPr>
                    <w:t>水泵、流量阀、流量计、软连接、单向阀（流量5~15m³/h）</w:t>
                  </w:r>
                </w:p>
              </w:tc>
              <w:tc>
                <w:tcPr>
                  <w:tcW w:w="0" w:type="auto"/>
                  <w:vAlign w:val="center"/>
                </w:tcPr>
                <w:p w14:paraId="7E2EEF3E">
                  <w:pPr>
                    <w:jc w:val="center"/>
                    <w:rPr>
                      <w:color w:val="000000"/>
                      <w:szCs w:val="21"/>
                    </w:rPr>
                  </w:pPr>
                  <w:r>
                    <w:rPr>
                      <w:color w:val="000000"/>
                      <w:kern w:val="0"/>
                      <w:szCs w:val="21"/>
                    </w:rPr>
                    <w:t>1</w:t>
                  </w:r>
                </w:p>
              </w:tc>
            </w:tr>
            <w:tr w14:paraId="44BB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2F2BD7A">
                  <w:pPr>
                    <w:jc w:val="center"/>
                    <w:rPr>
                      <w:szCs w:val="21"/>
                    </w:rPr>
                  </w:pPr>
                  <w:r>
                    <w:rPr>
                      <w:szCs w:val="21"/>
                    </w:rPr>
                    <w:t>35</w:t>
                  </w:r>
                </w:p>
              </w:tc>
              <w:tc>
                <w:tcPr>
                  <w:tcW w:w="0" w:type="auto"/>
                  <w:vMerge w:val="continue"/>
                  <w:vAlign w:val="center"/>
                </w:tcPr>
                <w:p w14:paraId="555BB966">
                  <w:pPr>
                    <w:jc w:val="center"/>
                    <w:rPr>
                      <w:szCs w:val="21"/>
                    </w:rPr>
                  </w:pPr>
                </w:p>
              </w:tc>
              <w:tc>
                <w:tcPr>
                  <w:tcW w:w="0" w:type="auto"/>
                  <w:vAlign w:val="center"/>
                </w:tcPr>
                <w:p w14:paraId="3AE47438">
                  <w:pPr>
                    <w:jc w:val="center"/>
                    <w:rPr>
                      <w:szCs w:val="21"/>
                    </w:rPr>
                  </w:pPr>
                  <w:r>
                    <w:rPr>
                      <w:color w:val="000000"/>
                      <w:kern w:val="0"/>
                      <w:szCs w:val="21"/>
                    </w:rPr>
                    <w:t>比例三通阀</w:t>
                  </w:r>
                </w:p>
              </w:tc>
              <w:tc>
                <w:tcPr>
                  <w:tcW w:w="0" w:type="auto"/>
                  <w:vAlign w:val="center"/>
                </w:tcPr>
                <w:p w14:paraId="694B4CFA">
                  <w:pPr>
                    <w:jc w:val="center"/>
                    <w:rPr>
                      <w:szCs w:val="21"/>
                    </w:rPr>
                  </w:pPr>
                  <w:r>
                    <w:rPr>
                      <w:color w:val="000000"/>
                      <w:kern w:val="0"/>
                      <w:szCs w:val="21"/>
                    </w:rPr>
                    <w:t>DN50</w:t>
                  </w:r>
                </w:p>
              </w:tc>
              <w:tc>
                <w:tcPr>
                  <w:tcW w:w="0" w:type="auto"/>
                  <w:vAlign w:val="center"/>
                </w:tcPr>
                <w:p w14:paraId="6DBB47B7">
                  <w:pPr>
                    <w:jc w:val="center"/>
                    <w:rPr>
                      <w:color w:val="000000"/>
                      <w:szCs w:val="21"/>
                    </w:rPr>
                  </w:pPr>
                  <w:r>
                    <w:rPr>
                      <w:color w:val="000000"/>
                      <w:kern w:val="0"/>
                      <w:szCs w:val="21"/>
                    </w:rPr>
                    <w:t>2</w:t>
                  </w:r>
                </w:p>
              </w:tc>
            </w:tr>
            <w:tr w14:paraId="5C4A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4FA8888">
                  <w:pPr>
                    <w:jc w:val="center"/>
                    <w:rPr>
                      <w:szCs w:val="21"/>
                    </w:rPr>
                  </w:pPr>
                  <w:r>
                    <w:rPr>
                      <w:szCs w:val="21"/>
                    </w:rPr>
                    <w:t>36</w:t>
                  </w:r>
                </w:p>
              </w:tc>
              <w:tc>
                <w:tcPr>
                  <w:tcW w:w="0" w:type="auto"/>
                  <w:vMerge w:val="continue"/>
                  <w:vAlign w:val="center"/>
                </w:tcPr>
                <w:p w14:paraId="3A549948">
                  <w:pPr>
                    <w:jc w:val="center"/>
                    <w:rPr>
                      <w:szCs w:val="21"/>
                    </w:rPr>
                  </w:pPr>
                </w:p>
              </w:tc>
              <w:tc>
                <w:tcPr>
                  <w:tcW w:w="0" w:type="auto"/>
                  <w:vAlign w:val="center"/>
                </w:tcPr>
                <w:p w14:paraId="5A892AC2">
                  <w:pPr>
                    <w:jc w:val="center"/>
                    <w:rPr>
                      <w:szCs w:val="21"/>
                    </w:rPr>
                  </w:pPr>
                  <w:r>
                    <w:rPr>
                      <w:color w:val="000000"/>
                      <w:kern w:val="0"/>
                      <w:szCs w:val="21"/>
                    </w:rPr>
                    <w:t>比例三通阀</w:t>
                  </w:r>
                </w:p>
              </w:tc>
              <w:tc>
                <w:tcPr>
                  <w:tcW w:w="0" w:type="auto"/>
                  <w:vAlign w:val="center"/>
                </w:tcPr>
                <w:p w14:paraId="5B3A38E1">
                  <w:pPr>
                    <w:jc w:val="center"/>
                    <w:rPr>
                      <w:szCs w:val="21"/>
                    </w:rPr>
                  </w:pPr>
                  <w:r>
                    <w:rPr>
                      <w:color w:val="000000"/>
                      <w:kern w:val="0"/>
                      <w:szCs w:val="21"/>
                    </w:rPr>
                    <w:t>DN65</w:t>
                  </w:r>
                </w:p>
              </w:tc>
              <w:tc>
                <w:tcPr>
                  <w:tcW w:w="0" w:type="auto"/>
                  <w:vAlign w:val="center"/>
                </w:tcPr>
                <w:p w14:paraId="4AEC0A0E">
                  <w:pPr>
                    <w:jc w:val="center"/>
                    <w:rPr>
                      <w:color w:val="000000"/>
                      <w:szCs w:val="21"/>
                    </w:rPr>
                  </w:pPr>
                  <w:r>
                    <w:rPr>
                      <w:color w:val="000000"/>
                      <w:kern w:val="0"/>
                      <w:szCs w:val="21"/>
                    </w:rPr>
                    <w:t>1</w:t>
                  </w:r>
                </w:p>
              </w:tc>
            </w:tr>
            <w:tr w14:paraId="3CD9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66FD356">
                  <w:pPr>
                    <w:jc w:val="center"/>
                    <w:rPr>
                      <w:szCs w:val="21"/>
                    </w:rPr>
                  </w:pPr>
                  <w:r>
                    <w:rPr>
                      <w:szCs w:val="21"/>
                    </w:rPr>
                    <w:t>37</w:t>
                  </w:r>
                </w:p>
              </w:tc>
              <w:tc>
                <w:tcPr>
                  <w:tcW w:w="0" w:type="auto"/>
                  <w:vMerge w:val="continue"/>
                  <w:vAlign w:val="center"/>
                </w:tcPr>
                <w:p w14:paraId="0B0B3089">
                  <w:pPr>
                    <w:jc w:val="center"/>
                    <w:rPr>
                      <w:szCs w:val="21"/>
                    </w:rPr>
                  </w:pPr>
                </w:p>
              </w:tc>
              <w:tc>
                <w:tcPr>
                  <w:tcW w:w="0" w:type="auto"/>
                  <w:vAlign w:val="center"/>
                </w:tcPr>
                <w:p w14:paraId="4751A447">
                  <w:pPr>
                    <w:jc w:val="center"/>
                    <w:rPr>
                      <w:szCs w:val="21"/>
                    </w:rPr>
                  </w:pPr>
                  <w:r>
                    <w:rPr>
                      <w:color w:val="000000"/>
                      <w:kern w:val="0"/>
                      <w:szCs w:val="21"/>
                    </w:rPr>
                    <w:t>热水箱</w:t>
                  </w:r>
                </w:p>
              </w:tc>
              <w:tc>
                <w:tcPr>
                  <w:tcW w:w="0" w:type="auto"/>
                  <w:vAlign w:val="center"/>
                </w:tcPr>
                <w:p w14:paraId="22180D97">
                  <w:pPr>
                    <w:jc w:val="center"/>
                    <w:rPr>
                      <w:szCs w:val="21"/>
                    </w:rPr>
                  </w:pPr>
                  <w:r>
                    <w:rPr>
                      <w:color w:val="000000"/>
                      <w:kern w:val="0"/>
                      <w:szCs w:val="21"/>
                    </w:rPr>
                    <w:t>500L 带液位</w:t>
                  </w:r>
                </w:p>
              </w:tc>
              <w:tc>
                <w:tcPr>
                  <w:tcW w:w="0" w:type="auto"/>
                  <w:vAlign w:val="center"/>
                </w:tcPr>
                <w:p w14:paraId="6EC2A8F9">
                  <w:pPr>
                    <w:jc w:val="center"/>
                    <w:rPr>
                      <w:color w:val="000000"/>
                      <w:szCs w:val="21"/>
                    </w:rPr>
                  </w:pPr>
                  <w:r>
                    <w:rPr>
                      <w:color w:val="000000"/>
                      <w:kern w:val="0"/>
                      <w:szCs w:val="21"/>
                    </w:rPr>
                    <w:t>1</w:t>
                  </w:r>
                </w:p>
              </w:tc>
            </w:tr>
            <w:tr w14:paraId="7467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2FD937E">
                  <w:pPr>
                    <w:jc w:val="center"/>
                    <w:rPr>
                      <w:szCs w:val="21"/>
                    </w:rPr>
                  </w:pPr>
                  <w:r>
                    <w:rPr>
                      <w:rFonts w:eastAsia="等线"/>
                      <w:color w:val="000000"/>
                      <w:szCs w:val="21"/>
                    </w:rPr>
                    <w:t>38</w:t>
                  </w:r>
                </w:p>
              </w:tc>
              <w:tc>
                <w:tcPr>
                  <w:tcW w:w="0" w:type="auto"/>
                  <w:vMerge w:val="continue"/>
                  <w:vAlign w:val="center"/>
                </w:tcPr>
                <w:p w14:paraId="351025FC">
                  <w:pPr>
                    <w:jc w:val="center"/>
                    <w:rPr>
                      <w:szCs w:val="21"/>
                    </w:rPr>
                  </w:pPr>
                </w:p>
              </w:tc>
              <w:tc>
                <w:tcPr>
                  <w:tcW w:w="0" w:type="auto"/>
                  <w:vAlign w:val="center"/>
                </w:tcPr>
                <w:p w14:paraId="478E0CE3">
                  <w:pPr>
                    <w:jc w:val="center"/>
                    <w:rPr>
                      <w:szCs w:val="21"/>
                    </w:rPr>
                  </w:pPr>
                  <w:r>
                    <w:rPr>
                      <w:color w:val="000000"/>
                      <w:kern w:val="0"/>
                      <w:szCs w:val="21"/>
                    </w:rPr>
                    <w:t>缓冲水箱</w:t>
                  </w:r>
                </w:p>
              </w:tc>
              <w:tc>
                <w:tcPr>
                  <w:tcW w:w="0" w:type="auto"/>
                  <w:vAlign w:val="center"/>
                </w:tcPr>
                <w:p w14:paraId="2F914039">
                  <w:pPr>
                    <w:jc w:val="center"/>
                    <w:rPr>
                      <w:szCs w:val="21"/>
                    </w:rPr>
                  </w:pPr>
                  <w:r>
                    <w:rPr>
                      <w:color w:val="000000"/>
                      <w:kern w:val="0"/>
                      <w:szCs w:val="21"/>
                    </w:rPr>
                    <w:t>500L 带液位</w:t>
                  </w:r>
                </w:p>
              </w:tc>
              <w:tc>
                <w:tcPr>
                  <w:tcW w:w="0" w:type="auto"/>
                  <w:vAlign w:val="center"/>
                </w:tcPr>
                <w:p w14:paraId="74D3977A">
                  <w:pPr>
                    <w:jc w:val="center"/>
                    <w:rPr>
                      <w:color w:val="000000"/>
                      <w:szCs w:val="21"/>
                    </w:rPr>
                  </w:pPr>
                  <w:r>
                    <w:rPr>
                      <w:color w:val="000000"/>
                      <w:kern w:val="0"/>
                      <w:szCs w:val="21"/>
                    </w:rPr>
                    <w:t>2</w:t>
                  </w:r>
                </w:p>
              </w:tc>
            </w:tr>
            <w:tr w14:paraId="4BC5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62FB95F">
                  <w:pPr>
                    <w:jc w:val="center"/>
                    <w:rPr>
                      <w:szCs w:val="21"/>
                    </w:rPr>
                  </w:pPr>
                  <w:r>
                    <w:rPr>
                      <w:rFonts w:eastAsia="等线"/>
                      <w:color w:val="000000"/>
                      <w:szCs w:val="21"/>
                    </w:rPr>
                    <w:t>39</w:t>
                  </w:r>
                </w:p>
              </w:tc>
              <w:tc>
                <w:tcPr>
                  <w:tcW w:w="0" w:type="auto"/>
                  <w:vMerge w:val="continue"/>
                  <w:vAlign w:val="center"/>
                </w:tcPr>
                <w:p w14:paraId="1FE76FC5">
                  <w:pPr>
                    <w:jc w:val="center"/>
                    <w:rPr>
                      <w:szCs w:val="21"/>
                    </w:rPr>
                  </w:pPr>
                </w:p>
              </w:tc>
              <w:tc>
                <w:tcPr>
                  <w:tcW w:w="0" w:type="auto"/>
                  <w:vAlign w:val="center"/>
                </w:tcPr>
                <w:p w14:paraId="0CB78E98">
                  <w:pPr>
                    <w:jc w:val="center"/>
                    <w:rPr>
                      <w:szCs w:val="21"/>
                    </w:rPr>
                  </w:pPr>
                  <w:r>
                    <w:rPr>
                      <w:color w:val="000000"/>
                      <w:kern w:val="0"/>
                      <w:szCs w:val="21"/>
                    </w:rPr>
                    <w:t>冰浆槽+融冰池</w:t>
                  </w:r>
                </w:p>
              </w:tc>
              <w:tc>
                <w:tcPr>
                  <w:tcW w:w="0" w:type="auto"/>
                  <w:vAlign w:val="center"/>
                </w:tcPr>
                <w:p w14:paraId="78E60F45">
                  <w:pPr>
                    <w:jc w:val="center"/>
                    <w:rPr>
                      <w:szCs w:val="21"/>
                    </w:rPr>
                  </w:pPr>
                  <w:r>
                    <w:rPr>
                      <w:color w:val="000000"/>
                      <w:kern w:val="0"/>
                      <w:szCs w:val="21"/>
                    </w:rPr>
                    <w:t>500L</w:t>
                  </w:r>
                </w:p>
              </w:tc>
              <w:tc>
                <w:tcPr>
                  <w:tcW w:w="0" w:type="auto"/>
                  <w:vAlign w:val="center"/>
                </w:tcPr>
                <w:p w14:paraId="5C5F36C8">
                  <w:pPr>
                    <w:jc w:val="center"/>
                    <w:rPr>
                      <w:color w:val="000000"/>
                      <w:szCs w:val="21"/>
                    </w:rPr>
                  </w:pPr>
                  <w:r>
                    <w:rPr>
                      <w:color w:val="000000"/>
                      <w:kern w:val="0"/>
                      <w:szCs w:val="21"/>
                    </w:rPr>
                    <w:t>1</w:t>
                  </w:r>
                </w:p>
              </w:tc>
            </w:tr>
            <w:tr w14:paraId="2DF4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F62B4BB">
                  <w:pPr>
                    <w:jc w:val="center"/>
                    <w:rPr>
                      <w:szCs w:val="21"/>
                    </w:rPr>
                  </w:pPr>
                  <w:r>
                    <w:rPr>
                      <w:rFonts w:eastAsia="等线"/>
                      <w:color w:val="000000"/>
                      <w:szCs w:val="21"/>
                    </w:rPr>
                    <w:t>40</w:t>
                  </w:r>
                </w:p>
              </w:tc>
              <w:tc>
                <w:tcPr>
                  <w:tcW w:w="0" w:type="auto"/>
                  <w:vMerge w:val="continue"/>
                  <w:vAlign w:val="center"/>
                </w:tcPr>
                <w:p w14:paraId="78BC2DE4">
                  <w:pPr>
                    <w:jc w:val="center"/>
                    <w:rPr>
                      <w:szCs w:val="21"/>
                    </w:rPr>
                  </w:pPr>
                </w:p>
              </w:tc>
              <w:tc>
                <w:tcPr>
                  <w:tcW w:w="0" w:type="auto"/>
                  <w:vAlign w:val="center"/>
                </w:tcPr>
                <w:p w14:paraId="66397A5D">
                  <w:pPr>
                    <w:jc w:val="center"/>
                    <w:rPr>
                      <w:szCs w:val="21"/>
                    </w:rPr>
                  </w:pPr>
                  <w:r>
                    <w:rPr>
                      <w:color w:val="000000"/>
                      <w:kern w:val="0"/>
                      <w:szCs w:val="21"/>
                    </w:rPr>
                    <w:t>温度传感器</w:t>
                  </w:r>
                </w:p>
              </w:tc>
              <w:tc>
                <w:tcPr>
                  <w:tcW w:w="0" w:type="auto"/>
                  <w:vAlign w:val="center"/>
                </w:tcPr>
                <w:p w14:paraId="46182969">
                  <w:pPr>
                    <w:jc w:val="center"/>
                    <w:rPr>
                      <w:szCs w:val="21"/>
                    </w:rPr>
                  </w:pPr>
                  <w:r>
                    <w:rPr>
                      <w:color w:val="000000"/>
                      <w:kern w:val="0"/>
                      <w:szCs w:val="21"/>
                    </w:rPr>
                    <w:t>量程-40~100℃ 信号4~20mA</w:t>
                  </w:r>
                </w:p>
              </w:tc>
              <w:tc>
                <w:tcPr>
                  <w:tcW w:w="0" w:type="auto"/>
                  <w:vAlign w:val="center"/>
                </w:tcPr>
                <w:p w14:paraId="2A237962">
                  <w:pPr>
                    <w:jc w:val="center"/>
                    <w:rPr>
                      <w:color w:val="000000"/>
                      <w:szCs w:val="21"/>
                    </w:rPr>
                  </w:pPr>
                  <w:r>
                    <w:rPr>
                      <w:color w:val="000000"/>
                      <w:kern w:val="0"/>
                      <w:szCs w:val="21"/>
                    </w:rPr>
                    <w:t>10</w:t>
                  </w:r>
                </w:p>
              </w:tc>
            </w:tr>
            <w:tr w14:paraId="5350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2AA5876">
                  <w:pPr>
                    <w:jc w:val="center"/>
                    <w:rPr>
                      <w:szCs w:val="21"/>
                    </w:rPr>
                  </w:pPr>
                  <w:r>
                    <w:rPr>
                      <w:rFonts w:eastAsia="等线"/>
                      <w:color w:val="000000"/>
                      <w:szCs w:val="21"/>
                    </w:rPr>
                    <w:t>41</w:t>
                  </w:r>
                </w:p>
              </w:tc>
              <w:tc>
                <w:tcPr>
                  <w:tcW w:w="0" w:type="auto"/>
                  <w:vMerge w:val="continue"/>
                  <w:vAlign w:val="center"/>
                </w:tcPr>
                <w:p w14:paraId="0C108DBF">
                  <w:pPr>
                    <w:jc w:val="center"/>
                    <w:rPr>
                      <w:szCs w:val="21"/>
                    </w:rPr>
                  </w:pPr>
                </w:p>
              </w:tc>
              <w:tc>
                <w:tcPr>
                  <w:tcW w:w="0" w:type="auto"/>
                  <w:vAlign w:val="center"/>
                </w:tcPr>
                <w:p w14:paraId="721A9AFF">
                  <w:pPr>
                    <w:jc w:val="center"/>
                    <w:rPr>
                      <w:szCs w:val="21"/>
                    </w:rPr>
                  </w:pPr>
                  <w:r>
                    <w:rPr>
                      <w:color w:val="000000"/>
                      <w:kern w:val="0"/>
                      <w:szCs w:val="21"/>
                    </w:rPr>
                    <w:t>自动排气阀</w:t>
                  </w:r>
                </w:p>
              </w:tc>
              <w:tc>
                <w:tcPr>
                  <w:tcW w:w="0" w:type="auto"/>
                  <w:vAlign w:val="center"/>
                </w:tcPr>
                <w:p w14:paraId="01B914D6">
                  <w:pPr>
                    <w:jc w:val="center"/>
                    <w:rPr>
                      <w:szCs w:val="21"/>
                    </w:rPr>
                  </w:pPr>
                  <w:r>
                    <w:rPr>
                      <w:color w:val="000000"/>
                      <w:kern w:val="0"/>
                      <w:szCs w:val="21"/>
                    </w:rPr>
                    <w:t>DN15</w:t>
                  </w:r>
                </w:p>
              </w:tc>
              <w:tc>
                <w:tcPr>
                  <w:tcW w:w="0" w:type="auto"/>
                  <w:vAlign w:val="center"/>
                </w:tcPr>
                <w:p w14:paraId="0B54E7E2">
                  <w:pPr>
                    <w:jc w:val="center"/>
                    <w:rPr>
                      <w:color w:val="000000"/>
                      <w:szCs w:val="21"/>
                    </w:rPr>
                  </w:pPr>
                  <w:r>
                    <w:rPr>
                      <w:color w:val="000000"/>
                      <w:kern w:val="0"/>
                      <w:szCs w:val="21"/>
                    </w:rPr>
                    <w:t>1</w:t>
                  </w:r>
                </w:p>
              </w:tc>
            </w:tr>
            <w:tr w14:paraId="58A1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53FAAC5">
                  <w:pPr>
                    <w:jc w:val="center"/>
                    <w:rPr>
                      <w:szCs w:val="21"/>
                    </w:rPr>
                  </w:pPr>
                  <w:r>
                    <w:rPr>
                      <w:rFonts w:eastAsia="等线"/>
                      <w:color w:val="000000"/>
                      <w:szCs w:val="21"/>
                    </w:rPr>
                    <w:t>42</w:t>
                  </w:r>
                </w:p>
              </w:tc>
              <w:tc>
                <w:tcPr>
                  <w:tcW w:w="0" w:type="auto"/>
                  <w:vMerge w:val="continue"/>
                  <w:vAlign w:val="center"/>
                </w:tcPr>
                <w:p w14:paraId="568743B9">
                  <w:pPr>
                    <w:jc w:val="center"/>
                    <w:rPr>
                      <w:szCs w:val="21"/>
                    </w:rPr>
                  </w:pPr>
                </w:p>
              </w:tc>
              <w:tc>
                <w:tcPr>
                  <w:tcW w:w="0" w:type="auto"/>
                  <w:vAlign w:val="center"/>
                </w:tcPr>
                <w:p w14:paraId="1E3DE939">
                  <w:pPr>
                    <w:jc w:val="center"/>
                    <w:rPr>
                      <w:szCs w:val="21"/>
                    </w:rPr>
                  </w:pPr>
                  <w:r>
                    <w:rPr>
                      <w:color w:val="000000"/>
                      <w:kern w:val="0"/>
                      <w:szCs w:val="21"/>
                    </w:rPr>
                    <w:t>手动球阀</w:t>
                  </w:r>
                </w:p>
              </w:tc>
              <w:tc>
                <w:tcPr>
                  <w:tcW w:w="0" w:type="auto"/>
                  <w:vAlign w:val="center"/>
                </w:tcPr>
                <w:p w14:paraId="48290174">
                  <w:pPr>
                    <w:jc w:val="center"/>
                    <w:rPr>
                      <w:szCs w:val="21"/>
                    </w:rPr>
                  </w:pPr>
                  <w:r>
                    <w:rPr>
                      <w:color w:val="000000"/>
                      <w:kern w:val="0"/>
                      <w:szCs w:val="21"/>
                    </w:rPr>
                    <w:t>DN50</w:t>
                  </w:r>
                </w:p>
              </w:tc>
              <w:tc>
                <w:tcPr>
                  <w:tcW w:w="0" w:type="auto"/>
                  <w:vAlign w:val="center"/>
                </w:tcPr>
                <w:p w14:paraId="1FD8BB9B">
                  <w:pPr>
                    <w:jc w:val="center"/>
                    <w:rPr>
                      <w:color w:val="000000"/>
                      <w:szCs w:val="21"/>
                    </w:rPr>
                  </w:pPr>
                  <w:r>
                    <w:rPr>
                      <w:color w:val="000000"/>
                      <w:kern w:val="0"/>
                      <w:szCs w:val="21"/>
                    </w:rPr>
                    <w:t>1</w:t>
                  </w:r>
                </w:p>
              </w:tc>
            </w:tr>
            <w:tr w14:paraId="5845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F016C8B">
                  <w:pPr>
                    <w:jc w:val="center"/>
                    <w:rPr>
                      <w:szCs w:val="21"/>
                    </w:rPr>
                  </w:pPr>
                  <w:r>
                    <w:rPr>
                      <w:rFonts w:eastAsia="等线"/>
                      <w:color w:val="000000"/>
                      <w:szCs w:val="21"/>
                    </w:rPr>
                    <w:t>43</w:t>
                  </w:r>
                </w:p>
              </w:tc>
              <w:tc>
                <w:tcPr>
                  <w:tcW w:w="0" w:type="auto"/>
                  <w:vMerge w:val="continue"/>
                  <w:vAlign w:val="center"/>
                </w:tcPr>
                <w:p w14:paraId="14ADD416">
                  <w:pPr>
                    <w:jc w:val="center"/>
                    <w:rPr>
                      <w:szCs w:val="21"/>
                    </w:rPr>
                  </w:pPr>
                </w:p>
              </w:tc>
              <w:tc>
                <w:tcPr>
                  <w:tcW w:w="0" w:type="auto"/>
                  <w:vAlign w:val="center"/>
                </w:tcPr>
                <w:p w14:paraId="6BADFD52">
                  <w:pPr>
                    <w:jc w:val="center"/>
                    <w:rPr>
                      <w:szCs w:val="21"/>
                    </w:rPr>
                  </w:pPr>
                  <w:r>
                    <w:rPr>
                      <w:color w:val="000000"/>
                      <w:kern w:val="0"/>
                      <w:szCs w:val="21"/>
                    </w:rPr>
                    <w:t>手动球阀</w:t>
                  </w:r>
                </w:p>
              </w:tc>
              <w:tc>
                <w:tcPr>
                  <w:tcW w:w="0" w:type="auto"/>
                  <w:vAlign w:val="center"/>
                </w:tcPr>
                <w:p w14:paraId="0CDC2EE0">
                  <w:pPr>
                    <w:jc w:val="center"/>
                    <w:rPr>
                      <w:szCs w:val="21"/>
                    </w:rPr>
                  </w:pPr>
                  <w:r>
                    <w:rPr>
                      <w:color w:val="000000"/>
                      <w:kern w:val="0"/>
                      <w:szCs w:val="21"/>
                    </w:rPr>
                    <w:t>DN40</w:t>
                  </w:r>
                </w:p>
              </w:tc>
              <w:tc>
                <w:tcPr>
                  <w:tcW w:w="0" w:type="auto"/>
                  <w:vAlign w:val="center"/>
                </w:tcPr>
                <w:p w14:paraId="50BF5C51">
                  <w:pPr>
                    <w:jc w:val="center"/>
                    <w:rPr>
                      <w:color w:val="000000"/>
                      <w:szCs w:val="21"/>
                    </w:rPr>
                  </w:pPr>
                  <w:r>
                    <w:rPr>
                      <w:color w:val="000000"/>
                      <w:kern w:val="0"/>
                      <w:szCs w:val="21"/>
                    </w:rPr>
                    <w:t>4</w:t>
                  </w:r>
                </w:p>
              </w:tc>
            </w:tr>
            <w:tr w14:paraId="5397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42FB119">
                  <w:pPr>
                    <w:jc w:val="center"/>
                    <w:rPr>
                      <w:szCs w:val="21"/>
                    </w:rPr>
                  </w:pPr>
                  <w:r>
                    <w:rPr>
                      <w:rFonts w:eastAsia="等线"/>
                      <w:color w:val="000000"/>
                      <w:szCs w:val="21"/>
                    </w:rPr>
                    <w:t>44</w:t>
                  </w:r>
                </w:p>
              </w:tc>
              <w:tc>
                <w:tcPr>
                  <w:tcW w:w="0" w:type="auto"/>
                  <w:vMerge w:val="continue"/>
                  <w:vAlign w:val="center"/>
                </w:tcPr>
                <w:p w14:paraId="24A9D97C">
                  <w:pPr>
                    <w:jc w:val="center"/>
                    <w:rPr>
                      <w:szCs w:val="21"/>
                    </w:rPr>
                  </w:pPr>
                </w:p>
              </w:tc>
              <w:tc>
                <w:tcPr>
                  <w:tcW w:w="0" w:type="auto"/>
                  <w:vAlign w:val="center"/>
                </w:tcPr>
                <w:p w14:paraId="230935E0">
                  <w:pPr>
                    <w:jc w:val="center"/>
                    <w:rPr>
                      <w:szCs w:val="21"/>
                    </w:rPr>
                  </w:pPr>
                  <w:r>
                    <w:rPr>
                      <w:color w:val="000000"/>
                      <w:kern w:val="0"/>
                      <w:szCs w:val="21"/>
                    </w:rPr>
                    <w:t>手动球阀</w:t>
                  </w:r>
                </w:p>
              </w:tc>
              <w:tc>
                <w:tcPr>
                  <w:tcW w:w="0" w:type="auto"/>
                  <w:vAlign w:val="center"/>
                </w:tcPr>
                <w:p w14:paraId="3364A552">
                  <w:pPr>
                    <w:jc w:val="center"/>
                    <w:rPr>
                      <w:szCs w:val="21"/>
                    </w:rPr>
                  </w:pPr>
                  <w:r>
                    <w:rPr>
                      <w:color w:val="000000"/>
                      <w:kern w:val="0"/>
                      <w:szCs w:val="21"/>
                    </w:rPr>
                    <w:t>DN15</w:t>
                  </w:r>
                </w:p>
              </w:tc>
              <w:tc>
                <w:tcPr>
                  <w:tcW w:w="0" w:type="auto"/>
                  <w:vAlign w:val="center"/>
                </w:tcPr>
                <w:p w14:paraId="71BF511D">
                  <w:pPr>
                    <w:jc w:val="center"/>
                    <w:rPr>
                      <w:color w:val="000000"/>
                      <w:szCs w:val="21"/>
                    </w:rPr>
                  </w:pPr>
                  <w:r>
                    <w:rPr>
                      <w:color w:val="000000"/>
                      <w:kern w:val="0"/>
                      <w:szCs w:val="21"/>
                    </w:rPr>
                    <w:t>1</w:t>
                  </w:r>
                </w:p>
              </w:tc>
            </w:tr>
            <w:tr w14:paraId="335F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8DBD492">
                  <w:pPr>
                    <w:jc w:val="center"/>
                    <w:rPr>
                      <w:szCs w:val="21"/>
                    </w:rPr>
                  </w:pPr>
                  <w:r>
                    <w:rPr>
                      <w:rFonts w:eastAsia="等线"/>
                      <w:color w:val="000000"/>
                      <w:szCs w:val="21"/>
                    </w:rPr>
                    <w:t>45</w:t>
                  </w:r>
                </w:p>
              </w:tc>
              <w:tc>
                <w:tcPr>
                  <w:tcW w:w="0" w:type="auto"/>
                  <w:vMerge w:val="continue"/>
                  <w:vAlign w:val="center"/>
                </w:tcPr>
                <w:p w14:paraId="7476A8FF">
                  <w:pPr>
                    <w:jc w:val="center"/>
                    <w:rPr>
                      <w:szCs w:val="21"/>
                    </w:rPr>
                  </w:pPr>
                </w:p>
              </w:tc>
              <w:tc>
                <w:tcPr>
                  <w:tcW w:w="0" w:type="auto"/>
                  <w:vAlign w:val="center"/>
                </w:tcPr>
                <w:p w14:paraId="073E352D">
                  <w:pPr>
                    <w:jc w:val="center"/>
                    <w:rPr>
                      <w:szCs w:val="21"/>
                    </w:rPr>
                  </w:pPr>
                  <w:r>
                    <w:rPr>
                      <w:color w:val="000000"/>
                      <w:kern w:val="0"/>
                      <w:szCs w:val="21"/>
                    </w:rPr>
                    <w:t>电磁二通阀</w:t>
                  </w:r>
                </w:p>
              </w:tc>
              <w:tc>
                <w:tcPr>
                  <w:tcW w:w="0" w:type="auto"/>
                  <w:vAlign w:val="center"/>
                </w:tcPr>
                <w:p w14:paraId="788AC09B">
                  <w:pPr>
                    <w:jc w:val="center"/>
                    <w:rPr>
                      <w:szCs w:val="21"/>
                    </w:rPr>
                  </w:pPr>
                  <w:r>
                    <w:rPr>
                      <w:color w:val="000000"/>
                      <w:kern w:val="0"/>
                      <w:szCs w:val="21"/>
                    </w:rPr>
                    <w:t>DN32</w:t>
                  </w:r>
                </w:p>
              </w:tc>
              <w:tc>
                <w:tcPr>
                  <w:tcW w:w="0" w:type="auto"/>
                  <w:vAlign w:val="center"/>
                </w:tcPr>
                <w:p w14:paraId="2DC9D793">
                  <w:pPr>
                    <w:jc w:val="center"/>
                    <w:rPr>
                      <w:color w:val="000000"/>
                      <w:szCs w:val="21"/>
                    </w:rPr>
                  </w:pPr>
                  <w:r>
                    <w:rPr>
                      <w:color w:val="000000"/>
                      <w:kern w:val="0"/>
                      <w:szCs w:val="21"/>
                    </w:rPr>
                    <w:t>2</w:t>
                  </w:r>
                </w:p>
              </w:tc>
            </w:tr>
            <w:tr w14:paraId="60E5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03E5E08">
                  <w:pPr>
                    <w:jc w:val="center"/>
                    <w:rPr>
                      <w:szCs w:val="21"/>
                    </w:rPr>
                  </w:pPr>
                  <w:r>
                    <w:rPr>
                      <w:rFonts w:eastAsia="等线"/>
                      <w:color w:val="000000"/>
                      <w:szCs w:val="21"/>
                    </w:rPr>
                    <w:t>46</w:t>
                  </w:r>
                </w:p>
              </w:tc>
              <w:tc>
                <w:tcPr>
                  <w:tcW w:w="0" w:type="auto"/>
                  <w:vMerge w:val="restart"/>
                  <w:vAlign w:val="center"/>
                </w:tcPr>
                <w:p w14:paraId="13AA15FA">
                  <w:pPr>
                    <w:jc w:val="center"/>
                    <w:rPr>
                      <w:szCs w:val="21"/>
                    </w:rPr>
                  </w:pPr>
                  <w:r>
                    <w:rPr>
                      <w:szCs w:val="21"/>
                    </w:rPr>
                    <w:t>二氧化碳空气源冷热一体化实验室-</w:t>
                  </w:r>
                  <w:r>
                    <w:rPr>
                      <w:color w:val="000000"/>
                      <w:kern w:val="0"/>
                      <w:szCs w:val="21"/>
                    </w:rPr>
                    <w:t>电气系统</w:t>
                  </w:r>
                </w:p>
              </w:tc>
              <w:tc>
                <w:tcPr>
                  <w:tcW w:w="0" w:type="auto"/>
                  <w:vAlign w:val="center"/>
                </w:tcPr>
                <w:p w14:paraId="7F19CCB7">
                  <w:pPr>
                    <w:jc w:val="center"/>
                    <w:rPr>
                      <w:szCs w:val="21"/>
                    </w:rPr>
                  </w:pPr>
                  <w:r>
                    <w:rPr>
                      <w:color w:val="000000"/>
                      <w:kern w:val="0"/>
                      <w:szCs w:val="21"/>
                    </w:rPr>
                    <w:t>琴式操作台</w:t>
                  </w:r>
                </w:p>
              </w:tc>
              <w:tc>
                <w:tcPr>
                  <w:tcW w:w="0" w:type="auto"/>
                  <w:vAlign w:val="center"/>
                </w:tcPr>
                <w:p w14:paraId="1BCF91D4">
                  <w:pPr>
                    <w:jc w:val="center"/>
                    <w:rPr>
                      <w:szCs w:val="21"/>
                    </w:rPr>
                  </w:pPr>
                  <w:r>
                    <w:rPr>
                      <w:color w:val="000000"/>
                      <w:kern w:val="0"/>
                      <w:szCs w:val="21"/>
                    </w:rPr>
                    <w:t>计量显示、触摸屏操控</w:t>
                  </w:r>
                </w:p>
              </w:tc>
              <w:tc>
                <w:tcPr>
                  <w:tcW w:w="0" w:type="auto"/>
                  <w:vAlign w:val="center"/>
                </w:tcPr>
                <w:p w14:paraId="56D267CF">
                  <w:pPr>
                    <w:jc w:val="center"/>
                    <w:rPr>
                      <w:color w:val="000000"/>
                      <w:szCs w:val="21"/>
                    </w:rPr>
                  </w:pPr>
                  <w:r>
                    <w:rPr>
                      <w:color w:val="000000"/>
                      <w:kern w:val="0"/>
                      <w:szCs w:val="21"/>
                    </w:rPr>
                    <w:t>1</w:t>
                  </w:r>
                </w:p>
              </w:tc>
            </w:tr>
            <w:tr w14:paraId="6C70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6BCAED6">
                  <w:pPr>
                    <w:jc w:val="center"/>
                    <w:rPr>
                      <w:szCs w:val="21"/>
                    </w:rPr>
                  </w:pPr>
                  <w:r>
                    <w:rPr>
                      <w:rFonts w:eastAsia="等线"/>
                      <w:color w:val="000000"/>
                      <w:szCs w:val="21"/>
                    </w:rPr>
                    <w:t>47</w:t>
                  </w:r>
                </w:p>
              </w:tc>
              <w:tc>
                <w:tcPr>
                  <w:tcW w:w="0" w:type="auto"/>
                  <w:vMerge w:val="continue"/>
                  <w:vAlign w:val="center"/>
                </w:tcPr>
                <w:p w14:paraId="1F8C3B5C">
                  <w:pPr>
                    <w:jc w:val="center"/>
                    <w:rPr>
                      <w:szCs w:val="21"/>
                    </w:rPr>
                  </w:pPr>
                </w:p>
              </w:tc>
              <w:tc>
                <w:tcPr>
                  <w:tcW w:w="0" w:type="auto"/>
                  <w:vAlign w:val="center"/>
                </w:tcPr>
                <w:p w14:paraId="61CDF650">
                  <w:pPr>
                    <w:jc w:val="center"/>
                    <w:rPr>
                      <w:szCs w:val="21"/>
                    </w:rPr>
                  </w:pPr>
                  <w:r>
                    <w:rPr>
                      <w:color w:val="000000"/>
                      <w:kern w:val="0"/>
                      <w:szCs w:val="21"/>
                    </w:rPr>
                    <w:t>水系统配电箱</w:t>
                  </w:r>
                </w:p>
              </w:tc>
              <w:tc>
                <w:tcPr>
                  <w:tcW w:w="0" w:type="auto"/>
                  <w:vAlign w:val="center"/>
                </w:tcPr>
                <w:p w14:paraId="356F3640">
                  <w:pPr>
                    <w:jc w:val="center"/>
                    <w:rPr>
                      <w:szCs w:val="21"/>
                    </w:rPr>
                  </w:pPr>
                  <w:r>
                    <w:rPr>
                      <w:color w:val="000000"/>
                      <w:kern w:val="0"/>
                      <w:szCs w:val="21"/>
                    </w:rPr>
                    <w:t>远程控制水泵、流量阀等</w:t>
                  </w:r>
                </w:p>
              </w:tc>
              <w:tc>
                <w:tcPr>
                  <w:tcW w:w="0" w:type="auto"/>
                  <w:vAlign w:val="center"/>
                </w:tcPr>
                <w:p w14:paraId="20801347">
                  <w:pPr>
                    <w:jc w:val="center"/>
                    <w:rPr>
                      <w:color w:val="000000"/>
                      <w:szCs w:val="21"/>
                    </w:rPr>
                  </w:pPr>
                  <w:r>
                    <w:rPr>
                      <w:color w:val="000000"/>
                      <w:kern w:val="0"/>
                      <w:szCs w:val="21"/>
                    </w:rPr>
                    <w:t>1</w:t>
                  </w:r>
                </w:p>
              </w:tc>
            </w:tr>
            <w:tr w14:paraId="6E9C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8E831A4">
                  <w:pPr>
                    <w:jc w:val="center"/>
                    <w:rPr>
                      <w:szCs w:val="21"/>
                    </w:rPr>
                  </w:pPr>
                  <w:r>
                    <w:rPr>
                      <w:rFonts w:eastAsia="等线"/>
                      <w:color w:val="000000"/>
                      <w:szCs w:val="21"/>
                    </w:rPr>
                    <w:t>48</w:t>
                  </w:r>
                </w:p>
              </w:tc>
              <w:tc>
                <w:tcPr>
                  <w:tcW w:w="0" w:type="auto"/>
                  <w:vMerge w:val="continue"/>
                  <w:vAlign w:val="center"/>
                </w:tcPr>
                <w:p w14:paraId="5EC5358C">
                  <w:pPr>
                    <w:jc w:val="center"/>
                    <w:rPr>
                      <w:szCs w:val="21"/>
                    </w:rPr>
                  </w:pPr>
                </w:p>
              </w:tc>
              <w:tc>
                <w:tcPr>
                  <w:tcW w:w="0" w:type="auto"/>
                  <w:vAlign w:val="center"/>
                </w:tcPr>
                <w:p w14:paraId="4EA414F3">
                  <w:pPr>
                    <w:jc w:val="center"/>
                    <w:rPr>
                      <w:szCs w:val="21"/>
                    </w:rPr>
                  </w:pPr>
                  <w:r>
                    <w:rPr>
                      <w:color w:val="000000"/>
                      <w:kern w:val="0"/>
                      <w:szCs w:val="21"/>
                    </w:rPr>
                    <w:t>数显功率计</w:t>
                  </w:r>
                </w:p>
              </w:tc>
              <w:tc>
                <w:tcPr>
                  <w:tcW w:w="0" w:type="auto"/>
                  <w:vAlign w:val="center"/>
                </w:tcPr>
                <w:p w14:paraId="07C486FF">
                  <w:pPr>
                    <w:jc w:val="center"/>
                    <w:rPr>
                      <w:szCs w:val="21"/>
                    </w:rPr>
                  </w:pPr>
                  <w:r>
                    <w:rPr>
                      <w:color w:val="000000"/>
                      <w:kern w:val="0"/>
                      <w:szCs w:val="21"/>
                    </w:rPr>
                    <w:t>PD666</w:t>
                  </w:r>
                </w:p>
              </w:tc>
              <w:tc>
                <w:tcPr>
                  <w:tcW w:w="0" w:type="auto"/>
                  <w:vAlign w:val="center"/>
                </w:tcPr>
                <w:p w14:paraId="35E35E12">
                  <w:pPr>
                    <w:jc w:val="center"/>
                    <w:rPr>
                      <w:color w:val="000000"/>
                      <w:szCs w:val="21"/>
                    </w:rPr>
                  </w:pPr>
                  <w:r>
                    <w:rPr>
                      <w:color w:val="000000"/>
                      <w:kern w:val="0"/>
                      <w:szCs w:val="21"/>
                    </w:rPr>
                    <w:t>2</w:t>
                  </w:r>
                </w:p>
              </w:tc>
            </w:tr>
            <w:tr w14:paraId="527D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141620D">
                  <w:pPr>
                    <w:jc w:val="center"/>
                    <w:rPr>
                      <w:szCs w:val="21"/>
                    </w:rPr>
                  </w:pPr>
                  <w:r>
                    <w:rPr>
                      <w:rFonts w:eastAsia="等线"/>
                      <w:color w:val="000000"/>
                      <w:szCs w:val="21"/>
                    </w:rPr>
                    <w:t>49</w:t>
                  </w:r>
                </w:p>
              </w:tc>
              <w:tc>
                <w:tcPr>
                  <w:tcW w:w="0" w:type="auto"/>
                  <w:vMerge w:val="continue"/>
                  <w:vAlign w:val="center"/>
                </w:tcPr>
                <w:p w14:paraId="145B55EE">
                  <w:pPr>
                    <w:jc w:val="center"/>
                    <w:rPr>
                      <w:szCs w:val="21"/>
                    </w:rPr>
                  </w:pPr>
                </w:p>
              </w:tc>
              <w:tc>
                <w:tcPr>
                  <w:tcW w:w="0" w:type="auto"/>
                  <w:vAlign w:val="center"/>
                </w:tcPr>
                <w:p w14:paraId="0EFC50B3">
                  <w:pPr>
                    <w:jc w:val="center"/>
                    <w:rPr>
                      <w:szCs w:val="21"/>
                    </w:rPr>
                  </w:pPr>
                  <w:r>
                    <w:rPr>
                      <w:color w:val="000000"/>
                      <w:kern w:val="0"/>
                      <w:szCs w:val="21"/>
                    </w:rPr>
                    <w:t>电流互感器</w:t>
                  </w:r>
                </w:p>
              </w:tc>
              <w:tc>
                <w:tcPr>
                  <w:tcW w:w="0" w:type="auto"/>
                  <w:vAlign w:val="center"/>
                </w:tcPr>
                <w:p w14:paraId="00B09037">
                  <w:pPr>
                    <w:jc w:val="center"/>
                    <w:rPr>
                      <w:szCs w:val="21"/>
                    </w:rPr>
                  </w:pPr>
                  <w:r>
                    <w:rPr>
                      <w:color w:val="000000"/>
                      <w:kern w:val="0"/>
                      <w:szCs w:val="21"/>
                    </w:rPr>
                    <w:t>100/5A</w:t>
                  </w:r>
                </w:p>
              </w:tc>
              <w:tc>
                <w:tcPr>
                  <w:tcW w:w="0" w:type="auto"/>
                  <w:vAlign w:val="center"/>
                </w:tcPr>
                <w:p w14:paraId="5FBC3658">
                  <w:pPr>
                    <w:jc w:val="center"/>
                    <w:rPr>
                      <w:color w:val="000000"/>
                      <w:szCs w:val="21"/>
                    </w:rPr>
                  </w:pPr>
                  <w:r>
                    <w:rPr>
                      <w:color w:val="000000"/>
                      <w:kern w:val="0"/>
                      <w:szCs w:val="21"/>
                    </w:rPr>
                    <w:t>6</w:t>
                  </w:r>
                </w:p>
              </w:tc>
            </w:tr>
            <w:tr w14:paraId="732F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F0813D9">
                  <w:pPr>
                    <w:jc w:val="center"/>
                    <w:rPr>
                      <w:szCs w:val="21"/>
                    </w:rPr>
                  </w:pPr>
                  <w:r>
                    <w:rPr>
                      <w:rFonts w:eastAsia="等线"/>
                      <w:color w:val="000000"/>
                      <w:szCs w:val="21"/>
                    </w:rPr>
                    <w:t>50</w:t>
                  </w:r>
                </w:p>
              </w:tc>
              <w:tc>
                <w:tcPr>
                  <w:tcW w:w="0" w:type="auto"/>
                  <w:vMerge w:val="continue"/>
                  <w:vAlign w:val="center"/>
                </w:tcPr>
                <w:p w14:paraId="73EE5BD9">
                  <w:pPr>
                    <w:jc w:val="center"/>
                    <w:rPr>
                      <w:szCs w:val="21"/>
                    </w:rPr>
                  </w:pPr>
                </w:p>
              </w:tc>
              <w:tc>
                <w:tcPr>
                  <w:tcW w:w="0" w:type="auto"/>
                  <w:vAlign w:val="center"/>
                </w:tcPr>
                <w:p w14:paraId="1A4682F4">
                  <w:pPr>
                    <w:jc w:val="center"/>
                    <w:rPr>
                      <w:szCs w:val="21"/>
                    </w:rPr>
                  </w:pPr>
                  <w:r>
                    <w:rPr>
                      <w:color w:val="000000"/>
                      <w:kern w:val="0"/>
                      <w:szCs w:val="21"/>
                    </w:rPr>
                    <w:t>配套强弱电电缆</w:t>
                  </w:r>
                </w:p>
              </w:tc>
              <w:tc>
                <w:tcPr>
                  <w:tcW w:w="0" w:type="auto"/>
                  <w:vAlign w:val="center"/>
                </w:tcPr>
                <w:p w14:paraId="1E1A8C81">
                  <w:pPr>
                    <w:jc w:val="center"/>
                    <w:rPr>
                      <w:szCs w:val="21"/>
                    </w:rPr>
                  </w:pPr>
                  <w:r>
                    <w:rPr>
                      <w:color w:val="000000"/>
                      <w:kern w:val="0"/>
                      <w:szCs w:val="21"/>
                    </w:rPr>
                    <w:t>国标</w:t>
                  </w:r>
                </w:p>
              </w:tc>
              <w:tc>
                <w:tcPr>
                  <w:tcW w:w="0" w:type="auto"/>
                  <w:vAlign w:val="center"/>
                </w:tcPr>
                <w:p w14:paraId="6AEF236F">
                  <w:pPr>
                    <w:jc w:val="center"/>
                    <w:rPr>
                      <w:color w:val="000000"/>
                      <w:szCs w:val="21"/>
                    </w:rPr>
                  </w:pPr>
                  <w:r>
                    <w:rPr>
                      <w:color w:val="000000"/>
                      <w:kern w:val="0"/>
                      <w:szCs w:val="21"/>
                    </w:rPr>
                    <w:t>1</w:t>
                  </w:r>
                </w:p>
              </w:tc>
            </w:tr>
            <w:tr w14:paraId="38AC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AB5C7AD">
                  <w:pPr>
                    <w:jc w:val="center"/>
                    <w:rPr>
                      <w:szCs w:val="21"/>
                    </w:rPr>
                  </w:pPr>
                  <w:r>
                    <w:rPr>
                      <w:rFonts w:eastAsia="等线"/>
                      <w:color w:val="000000"/>
                      <w:szCs w:val="21"/>
                    </w:rPr>
                    <w:t>51</w:t>
                  </w:r>
                </w:p>
              </w:tc>
              <w:tc>
                <w:tcPr>
                  <w:tcW w:w="0" w:type="auto"/>
                  <w:vMerge w:val="restart"/>
                  <w:vAlign w:val="center"/>
                </w:tcPr>
                <w:p w14:paraId="1AB9FA76">
                  <w:pPr>
                    <w:jc w:val="center"/>
                    <w:rPr>
                      <w:szCs w:val="21"/>
                    </w:rPr>
                  </w:pPr>
                  <w:r>
                    <w:rPr>
                      <w:szCs w:val="21"/>
                    </w:rPr>
                    <w:t>CCUS中试实验室-CO</w:t>
                  </w:r>
                  <w:r>
                    <w:rPr>
                      <w:szCs w:val="21"/>
                      <w:vertAlign w:val="subscript"/>
                    </w:rPr>
                    <w:t>2</w:t>
                  </w:r>
                  <w:r>
                    <w:rPr>
                      <w:szCs w:val="21"/>
                    </w:rPr>
                    <w:t>捕集实验</w:t>
                  </w:r>
                </w:p>
              </w:tc>
              <w:tc>
                <w:tcPr>
                  <w:tcW w:w="0" w:type="auto"/>
                  <w:vAlign w:val="center"/>
                </w:tcPr>
                <w:p w14:paraId="6BCA46B3">
                  <w:pPr>
                    <w:jc w:val="center"/>
                    <w:rPr>
                      <w:szCs w:val="21"/>
                    </w:rPr>
                  </w:pPr>
                  <w:r>
                    <w:rPr>
                      <w:color w:val="000000"/>
                      <w:kern w:val="0"/>
                      <w:szCs w:val="21"/>
                    </w:rPr>
                    <w:t>吸收塔</w:t>
                  </w:r>
                </w:p>
              </w:tc>
              <w:tc>
                <w:tcPr>
                  <w:tcW w:w="0" w:type="auto"/>
                  <w:vAlign w:val="center"/>
                </w:tcPr>
                <w:p w14:paraId="4A0725F5">
                  <w:pPr>
                    <w:jc w:val="center"/>
                    <w:rPr>
                      <w:szCs w:val="21"/>
                    </w:rPr>
                  </w:pPr>
                  <w:r>
                    <w:rPr>
                      <w:szCs w:val="21"/>
                    </w:rPr>
                    <w:t>定制</w:t>
                  </w:r>
                </w:p>
              </w:tc>
              <w:tc>
                <w:tcPr>
                  <w:tcW w:w="0" w:type="auto"/>
                  <w:vAlign w:val="center"/>
                </w:tcPr>
                <w:p w14:paraId="5698A2DE">
                  <w:pPr>
                    <w:jc w:val="center"/>
                    <w:rPr>
                      <w:color w:val="000000"/>
                      <w:szCs w:val="21"/>
                    </w:rPr>
                  </w:pPr>
                  <w:r>
                    <w:rPr>
                      <w:color w:val="000000"/>
                      <w:szCs w:val="21"/>
                    </w:rPr>
                    <w:t>1</w:t>
                  </w:r>
                </w:p>
              </w:tc>
            </w:tr>
            <w:tr w14:paraId="7F85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9B29509">
                  <w:pPr>
                    <w:jc w:val="center"/>
                    <w:rPr>
                      <w:szCs w:val="21"/>
                    </w:rPr>
                  </w:pPr>
                  <w:r>
                    <w:rPr>
                      <w:rFonts w:eastAsia="等线"/>
                      <w:color w:val="000000"/>
                      <w:szCs w:val="21"/>
                    </w:rPr>
                    <w:t>52</w:t>
                  </w:r>
                </w:p>
              </w:tc>
              <w:tc>
                <w:tcPr>
                  <w:tcW w:w="0" w:type="auto"/>
                  <w:vMerge w:val="continue"/>
                  <w:vAlign w:val="center"/>
                </w:tcPr>
                <w:p w14:paraId="330C657E">
                  <w:pPr>
                    <w:jc w:val="center"/>
                    <w:rPr>
                      <w:szCs w:val="21"/>
                    </w:rPr>
                  </w:pPr>
                </w:p>
              </w:tc>
              <w:tc>
                <w:tcPr>
                  <w:tcW w:w="0" w:type="auto"/>
                  <w:vAlign w:val="center"/>
                </w:tcPr>
                <w:p w14:paraId="7D9E69D6">
                  <w:pPr>
                    <w:jc w:val="center"/>
                    <w:rPr>
                      <w:szCs w:val="21"/>
                    </w:rPr>
                  </w:pPr>
                  <w:r>
                    <w:rPr>
                      <w:color w:val="000000"/>
                      <w:kern w:val="0"/>
                      <w:szCs w:val="21"/>
                    </w:rPr>
                    <w:t>解吸塔</w:t>
                  </w:r>
                </w:p>
              </w:tc>
              <w:tc>
                <w:tcPr>
                  <w:tcW w:w="0" w:type="auto"/>
                  <w:vAlign w:val="center"/>
                </w:tcPr>
                <w:p w14:paraId="414F397E">
                  <w:pPr>
                    <w:jc w:val="center"/>
                    <w:rPr>
                      <w:szCs w:val="21"/>
                    </w:rPr>
                  </w:pPr>
                  <w:r>
                    <w:rPr>
                      <w:szCs w:val="21"/>
                    </w:rPr>
                    <w:t>定制</w:t>
                  </w:r>
                </w:p>
              </w:tc>
              <w:tc>
                <w:tcPr>
                  <w:tcW w:w="0" w:type="auto"/>
                  <w:vAlign w:val="center"/>
                </w:tcPr>
                <w:p w14:paraId="76824B08">
                  <w:pPr>
                    <w:jc w:val="center"/>
                    <w:rPr>
                      <w:color w:val="000000"/>
                      <w:szCs w:val="21"/>
                    </w:rPr>
                  </w:pPr>
                  <w:r>
                    <w:rPr>
                      <w:color w:val="000000"/>
                      <w:szCs w:val="21"/>
                    </w:rPr>
                    <w:t>1</w:t>
                  </w:r>
                </w:p>
              </w:tc>
            </w:tr>
            <w:tr w14:paraId="5DAB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7B9CC3F">
                  <w:pPr>
                    <w:jc w:val="center"/>
                    <w:rPr>
                      <w:szCs w:val="21"/>
                    </w:rPr>
                  </w:pPr>
                  <w:r>
                    <w:rPr>
                      <w:rFonts w:eastAsia="等线"/>
                      <w:color w:val="000000"/>
                      <w:szCs w:val="21"/>
                    </w:rPr>
                    <w:t>53</w:t>
                  </w:r>
                </w:p>
              </w:tc>
              <w:tc>
                <w:tcPr>
                  <w:tcW w:w="0" w:type="auto"/>
                  <w:vMerge w:val="continue"/>
                  <w:vAlign w:val="center"/>
                </w:tcPr>
                <w:p w14:paraId="4DDD5BF0">
                  <w:pPr>
                    <w:jc w:val="center"/>
                    <w:rPr>
                      <w:szCs w:val="21"/>
                    </w:rPr>
                  </w:pPr>
                </w:p>
              </w:tc>
              <w:tc>
                <w:tcPr>
                  <w:tcW w:w="0" w:type="auto"/>
                  <w:vAlign w:val="center"/>
                </w:tcPr>
                <w:p w14:paraId="401CD1DE">
                  <w:pPr>
                    <w:jc w:val="center"/>
                    <w:rPr>
                      <w:szCs w:val="21"/>
                    </w:rPr>
                  </w:pPr>
                  <w:r>
                    <w:rPr>
                      <w:color w:val="000000"/>
                      <w:kern w:val="0"/>
                      <w:szCs w:val="21"/>
                    </w:rPr>
                    <w:t>再沸器</w:t>
                  </w:r>
                </w:p>
              </w:tc>
              <w:tc>
                <w:tcPr>
                  <w:tcW w:w="0" w:type="auto"/>
                  <w:vAlign w:val="center"/>
                </w:tcPr>
                <w:p w14:paraId="2CABF6A9">
                  <w:pPr>
                    <w:jc w:val="center"/>
                    <w:rPr>
                      <w:szCs w:val="21"/>
                    </w:rPr>
                  </w:pPr>
                  <w:r>
                    <w:rPr>
                      <w:szCs w:val="21"/>
                    </w:rPr>
                    <w:t>定制</w:t>
                  </w:r>
                </w:p>
              </w:tc>
              <w:tc>
                <w:tcPr>
                  <w:tcW w:w="0" w:type="auto"/>
                  <w:vAlign w:val="center"/>
                </w:tcPr>
                <w:p w14:paraId="3030DD6A">
                  <w:pPr>
                    <w:jc w:val="center"/>
                    <w:rPr>
                      <w:color w:val="000000"/>
                      <w:szCs w:val="21"/>
                    </w:rPr>
                  </w:pPr>
                  <w:r>
                    <w:rPr>
                      <w:color w:val="000000"/>
                      <w:szCs w:val="21"/>
                    </w:rPr>
                    <w:t>1</w:t>
                  </w:r>
                </w:p>
              </w:tc>
            </w:tr>
            <w:tr w14:paraId="3AAD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CDD509B">
                  <w:pPr>
                    <w:jc w:val="center"/>
                    <w:rPr>
                      <w:szCs w:val="21"/>
                    </w:rPr>
                  </w:pPr>
                  <w:r>
                    <w:rPr>
                      <w:rFonts w:eastAsia="等线"/>
                      <w:color w:val="000000"/>
                      <w:szCs w:val="21"/>
                    </w:rPr>
                    <w:t>54</w:t>
                  </w:r>
                </w:p>
              </w:tc>
              <w:tc>
                <w:tcPr>
                  <w:tcW w:w="0" w:type="auto"/>
                  <w:vMerge w:val="continue"/>
                  <w:vAlign w:val="center"/>
                </w:tcPr>
                <w:p w14:paraId="7169FC95">
                  <w:pPr>
                    <w:jc w:val="center"/>
                    <w:rPr>
                      <w:szCs w:val="21"/>
                    </w:rPr>
                  </w:pPr>
                </w:p>
              </w:tc>
              <w:tc>
                <w:tcPr>
                  <w:tcW w:w="0" w:type="auto"/>
                  <w:vAlign w:val="center"/>
                </w:tcPr>
                <w:p w14:paraId="0A0BDBC4">
                  <w:pPr>
                    <w:jc w:val="center"/>
                    <w:rPr>
                      <w:szCs w:val="21"/>
                    </w:rPr>
                  </w:pPr>
                  <w:r>
                    <w:rPr>
                      <w:color w:val="000000"/>
                      <w:kern w:val="0"/>
                      <w:szCs w:val="21"/>
                    </w:rPr>
                    <w:t>换热器</w:t>
                  </w:r>
                </w:p>
              </w:tc>
              <w:tc>
                <w:tcPr>
                  <w:tcW w:w="0" w:type="auto"/>
                  <w:vAlign w:val="center"/>
                </w:tcPr>
                <w:p w14:paraId="03FA9698">
                  <w:pPr>
                    <w:jc w:val="center"/>
                    <w:rPr>
                      <w:szCs w:val="21"/>
                    </w:rPr>
                  </w:pPr>
                  <w:r>
                    <w:rPr>
                      <w:szCs w:val="21"/>
                    </w:rPr>
                    <w:t>定制</w:t>
                  </w:r>
                </w:p>
              </w:tc>
              <w:tc>
                <w:tcPr>
                  <w:tcW w:w="0" w:type="auto"/>
                  <w:vAlign w:val="center"/>
                </w:tcPr>
                <w:p w14:paraId="4517BCAC">
                  <w:pPr>
                    <w:jc w:val="center"/>
                    <w:rPr>
                      <w:color w:val="000000"/>
                      <w:szCs w:val="21"/>
                    </w:rPr>
                  </w:pPr>
                  <w:r>
                    <w:rPr>
                      <w:color w:val="000000"/>
                      <w:szCs w:val="21"/>
                    </w:rPr>
                    <w:t>1</w:t>
                  </w:r>
                </w:p>
              </w:tc>
            </w:tr>
            <w:tr w14:paraId="02F7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D88504C">
                  <w:pPr>
                    <w:jc w:val="center"/>
                    <w:rPr>
                      <w:szCs w:val="21"/>
                    </w:rPr>
                  </w:pPr>
                  <w:r>
                    <w:rPr>
                      <w:rFonts w:eastAsia="等线"/>
                      <w:color w:val="000000"/>
                      <w:szCs w:val="21"/>
                    </w:rPr>
                    <w:t>55</w:t>
                  </w:r>
                </w:p>
              </w:tc>
              <w:tc>
                <w:tcPr>
                  <w:tcW w:w="0" w:type="auto"/>
                  <w:vMerge w:val="continue"/>
                  <w:vAlign w:val="center"/>
                </w:tcPr>
                <w:p w14:paraId="117D388C">
                  <w:pPr>
                    <w:jc w:val="center"/>
                    <w:rPr>
                      <w:szCs w:val="21"/>
                    </w:rPr>
                  </w:pPr>
                </w:p>
              </w:tc>
              <w:tc>
                <w:tcPr>
                  <w:tcW w:w="0" w:type="auto"/>
                  <w:vAlign w:val="center"/>
                </w:tcPr>
                <w:p w14:paraId="0BEF0A89">
                  <w:pPr>
                    <w:jc w:val="center"/>
                    <w:rPr>
                      <w:szCs w:val="21"/>
                    </w:rPr>
                  </w:pPr>
                  <w:r>
                    <w:rPr>
                      <w:color w:val="000000"/>
                      <w:kern w:val="0"/>
                      <w:szCs w:val="21"/>
                    </w:rPr>
                    <w:t>风机</w:t>
                  </w:r>
                </w:p>
              </w:tc>
              <w:tc>
                <w:tcPr>
                  <w:tcW w:w="0" w:type="auto"/>
                  <w:vAlign w:val="center"/>
                </w:tcPr>
                <w:p w14:paraId="6C73DBAB">
                  <w:pPr>
                    <w:jc w:val="center"/>
                    <w:rPr>
                      <w:szCs w:val="21"/>
                    </w:rPr>
                  </w:pPr>
                  <w:r>
                    <w:rPr>
                      <w:szCs w:val="21"/>
                    </w:rPr>
                    <w:t>定制</w:t>
                  </w:r>
                </w:p>
              </w:tc>
              <w:tc>
                <w:tcPr>
                  <w:tcW w:w="0" w:type="auto"/>
                  <w:vAlign w:val="center"/>
                </w:tcPr>
                <w:p w14:paraId="485F16B6">
                  <w:pPr>
                    <w:jc w:val="center"/>
                    <w:rPr>
                      <w:color w:val="000000"/>
                      <w:szCs w:val="21"/>
                    </w:rPr>
                  </w:pPr>
                  <w:r>
                    <w:rPr>
                      <w:color w:val="000000"/>
                      <w:szCs w:val="21"/>
                    </w:rPr>
                    <w:t>1</w:t>
                  </w:r>
                </w:p>
              </w:tc>
            </w:tr>
            <w:tr w14:paraId="3ECA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BE31F84">
                  <w:pPr>
                    <w:jc w:val="center"/>
                    <w:rPr>
                      <w:szCs w:val="21"/>
                    </w:rPr>
                  </w:pPr>
                  <w:r>
                    <w:rPr>
                      <w:rFonts w:eastAsia="等线"/>
                      <w:color w:val="000000"/>
                      <w:szCs w:val="21"/>
                    </w:rPr>
                    <w:t>56</w:t>
                  </w:r>
                </w:p>
              </w:tc>
              <w:tc>
                <w:tcPr>
                  <w:tcW w:w="0" w:type="auto"/>
                  <w:vMerge w:val="continue"/>
                  <w:vAlign w:val="center"/>
                </w:tcPr>
                <w:p w14:paraId="533CF7C0">
                  <w:pPr>
                    <w:jc w:val="center"/>
                    <w:rPr>
                      <w:szCs w:val="21"/>
                    </w:rPr>
                  </w:pPr>
                </w:p>
              </w:tc>
              <w:tc>
                <w:tcPr>
                  <w:tcW w:w="0" w:type="auto"/>
                  <w:vAlign w:val="center"/>
                </w:tcPr>
                <w:p w14:paraId="64F950B2">
                  <w:pPr>
                    <w:jc w:val="center"/>
                    <w:rPr>
                      <w:szCs w:val="21"/>
                    </w:rPr>
                  </w:pPr>
                  <w:r>
                    <w:rPr>
                      <w:color w:val="000000"/>
                      <w:kern w:val="0"/>
                      <w:szCs w:val="21"/>
                    </w:rPr>
                    <w:t>气液泵</w:t>
                  </w:r>
                </w:p>
              </w:tc>
              <w:tc>
                <w:tcPr>
                  <w:tcW w:w="0" w:type="auto"/>
                  <w:vAlign w:val="center"/>
                </w:tcPr>
                <w:p w14:paraId="4B99B599">
                  <w:pPr>
                    <w:jc w:val="center"/>
                    <w:rPr>
                      <w:szCs w:val="21"/>
                    </w:rPr>
                  </w:pPr>
                  <w:r>
                    <w:rPr>
                      <w:szCs w:val="21"/>
                    </w:rPr>
                    <w:t>定制</w:t>
                  </w:r>
                </w:p>
              </w:tc>
              <w:tc>
                <w:tcPr>
                  <w:tcW w:w="0" w:type="auto"/>
                  <w:vAlign w:val="center"/>
                </w:tcPr>
                <w:p w14:paraId="28ED9DC9">
                  <w:pPr>
                    <w:jc w:val="center"/>
                    <w:rPr>
                      <w:color w:val="000000"/>
                      <w:szCs w:val="21"/>
                    </w:rPr>
                  </w:pPr>
                  <w:r>
                    <w:rPr>
                      <w:color w:val="000000"/>
                      <w:szCs w:val="21"/>
                    </w:rPr>
                    <w:t>1</w:t>
                  </w:r>
                </w:p>
              </w:tc>
            </w:tr>
            <w:tr w14:paraId="5AE4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69F5649">
                  <w:pPr>
                    <w:jc w:val="center"/>
                    <w:rPr>
                      <w:szCs w:val="21"/>
                    </w:rPr>
                  </w:pPr>
                  <w:r>
                    <w:rPr>
                      <w:rFonts w:eastAsia="等线"/>
                      <w:color w:val="000000"/>
                      <w:szCs w:val="21"/>
                    </w:rPr>
                    <w:t>57</w:t>
                  </w:r>
                </w:p>
              </w:tc>
              <w:tc>
                <w:tcPr>
                  <w:tcW w:w="0" w:type="auto"/>
                  <w:vMerge w:val="continue"/>
                  <w:vAlign w:val="center"/>
                </w:tcPr>
                <w:p w14:paraId="39BE115A">
                  <w:pPr>
                    <w:jc w:val="center"/>
                    <w:rPr>
                      <w:szCs w:val="21"/>
                    </w:rPr>
                  </w:pPr>
                </w:p>
              </w:tc>
              <w:tc>
                <w:tcPr>
                  <w:tcW w:w="0" w:type="auto"/>
                  <w:vAlign w:val="center"/>
                </w:tcPr>
                <w:p w14:paraId="4BAC7393">
                  <w:pPr>
                    <w:jc w:val="center"/>
                    <w:rPr>
                      <w:color w:val="000000"/>
                      <w:kern w:val="0"/>
                      <w:szCs w:val="21"/>
                    </w:rPr>
                  </w:pPr>
                  <w:r>
                    <w:rPr>
                      <w:color w:val="000000"/>
                      <w:kern w:val="0"/>
                      <w:szCs w:val="21"/>
                    </w:rPr>
                    <w:t>管道</w:t>
                  </w:r>
                </w:p>
              </w:tc>
              <w:tc>
                <w:tcPr>
                  <w:tcW w:w="0" w:type="auto"/>
                  <w:vAlign w:val="center"/>
                </w:tcPr>
                <w:p w14:paraId="31DAABFD">
                  <w:pPr>
                    <w:jc w:val="center"/>
                    <w:rPr>
                      <w:szCs w:val="21"/>
                    </w:rPr>
                  </w:pPr>
                  <w:r>
                    <w:rPr>
                      <w:szCs w:val="21"/>
                    </w:rPr>
                    <w:t>DN20-50</w:t>
                  </w:r>
                </w:p>
              </w:tc>
              <w:tc>
                <w:tcPr>
                  <w:tcW w:w="0" w:type="auto"/>
                  <w:vAlign w:val="center"/>
                </w:tcPr>
                <w:p w14:paraId="2EBB1A17">
                  <w:pPr>
                    <w:jc w:val="center"/>
                    <w:rPr>
                      <w:color w:val="000000"/>
                      <w:szCs w:val="21"/>
                    </w:rPr>
                  </w:pPr>
                  <w:r>
                    <w:rPr>
                      <w:color w:val="000000"/>
                      <w:szCs w:val="21"/>
                    </w:rPr>
                    <w:t>1</w:t>
                  </w:r>
                </w:p>
              </w:tc>
            </w:tr>
            <w:tr w14:paraId="66E7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BDC8893">
                  <w:pPr>
                    <w:jc w:val="center"/>
                    <w:rPr>
                      <w:szCs w:val="21"/>
                    </w:rPr>
                  </w:pPr>
                  <w:r>
                    <w:rPr>
                      <w:rFonts w:eastAsia="等线"/>
                      <w:color w:val="000000"/>
                      <w:szCs w:val="21"/>
                    </w:rPr>
                    <w:t>58</w:t>
                  </w:r>
                </w:p>
              </w:tc>
              <w:tc>
                <w:tcPr>
                  <w:tcW w:w="0" w:type="auto"/>
                  <w:vMerge w:val="continue"/>
                  <w:vAlign w:val="center"/>
                </w:tcPr>
                <w:p w14:paraId="1670402E">
                  <w:pPr>
                    <w:jc w:val="center"/>
                    <w:rPr>
                      <w:szCs w:val="21"/>
                    </w:rPr>
                  </w:pPr>
                </w:p>
              </w:tc>
              <w:tc>
                <w:tcPr>
                  <w:tcW w:w="0" w:type="auto"/>
                  <w:vAlign w:val="center"/>
                </w:tcPr>
                <w:p w14:paraId="6B5AD0D7">
                  <w:pPr>
                    <w:jc w:val="center"/>
                    <w:rPr>
                      <w:color w:val="000000"/>
                      <w:kern w:val="0"/>
                      <w:szCs w:val="21"/>
                    </w:rPr>
                  </w:pPr>
                  <w:r>
                    <w:rPr>
                      <w:color w:val="000000"/>
                      <w:kern w:val="0"/>
                      <w:szCs w:val="21"/>
                    </w:rPr>
                    <w:t>阀门</w:t>
                  </w:r>
                </w:p>
              </w:tc>
              <w:tc>
                <w:tcPr>
                  <w:tcW w:w="0" w:type="auto"/>
                  <w:vAlign w:val="center"/>
                </w:tcPr>
                <w:p w14:paraId="160AC7C9">
                  <w:pPr>
                    <w:jc w:val="center"/>
                    <w:rPr>
                      <w:szCs w:val="21"/>
                    </w:rPr>
                  </w:pPr>
                  <w:r>
                    <w:rPr>
                      <w:szCs w:val="21"/>
                    </w:rPr>
                    <w:t>DN20-50</w:t>
                  </w:r>
                </w:p>
              </w:tc>
              <w:tc>
                <w:tcPr>
                  <w:tcW w:w="0" w:type="auto"/>
                  <w:vAlign w:val="center"/>
                </w:tcPr>
                <w:p w14:paraId="143240AB">
                  <w:pPr>
                    <w:jc w:val="center"/>
                    <w:rPr>
                      <w:color w:val="000000"/>
                      <w:szCs w:val="21"/>
                    </w:rPr>
                  </w:pPr>
                  <w:r>
                    <w:rPr>
                      <w:color w:val="000000"/>
                      <w:szCs w:val="21"/>
                    </w:rPr>
                    <w:t>1</w:t>
                  </w:r>
                </w:p>
              </w:tc>
            </w:tr>
            <w:tr w14:paraId="26B1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8B30145">
                  <w:pPr>
                    <w:jc w:val="center"/>
                    <w:rPr>
                      <w:szCs w:val="21"/>
                    </w:rPr>
                  </w:pPr>
                  <w:r>
                    <w:rPr>
                      <w:rFonts w:eastAsia="等线"/>
                      <w:color w:val="000000"/>
                      <w:szCs w:val="21"/>
                    </w:rPr>
                    <w:t>59</w:t>
                  </w:r>
                </w:p>
              </w:tc>
              <w:tc>
                <w:tcPr>
                  <w:tcW w:w="0" w:type="auto"/>
                  <w:vMerge w:val="continue"/>
                  <w:vAlign w:val="center"/>
                </w:tcPr>
                <w:p w14:paraId="06449A6C">
                  <w:pPr>
                    <w:jc w:val="center"/>
                    <w:rPr>
                      <w:szCs w:val="21"/>
                    </w:rPr>
                  </w:pPr>
                </w:p>
              </w:tc>
              <w:tc>
                <w:tcPr>
                  <w:tcW w:w="0" w:type="auto"/>
                  <w:vAlign w:val="center"/>
                </w:tcPr>
                <w:p w14:paraId="10E4D982">
                  <w:pPr>
                    <w:jc w:val="center"/>
                    <w:rPr>
                      <w:color w:val="000000"/>
                      <w:kern w:val="0"/>
                      <w:szCs w:val="21"/>
                    </w:rPr>
                  </w:pPr>
                  <w:r>
                    <w:rPr>
                      <w:color w:val="000000"/>
                      <w:kern w:val="0"/>
                      <w:szCs w:val="21"/>
                    </w:rPr>
                    <w:t>仪表</w:t>
                  </w:r>
                </w:p>
              </w:tc>
              <w:tc>
                <w:tcPr>
                  <w:tcW w:w="0" w:type="auto"/>
                  <w:vAlign w:val="center"/>
                </w:tcPr>
                <w:p w14:paraId="36791383">
                  <w:pPr>
                    <w:jc w:val="center"/>
                    <w:rPr>
                      <w:szCs w:val="21"/>
                    </w:rPr>
                  </w:pPr>
                  <w:r>
                    <w:rPr>
                      <w:szCs w:val="21"/>
                    </w:rPr>
                    <w:t>DN20-50</w:t>
                  </w:r>
                </w:p>
              </w:tc>
              <w:tc>
                <w:tcPr>
                  <w:tcW w:w="0" w:type="auto"/>
                  <w:vAlign w:val="center"/>
                </w:tcPr>
                <w:p w14:paraId="1DE9A022">
                  <w:pPr>
                    <w:jc w:val="center"/>
                    <w:rPr>
                      <w:color w:val="000000"/>
                      <w:szCs w:val="21"/>
                    </w:rPr>
                  </w:pPr>
                  <w:r>
                    <w:rPr>
                      <w:color w:val="000000"/>
                      <w:szCs w:val="21"/>
                    </w:rPr>
                    <w:t>1</w:t>
                  </w:r>
                </w:p>
              </w:tc>
            </w:tr>
            <w:tr w14:paraId="3BB0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79CDF54">
                  <w:pPr>
                    <w:jc w:val="center"/>
                    <w:rPr>
                      <w:szCs w:val="21"/>
                    </w:rPr>
                  </w:pPr>
                  <w:r>
                    <w:rPr>
                      <w:rFonts w:eastAsia="等线"/>
                      <w:color w:val="000000"/>
                      <w:szCs w:val="21"/>
                    </w:rPr>
                    <w:t>60</w:t>
                  </w:r>
                </w:p>
              </w:tc>
              <w:tc>
                <w:tcPr>
                  <w:tcW w:w="0" w:type="auto"/>
                  <w:vMerge w:val="continue"/>
                  <w:vAlign w:val="center"/>
                </w:tcPr>
                <w:p w14:paraId="68308137">
                  <w:pPr>
                    <w:jc w:val="center"/>
                    <w:rPr>
                      <w:szCs w:val="21"/>
                    </w:rPr>
                  </w:pPr>
                </w:p>
              </w:tc>
              <w:tc>
                <w:tcPr>
                  <w:tcW w:w="0" w:type="auto"/>
                  <w:vAlign w:val="center"/>
                </w:tcPr>
                <w:p w14:paraId="27DA03CF">
                  <w:pPr>
                    <w:jc w:val="center"/>
                    <w:rPr>
                      <w:color w:val="000000"/>
                      <w:kern w:val="0"/>
                      <w:szCs w:val="21"/>
                    </w:rPr>
                  </w:pPr>
                  <w:r>
                    <w:rPr>
                      <w:color w:val="000000"/>
                      <w:kern w:val="0"/>
                      <w:szCs w:val="21"/>
                    </w:rPr>
                    <w:t>电控系统</w:t>
                  </w:r>
                </w:p>
              </w:tc>
              <w:tc>
                <w:tcPr>
                  <w:tcW w:w="0" w:type="auto"/>
                  <w:vAlign w:val="center"/>
                </w:tcPr>
                <w:p w14:paraId="71D0D418">
                  <w:pPr>
                    <w:jc w:val="center"/>
                    <w:rPr>
                      <w:szCs w:val="21"/>
                    </w:rPr>
                  </w:pPr>
                  <w:r>
                    <w:rPr>
                      <w:szCs w:val="21"/>
                    </w:rPr>
                    <w:t>定制</w:t>
                  </w:r>
                </w:p>
              </w:tc>
              <w:tc>
                <w:tcPr>
                  <w:tcW w:w="0" w:type="auto"/>
                  <w:vAlign w:val="center"/>
                </w:tcPr>
                <w:p w14:paraId="1967BC55">
                  <w:pPr>
                    <w:jc w:val="center"/>
                    <w:rPr>
                      <w:color w:val="000000"/>
                      <w:szCs w:val="21"/>
                    </w:rPr>
                  </w:pPr>
                  <w:r>
                    <w:rPr>
                      <w:color w:val="000000"/>
                      <w:szCs w:val="21"/>
                    </w:rPr>
                    <w:t>1</w:t>
                  </w:r>
                </w:p>
              </w:tc>
            </w:tr>
            <w:tr w14:paraId="22EF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853C24C">
                  <w:pPr>
                    <w:jc w:val="center"/>
                    <w:rPr>
                      <w:szCs w:val="21"/>
                    </w:rPr>
                  </w:pPr>
                  <w:r>
                    <w:rPr>
                      <w:rFonts w:eastAsia="等线"/>
                      <w:color w:val="000000"/>
                      <w:szCs w:val="21"/>
                    </w:rPr>
                    <w:t>61</w:t>
                  </w:r>
                </w:p>
              </w:tc>
              <w:tc>
                <w:tcPr>
                  <w:tcW w:w="0" w:type="auto"/>
                  <w:vMerge w:val="restart"/>
                  <w:vAlign w:val="center"/>
                </w:tcPr>
                <w:p w14:paraId="5051B533">
                  <w:pPr>
                    <w:jc w:val="center"/>
                    <w:rPr>
                      <w:szCs w:val="21"/>
                    </w:rPr>
                  </w:pPr>
                  <w:r>
                    <w:rPr>
                      <w:szCs w:val="21"/>
                    </w:rPr>
                    <w:t>CCUS中试实验室-CO</w:t>
                  </w:r>
                  <w:r>
                    <w:rPr>
                      <w:szCs w:val="21"/>
                      <w:vertAlign w:val="subscript"/>
                    </w:rPr>
                    <w:t>2</w:t>
                  </w:r>
                  <w:r>
                    <w:rPr>
                      <w:szCs w:val="21"/>
                    </w:rPr>
                    <w:t>矿化实验</w:t>
                  </w:r>
                </w:p>
              </w:tc>
              <w:tc>
                <w:tcPr>
                  <w:tcW w:w="0" w:type="auto"/>
                  <w:vAlign w:val="center"/>
                </w:tcPr>
                <w:p w14:paraId="69A14C54">
                  <w:pPr>
                    <w:jc w:val="center"/>
                    <w:rPr>
                      <w:szCs w:val="21"/>
                    </w:rPr>
                  </w:pPr>
                  <w:r>
                    <w:rPr>
                      <w:color w:val="000000"/>
                      <w:kern w:val="0"/>
                      <w:szCs w:val="21"/>
                    </w:rPr>
                    <w:t>螺旋给料机</w:t>
                  </w:r>
                </w:p>
              </w:tc>
              <w:tc>
                <w:tcPr>
                  <w:tcW w:w="0" w:type="auto"/>
                  <w:vAlign w:val="center"/>
                </w:tcPr>
                <w:p w14:paraId="6BFA1472">
                  <w:pPr>
                    <w:jc w:val="center"/>
                    <w:rPr>
                      <w:szCs w:val="21"/>
                    </w:rPr>
                  </w:pPr>
                  <w:r>
                    <w:rPr>
                      <w:szCs w:val="21"/>
                    </w:rPr>
                    <w:t>定制</w:t>
                  </w:r>
                </w:p>
              </w:tc>
              <w:tc>
                <w:tcPr>
                  <w:tcW w:w="0" w:type="auto"/>
                  <w:vAlign w:val="center"/>
                </w:tcPr>
                <w:p w14:paraId="3CE11BAA">
                  <w:pPr>
                    <w:jc w:val="center"/>
                    <w:rPr>
                      <w:color w:val="000000"/>
                      <w:szCs w:val="21"/>
                    </w:rPr>
                  </w:pPr>
                  <w:r>
                    <w:rPr>
                      <w:color w:val="000000"/>
                      <w:szCs w:val="21"/>
                    </w:rPr>
                    <w:t>1</w:t>
                  </w:r>
                </w:p>
              </w:tc>
            </w:tr>
            <w:tr w14:paraId="0C2F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867C257">
                  <w:pPr>
                    <w:jc w:val="center"/>
                    <w:rPr>
                      <w:szCs w:val="21"/>
                    </w:rPr>
                  </w:pPr>
                  <w:r>
                    <w:rPr>
                      <w:rFonts w:eastAsia="等线"/>
                      <w:color w:val="000000"/>
                      <w:szCs w:val="21"/>
                    </w:rPr>
                    <w:t>62</w:t>
                  </w:r>
                </w:p>
              </w:tc>
              <w:tc>
                <w:tcPr>
                  <w:tcW w:w="0" w:type="auto"/>
                  <w:vMerge w:val="continue"/>
                  <w:vAlign w:val="center"/>
                </w:tcPr>
                <w:p w14:paraId="6F977A84">
                  <w:pPr>
                    <w:jc w:val="center"/>
                    <w:rPr>
                      <w:szCs w:val="21"/>
                    </w:rPr>
                  </w:pPr>
                </w:p>
              </w:tc>
              <w:tc>
                <w:tcPr>
                  <w:tcW w:w="0" w:type="auto"/>
                  <w:vAlign w:val="center"/>
                </w:tcPr>
                <w:p w14:paraId="2143FDE9">
                  <w:pPr>
                    <w:jc w:val="center"/>
                    <w:rPr>
                      <w:szCs w:val="21"/>
                    </w:rPr>
                  </w:pPr>
                  <w:r>
                    <w:rPr>
                      <w:color w:val="000000"/>
                      <w:kern w:val="0"/>
                      <w:szCs w:val="21"/>
                    </w:rPr>
                    <w:t>出料泵</w:t>
                  </w:r>
                </w:p>
              </w:tc>
              <w:tc>
                <w:tcPr>
                  <w:tcW w:w="0" w:type="auto"/>
                  <w:vAlign w:val="center"/>
                </w:tcPr>
                <w:p w14:paraId="4870931C">
                  <w:pPr>
                    <w:jc w:val="center"/>
                    <w:rPr>
                      <w:szCs w:val="21"/>
                    </w:rPr>
                  </w:pPr>
                  <w:r>
                    <w:rPr>
                      <w:szCs w:val="21"/>
                    </w:rPr>
                    <w:t>定制</w:t>
                  </w:r>
                </w:p>
              </w:tc>
              <w:tc>
                <w:tcPr>
                  <w:tcW w:w="0" w:type="auto"/>
                  <w:vAlign w:val="center"/>
                </w:tcPr>
                <w:p w14:paraId="2113B5B9">
                  <w:pPr>
                    <w:jc w:val="center"/>
                    <w:rPr>
                      <w:color w:val="000000"/>
                      <w:szCs w:val="21"/>
                    </w:rPr>
                  </w:pPr>
                  <w:r>
                    <w:rPr>
                      <w:color w:val="000000"/>
                      <w:szCs w:val="21"/>
                    </w:rPr>
                    <w:t>1</w:t>
                  </w:r>
                </w:p>
              </w:tc>
            </w:tr>
            <w:tr w14:paraId="6A3B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25E10A3">
                  <w:pPr>
                    <w:jc w:val="center"/>
                    <w:rPr>
                      <w:szCs w:val="21"/>
                    </w:rPr>
                  </w:pPr>
                  <w:r>
                    <w:rPr>
                      <w:rFonts w:eastAsia="等线"/>
                      <w:color w:val="000000"/>
                      <w:szCs w:val="21"/>
                    </w:rPr>
                    <w:t>63</w:t>
                  </w:r>
                </w:p>
              </w:tc>
              <w:tc>
                <w:tcPr>
                  <w:tcW w:w="0" w:type="auto"/>
                  <w:vMerge w:val="continue"/>
                  <w:vAlign w:val="center"/>
                </w:tcPr>
                <w:p w14:paraId="4DB127D6">
                  <w:pPr>
                    <w:jc w:val="center"/>
                    <w:rPr>
                      <w:szCs w:val="21"/>
                    </w:rPr>
                  </w:pPr>
                </w:p>
              </w:tc>
              <w:tc>
                <w:tcPr>
                  <w:tcW w:w="0" w:type="auto"/>
                  <w:vAlign w:val="center"/>
                </w:tcPr>
                <w:p w14:paraId="205228CB">
                  <w:pPr>
                    <w:jc w:val="center"/>
                    <w:rPr>
                      <w:color w:val="000000"/>
                      <w:kern w:val="0"/>
                      <w:szCs w:val="21"/>
                    </w:rPr>
                  </w:pPr>
                  <w:r>
                    <w:rPr>
                      <w:color w:val="000000"/>
                      <w:kern w:val="0"/>
                      <w:szCs w:val="21"/>
                    </w:rPr>
                    <w:t>浓缩池</w:t>
                  </w:r>
                </w:p>
              </w:tc>
              <w:tc>
                <w:tcPr>
                  <w:tcW w:w="0" w:type="auto"/>
                  <w:vAlign w:val="center"/>
                </w:tcPr>
                <w:p w14:paraId="0AF3A461">
                  <w:pPr>
                    <w:jc w:val="center"/>
                    <w:rPr>
                      <w:color w:val="000000"/>
                      <w:kern w:val="0"/>
                      <w:szCs w:val="21"/>
                    </w:rPr>
                  </w:pPr>
                  <w:r>
                    <w:rPr>
                      <w:szCs w:val="21"/>
                    </w:rPr>
                    <w:t>定制</w:t>
                  </w:r>
                </w:p>
              </w:tc>
              <w:tc>
                <w:tcPr>
                  <w:tcW w:w="0" w:type="auto"/>
                  <w:vAlign w:val="center"/>
                </w:tcPr>
                <w:p w14:paraId="53AB35C8">
                  <w:pPr>
                    <w:jc w:val="center"/>
                    <w:rPr>
                      <w:color w:val="000000"/>
                      <w:kern w:val="0"/>
                      <w:szCs w:val="21"/>
                    </w:rPr>
                  </w:pPr>
                  <w:r>
                    <w:rPr>
                      <w:color w:val="000000"/>
                      <w:kern w:val="0"/>
                      <w:szCs w:val="21"/>
                    </w:rPr>
                    <w:t>1</w:t>
                  </w:r>
                </w:p>
              </w:tc>
            </w:tr>
            <w:tr w14:paraId="287C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986C5FB">
                  <w:pPr>
                    <w:jc w:val="center"/>
                    <w:rPr>
                      <w:szCs w:val="21"/>
                    </w:rPr>
                  </w:pPr>
                  <w:r>
                    <w:rPr>
                      <w:rFonts w:eastAsia="等线"/>
                      <w:color w:val="000000"/>
                      <w:szCs w:val="21"/>
                    </w:rPr>
                    <w:t>64</w:t>
                  </w:r>
                </w:p>
              </w:tc>
              <w:tc>
                <w:tcPr>
                  <w:tcW w:w="0" w:type="auto"/>
                  <w:vMerge w:val="continue"/>
                  <w:vAlign w:val="center"/>
                </w:tcPr>
                <w:p w14:paraId="22661789">
                  <w:pPr>
                    <w:jc w:val="center"/>
                    <w:rPr>
                      <w:szCs w:val="21"/>
                    </w:rPr>
                  </w:pPr>
                </w:p>
              </w:tc>
              <w:tc>
                <w:tcPr>
                  <w:tcW w:w="0" w:type="auto"/>
                  <w:vAlign w:val="center"/>
                </w:tcPr>
                <w:p w14:paraId="41A1A515">
                  <w:pPr>
                    <w:jc w:val="center"/>
                    <w:rPr>
                      <w:color w:val="000000"/>
                      <w:kern w:val="0"/>
                      <w:szCs w:val="21"/>
                    </w:rPr>
                  </w:pPr>
                  <w:r>
                    <w:rPr>
                      <w:color w:val="000000"/>
                      <w:kern w:val="0"/>
                      <w:szCs w:val="21"/>
                    </w:rPr>
                    <w:t>反应器</w:t>
                  </w:r>
                </w:p>
              </w:tc>
              <w:tc>
                <w:tcPr>
                  <w:tcW w:w="0" w:type="auto"/>
                  <w:vAlign w:val="center"/>
                </w:tcPr>
                <w:p w14:paraId="7146E6F3">
                  <w:pPr>
                    <w:jc w:val="center"/>
                    <w:rPr>
                      <w:color w:val="000000"/>
                      <w:kern w:val="0"/>
                      <w:szCs w:val="21"/>
                    </w:rPr>
                  </w:pPr>
                  <w:r>
                    <w:rPr>
                      <w:szCs w:val="21"/>
                    </w:rPr>
                    <w:t>定制</w:t>
                  </w:r>
                </w:p>
              </w:tc>
              <w:tc>
                <w:tcPr>
                  <w:tcW w:w="0" w:type="auto"/>
                  <w:vAlign w:val="center"/>
                </w:tcPr>
                <w:p w14:paraId="32A96B0E">
                  <w:pPr>
                    <w:jc w:val="center"/>
                    <w:rPr>
                      <w:color w:val="000000"/>
                      <w:kern w:val="0"/>
                      <w:szCs w:val="21"/>
                    </w:rPr>
                  </w:pPr>
                  <w:r>
                    <w:rPr>
                      <w:color w:val="000000"/>
                      <w:kern w:val="0"/>
                      <w:szCs w:val="21"/>
                    </w:rPr>
                    <w:t>1</w:t>
                  </w:r>
                </w:p>
              </w:tc>
            </w:tr>
            <w:tr w14:paraId="7D47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E219212">
                  <w:pPr>
                    <w:jc w:val="center"/>
                    <w:rPr>
                      <w:szCs w:val="21"/>
                    </w:rPr>
                  </w:pPr>
                  <w:r>
                    <w:rPr>
                      <w:rFonts w:eastAsia="等线"/>
                      <w:color w:val="000000"/>
                      <w:szCs w:val="21"/>
                    </w:rPr>
                    <w:t>65</w:t>
                  </w:r>
                </w:p>
              </w:tc>
              <w:tc>
                <w:tcPr>
                  <w:tcW w:w="0" w:type="auto"/>
                  <w:vMerge w:val="continue"/>
                  <w:vAlign w:val="center"/>
                </w:tcPr>
                <w:p w14:paraId="48EDB1E0">
                  <w:pPr>
                    <w:jc w:val="center"/>
                    <w:rPr>
                      <w:szCs w:val="21"/>
                    </w:rPr>
                  </w:pPr>
                </w:p>
              </w:tc>
              <w:tc>
                <w:tcPr>
                  <w:tcW w:w="0" w:type="auto"/>
                  <w:vAlign w:val="center"/>
                </w:tcPr>
                <w:p w14:paraId="61CDC972">
                  <w:pPr>
                    <w:jc w:val="center"/>
                    <w:rPr>
                      <w:color w:val="000000"/>
                      <w:kern w:val="0"/>
                      <w:szCs w:val="21"/>
                    </w:rPr>
                  </w:pPr>
                  <w:r>
                    <w:rPr>
                      <w:color w:val="000000"/>
                      <w:kern w:val="0"/>
                      <w:szCs w:val="21"/>
                    </w:rPr>
                    <w:t>吸收塔</w:t>
                  </w:r>
                </w:p>
              </w:tc>
              <w:tc>
                <w:tcPr>
                  <w:tcW w:w="0" w:type="auto"/>
                  <w:vAlign w:val="center"/>
                </w:tcPr>
                <w:p w14:paraId="2EB609E9">
                  <w:pPr>
                    <w:jc w:val="center"/>
                    <w:rPr>
                      <w:color w:val="000000"/>
                      <w:kern w:val="0"/>
                      <w:szCs w:val="21"/>
                    </w:rPr>
                  </w:pPr>
                  <w:r>
                    <w:rPr>
                      <w:szCs w:val="21"/>
                    </w:rPr>
                    <w:t>定制</w:t>
                  </w:r>
                </w:p>
              </w:tc>
              <w:tc>
                <w:tcPr>
                  <w:tcW w:w="0" w:type="auto"/>
                  <w:vAlign w:val="center"/>
                </w:tcPr>
                <w:p w14:paraId="5701DB4F">
                  <w:pPr>
                    <w:jc w:val="center"/>
                    <w:rPr>
                      <w:color w:val="000000"/>
                      <w:kern w:val="0"/>
                      <w:szCs w:val="21"/>
                    </w:rPr>
                  </w:pPr>
                  <w:r>
                    <w:rPr>
                      <w:color w:val="000000"/>
                      <w:kern w:val="0"/>
                      <w:szCs w:val="21"/>
                    </w:rPr>
                    <w:t>1</w:t>
                  </w:r>
                </w:p>
              </w:tc>
            </w:tr>
            <w:tr w14:paraId="4BAA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14647AE">
                  <w:pPr>
                    <w:jc w:val="center"/>
                    <w:rPr>
                      <w:szCs w:val="21"/>
                    </w:rPr>
                  </w:pPr>
                  <w:r>
                    <w:rPr>
                      <w:rFonts w:eastAsia="等线"/>
                      <w:color w:val="000000"/>
                      <w:szCs w:val="21"/>
                    </w:rPr>
                    <w:t>66</w:t>
                  </w:r>
                </w:p>
              </w:tc>
              <w:tc>
                <w:tcPr>
                  <w:tcW w:w="0" w:type="auto"/>
                  <w:vMerge w:val="continue"/>
                  <w:vAlign w:val="center"/>
                </w:tcPr>
                <w:p w14:paraId="00389F2E">
                  <w:pPr>
                    <w:jc w:val="center"/>
                    <w:rPr>
                      <w:szCs w:val="21"/>
                    </w:rPr>
                  </w:pPr>
                </w:p>
              </w:tc>
              <w:tc>
                <w:tcPr>
                  <w:tcW w:w="0" w:type="auto"/>
                  <w:vAlign w:val="center"/>
                </w:tcPr>
                <w:p w14:paraId="173F4756">
                  <w:pPr>
                    <w:jc w:val="center"/>
                    <w:rPr>
                      <w:color w:val="000000"/>
                      <w:kern w:val="0"/>
                      <w:szCs w:val="21"/>
                    </w:rPr>
                  </w:pPr>
                  <w:r>
                    <w:rPr>
                      <w:color w:val="000000"/>
                      <w:kern w:val="0"/>
                      <w:szCs w:val="21"/>
                    </w:rPr>
                    <w:t>压滤机</w:t>
                  </w:r>
                </w:p>
              </w:tc>
              <w:tc>
                <w:tcPr>
                  <w:tcW w:w="0" w:type="auto"/>
                  <w:vAlign w:val="center"/>
                </w:tcPr>
                <w:p w14:paraId="71A05FE1">
                  <w:pPr>
                    <w:jc w:val="center"/>
                    <w:rPr>
                      <w:color w:val="000000"/>
                      <w:kern w:val="0"/>
                      <w:szCs w:val="21"/>
                    </w:rPr>
                  </w:pPr>
                  <w:r>
                    <w:rPr>
                      <w:szCs w:val="21"/>
                    </w:rPr>
                    <w:t>定制</w:t>
                  </w:r>
                </w:p>
              </w:tc>
              <w:tc>
                <w:tcPr>
                  <w:tcW w:w="0" w:type="auto"/>
                  <w:vAlign w:val="center"/>
                </w:tcPr>
                <w:p w14:paraId="646D2ED1">
                  <w:pPr>
                    <w:jc w:val="center"/>
                    <w:rPr>
                      <w:color w:val="000000"/>
                      <w:kern w:val="0"/>
                      <w:szCs w:val="21"/>
                    </w:rPr>
                  </w:pPr>
                  <w:r>
                    <w:rPr>
                      <w:color w:val="000000"/>
                      <w:kern w:val="0"/>
                      <w:szCs w:val="21"/>
                    </w:rPr>
                    <w:t>1</w:t>
                  </w:r>
                </w:p>
              </w:tc>
            </w:tr>
            <w:tr w14:paraId="0D9B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85FBB6F">
                  <w:pPr>
                    <w:jc w:val="center"/>
                    <w:rPr>
                      <w:szCs w:val="21"/>
                    </w:rPr>
                  </w:pPr>
                  <w:r>
                    <w:rPr>
                      <w:rFonts w:eastAsia="等线"/>
                      <w:color w:val="000000"/>
                      <w:szCs w:val="21"/>
                    </w:rPr>
                    <w:t>67</w:t>
                  </w:r>
                </w:p>
              </w:tc>
              <w:tc>
                <w:tcPr>
                  <w:tcW w:w="0" w:type="auto"/>
                  <w:vMerge w:val="continue"/>
                  <w:vAlign w:val="center"/>
                </w:tcPr>
                <w:p w14:paraId="4BA67427">
                  <w:pPr>
                    <w:jc w:val="center"/>
                    <w:rPr>
                      <w:szCs w:val="21"/>
                    </w:rPr>
                  </w:pPr>
                </w:p>
              </w:tc>
              <w:tc>
                <w:tcPr>
                  <w:tcW w:w="0" w:type="auto"/>
                  <w:vAlign w:val="center"/>
                </w:tcPr>
                <w:p w14:paraId="4BC2EC69">
                  <w:pPr>
                    <w:jc w:val="center"/>
                    <w:rPr>
                      <w:color w:val="000000"/>
                      <w:kern w:val="0"/>
                      <w:szCs w:val="21"/>
                    </w:rPr>
                  </w:pPr>
                  <w:r>
                    <w:rPr>
                      <w:color w:val="000000"/>
                      <w:kern w:val="0"/>
                      <w:szCs w:val="21"/>
                    </w:rPr>
                    <w:t>电控系统</w:t>
                  </w:r>
                </w:p>
              </w:tc>
              <w:tc>
                <w:tcPr>
                  <w:tcW w:w="0" w:type="auto"/>
                  <w:vAlign w:val="center"/>
                </w:tcPr>
                <w:p w14:paraId="0FF455BC">
                  <w:pPr>
                    <w:jc w:val="center"/>
                    <w:rPr>
                      <w:color w:val="000000"/>
                      <w:kern w:val="0"/>
                      <w:szCs w:val="21"/>
                    </w:rPr>
                  </w:pPr>
                  <w:r>
                    <w:rPr>
                      <w:szCs w:val="21"/>
                    </w:rPr>
                    <w:t>定制</w:t>
                  </w:r>
                </w:p>
              </w:tc>
              <w:tc>
                <w:tcPr>
                  <w:tcW w:w="0" w:type="auto"/>
                  <w:vAlign w:val="center"/>
                </w:tcPr>
                <w:p w14:paraId="5DF4A644">
                  <w:pPr>
                    <w:jc w:val="center"/>
                    <w:rPr>
                      <w:color w:val="000000"/>
                      <w:kern w:val="0"/>
                      <w:szCs w:val="21"/>
                    </w:rPr>
                  </w:pPr>
                  <w:r>
                    <w:rPr>
                      <w:color w:val="000000"/>
                      <w:kern w:val="0"/>
                      <w:szCs w:val="21"/>
                    </w:rPr>
                    <w:t>1</w:t>
                  </w:r>
                </w:p>
              </w:tc>
            </w:tr>
            <w:tr w14:paraId="06F0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D57F2CE">
                  <w:pPr>
                    <w:jc w:val="center"/>
                    <w:rPr>
                      <w:szCs w:val="21"/>
                    </w:rPr>
                  </w:pPr>
                  <w:r>
                    <w:rPr>
                      <w:rFonts w:eastAsia="等线"/>
                      <w:color w:val="000000"/>
                      <w:szCs w:val="21"/>
                    </w:rPr>
                    <w:t>68</w:t>
                  </w:r>
                </w:p>
              </w:tc>
              <w:tc>
                <w:tcPr>
                  <w:tcW w:w="0" w:type="auto"/>
                  <w:vMerge w:val="restart"/>
                  <w:vAlign w:val="center"/>
                </w:tcPr>
                <w:p w14:paraId="720AA4FF">
                  <w:pPr>
                    <w:jc w:val="center"/>
                    <w:rPr>
                      <w:szCs w:val="21"/>
                    </w:rPr>
                  </w:pPr>
                  <w:r>
                    <w:rPr>
                      <w:szCs w:val="21"/>
                    </w:rPr>
                    <w:t>CCUS CO</w:t>
                  </w:r>
                  <w:r>
                    <w:rPr>
                      <w:szCs w:val="21"/>
                      <w:vertAlign w:val="subscript"/>
                    </w:rPr>
                    <w:t>2</w:t>
                  </w:r>
                  <w:r>
                    <w:rPr>
                      <w:szCs w:val="21"/>
                    </w:rPr>
                    <w:t>地质利用与封存实验室-CO</w:t>
                  </w:r>
                  <w:r>
                    <w:rPr>
                      <w:szCs w:val="21"/>
                      <w:vertAlign w:val="subscript"/>
                    </w:rPr>
                    <w:t>2</w:t>
                  </w:r>
                  <w:r>
                    <w:rPr>
                      <w:szCs w:val="21"/>
                    </w:rPr>
                    <w:t>驱替实验</w:t>
                  </w:r>
                </w:p>
              </w:tc>
              <w:tc>
                <w:tcPr>
                  <w:tcW w:w="0" w:type="auto"/>
                  <w:vAlign w:val="center"/>
                </w:tcPr>
                <w:p w14:paraId="1D68B483">
                  <w:pPr>
                    <w:jc w:val="center"/>
                    <w:rPr>
                      <w:color w:val="000000"/>
                      <w:kern w:val="0"/>
                      <w:szCs w:val="21"/>
                    </w:rPr>
                  </w:pPr>
                  <w:r>
                    <w:rPr>
                      <w:color w:val="000000"/>
                      <w:kern w:val="0"/>
                      <w:szCs w:val="21"/>
                    </w:rPr>
                    <w:t>流体注入系统</w:t>
                  </w:r>
                </w:p>
              </w:tc>
              <w:tc>
                <w:tcPr>
                  <w:tcW w:w="0" w:type="auto"/>
                  <w:vAlign w:val="center"/>
                </w:tcPr>
                <w:p w14:paraId="54E1D264">
                  <w:pPr>
                    <w:jc w:val="center"/>
                    <w:rPr>
                      <w:color w:val="000000"/>
                      <w:kern w:val="0"/>
                      <w:szCs w:val="21"/>
                    </w:rPr>
                  </w:pPr>
                  <w:r>
                    <w:rPr>
                      <w:szCs w:val="21"/>
                    </w:rPr>
                    <w:t>定制</w:t>
                  </w:r>
                </w:p>
              </w:tc>
              <w:tc>
                <w:tcPr>
                  <w:tcW w:w="0" w:type="auto"/>
                  <w:vAlign w:val="center"/>
                </w:tcPr>
                <w:p w14:paraId="22573745">
                  <w:pPr>
                    <w:jc w:val="center"/>
                    <w:rPr>
                      <w:color w:val="000000"/>
                      <w:kern w:val="0"/>
                      <w:szCs w:val="21"/>
                    </w:rPr>
                  </w:pPr>
                  <w:r>
                    <w:rPr>
                      <w:color w:val="000000"/>
                      <w:kern w:val="0"/>
                      <w:szCs w:val="21"/>
                    </w:rPr>
                    <w:t>1</w:t>
                  </w:r>
                </w:p>
              </w:tc>
            </w:tr>
            <w:tr w14:paraId="0DE6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5D686D0">
                  <w:pPr>
                    <w:jc w:val="center"/>
                    <w:rPr>
                      <w:szCs w:val="21"/>
                    </w:rPr>
                  </w:pPr>
                  <w:r>
                    <w:rPr>
                      <w:rFonts w:eastAsia="等线"/>
                      <w:color w:val="000000"/>
                      <w:szCs w:val="21"/>
                    </w:rPr>
                    <w:t>69</w:t>
                  </w:r>
                </w:p>
              </w:tc>
              <w:tc>
                <w:tcPr>
                  <w:tcW w:w="0" w:type="auto"/>
                  <w:vMerge w:val="continue"/>
                  <w:vAlign w:val="center"/>
                </w:tcPr>
                <w:p w14:paraId="11FE88D9">
                  <w:pPr>
                    <w:jc w:val="center"/>
                    <w:rPr>
                      <w:szCs w:val="21"/>
                    </w:rPr>
                  </w:pPr>
                </w:p>
              </w:tc>
              <w:tc>
                <w:tcPr>
                  <w:tcW w:w="0" w:type="auto"/>
                  <w:vAlign w:val="center"/>
                </w:tcPr>
                <w:p w14:paraId="6CD4A88A">
                  <w:pPr>
                    <w:jc w:val="center"/>
                    <w:rPr>
                      <w:color w:val="000000"/>
                      <w:kern w:val="0"/>
                      <w:szCs w:val="21"/>
                    </w:rPr>
                  </w:pPr>
                  <w:r>
                    <w:rPr>
                      <w:color w:val="000000"/>
                      <w:kern w:val="0"/>
                      <w:szCs w:val="21"/>
                    </w:rPr>
                    <w:t>储层模拟系统</w:t>
                  </w:r>
                </w:p>
              </w:tc>
              <w:tc>
                <w:tcPr>
                  <w:tcW w:w="0" w:type="auto"/>
                  <w:vAlign w:val="center"/>
                </w:tcPr>
                <w:p w14:paraId="35529E2C">
                  <w:pPr>
                    <w:jc w:val="center"/>
                    <w:rPr>
                      <w:color w:val="000000"/>
                      <w:kern w:val="0"/>
                      <w:szCs w:val="21"/>
                    </w:rPr>
                  </w:pPr>
                  <w:r>
                    <w:rPr>
                      <w:szCs w:val="21"/>
                    </w:rPr>
                    <w:t>定制</w:t>
                  </w:r>
                </w:p>
              </w:tc>
              <w:tc>
                <w:tcPr>
                  <w:tcW w:w="0" w:type="auto"/>
                  <w:vAlign w:val="center"/>
                </w:tcPr>
                <w:p w14:paraId="10DD1E78">
                  <w:pPr>
                    <w:jc w:val="center"/>
                    <w:rPr>
                      <w:color w:val="000000"/>
                      <w:kern w:val="0"/>
                      <w:szCs w:val="21"/>
                    </w:rPr>
                  </w:pPr>
                  <w:r>
                    <w:rPr>
                      <w:color w:val="000000"/>
                      <w:kern w:val="0"/>
                      <w:szCs w:val="21"/>
                    </w:rPr>
                    <w:t>1</w:t>
                  </w:r>
                </w:p>
              </w:tc>
            </w:tr>
            <w:tr w14:paraId="7DA4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F4DC858">
                  <w:pPr>
                    <w:jc w:val="center"/>
                    <w:rPr>
                      <w:szCs w:val="21"/>
                    </w:rPr>
                  </w:pPr>
                  <w:r>
                    <w:rPr>
                      <w:rFonts w:eastAsia="等线"/>
                      <w:color w:val="000000"/>
                      <w:szCs w:val="21"/>
                    </w:rPr>
                    <w:t>70</w:t>
                  </w:r>
                </w:p>
              </w:tc>
              <w:tc>
                <w:tcPr>
                  <w:tcW w:w="0" w:type="auto"/>
                  <w:vMerge w:val="continue"/>
                  <w:vAlign w:val="center"/>
                </w:tcPr>
                <w:p w14:paraId="360BA479">
                  <w:pPr>
                    <w:jc w:val="center"/>
                    <w:rPr>
                      <w:szCs w:val="21"/>
                    </w:rPr>
                  </w:pPr>
                </w:p>
              </w:tc>
              <w:tc>
                <w:tcPr>
                  <w:tcW w:w="0" w:type="auto"/>
                  <w:vAlign w:val="center"/>
                </w:tcPr>
                <w:p w14:paraId="77B17AE3">
                  <w:pPr>
                    <w:jc w:val="center"/>
                    <w:rPr>
                      <w:color w:val="000000"/>
                      <w:kern w:val="0"/>
                      <w:szCs w:val="21"/>
                    </w:rPr>
                  </w:pPr>
                  <w:r>
                    <w:rPr>
                      <w:color w:val="000000"/>
                      <w:kern w:val="0"/>
                      <w:szCs w:val="21"/>
                    </w:rPr>
                    <w:t>自动环压控制系统</w:t>
                  </w:r>
                </w:p>
              </w:tc>
              <w:tc>
                <w:tcPr>
                  <w:tcW w:w="0" w:type="auto"/>
                  <w:vAlign w:val="center"/>
                </w:tcPr>
                <w:p w14:paraId="6EC45ADC">
                  <w:pPr>
                    <w:jc w:val="center"/>
                    <w:rPr>
                      <w:color w:val="000000"/>
                      <w:kern w:val="0"/>
                      <w:szCs w:val="21"/>
                    </w:rPr>
                  </w:pPr>
                  <w:r>
                    <w:rPr>
                      <w:szCs w:val="21"/>
                    </w:rPr>
                    <w:t>定制</w:t>
                  </w:r>
                </w:p>
              </w:tc>
              <w:tc>
                <w:tcPr>
                  <w:tcW w:w="0" w:type="auto"/>
                  <w:vAlign w:val="center"/>
                </w:tcPr>
                <w:p w14:paraId="61F7E1F5">
                  <w:pPr>
                    <w:jc w:val="center"/>
                    <w:rPr>
                      <w:color w:val="000000"/>
                      <w:kern w:val="0"/>
                      <w:szCs w:val="21"/>
                    </w:rPr>
                  </w:pPr>
                  <w:r>
                    <w:rPr>
                      <w:color w:val="000000"/>
                      <w:kern w:val="0"/>
                      <w:szCs w:val="21"/>
                    </w:rPr>
                    <w:t>1</w:t>
                  </w:r>
                </w:p>
              </w:tc>
            </w:tr>
            <w:tr w14:paraId="6128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7478555">
                  <w:pPr>
                    <w:jc w:val="center"/>
                    <w:rPr>
                      <w:szCs w:val="21"/>
                    </w:rPr>
                  </w:pPr>
                  <w:r>
                    <w:rPr>
                      <w:rFonts w:eastAsia="等线"/>
                      <w:color w:val="000000"/>
                      <w:szCs w:val="21"/>
                    </w:rPr>
                    <w:t>71</w:t>
                  </w:r>
                </w:p>
              </w:tc>
              <w:tc>
                <w:tcPr>
                  <w:tcW w:w="0" w:type="auto"/>
                  <w:vMerge w:val="continue"/>
                  <w:vAlign w:val="center"/>
                </w:tcPr>
                <w:p w14:paraId="5DD2BBE2">
                  <w:pPr>
                    <w:jc w:val="center"/>
                    <w:rPr>
                      <w:szCs w:val="21"/>
                    </w:rPr>
                  </w:pPr>
                </w:p>
              </w:tc>
              <w:tc>
                <w:tcPr>
                  <w:tcW w:w="0" w:type="auto"/>
                  <w:vAlign w:val="center"/>
                </w:tcPr>
                <w:p w14:paraId="787EBB2B">
                  <w:pPr>
                    <w:jc w:val="center"/>
                    <w:rPr>
                      <w:color w:val="000000"/>
                      <w:kern w:val="0"/>
                      <w:szCs w:val="21"/>
                    </w:rPr>
                  </w:pPr>
                  <w:r>
                    <w:rPr>
                      <w:color w:val="000000"/>
                      <w:kern w:val="0"/>
                      <w:szCs w:val="21"/>
                    </w:rPr>
                    <w:t>自动回压控制系统</w:t>
                  </w:r>
                </w:p>
              </w:tc>
              <w:tc>
                <w:tcPr>
                  <w:tcW w:w="0" w:type="auto"/>
                  <w:vAlign w:val="center"/>
                </w:tcPr>
                <w:p w14:paraId="30DF5A4E">
                  <w:pPr>
                    <w:jc w:val="center"/>
                    <w:rPr>
                      <w:color w:val="000000"/>
                      <w:kern w:val="0"/>
                      <w:szCs w:val="21"/>
                    </w:rPr>
                  </w:pPr>
                  <w:r>
                    <w:rPr>
                      <w:szCs w:val="21"/>
                    </w:rPr>
                    <w:t>定制</w:t>
                  </w:r>
                </w:p>
              </w:tc>
              <w:tc>
                <w:tcPr>
                  <w:tcW w:w="0" w:type="auto"/>
                  <w:vAlign w:val="center"/>
                </w:tcPr>
                <w:p w14:paraId="02325D0F">
                  <w:pPr>
                    <w:jc w:val="center"/>
                    <w:rPr>
                      <w:color w:val="000000"/>
                      <w:kern w:val="0"/>
                      <w:szCs w:val="21"/>
                    </w:rPr>
                  </w:pPr>
                  <w:r>
                    <w:rPr>
                      <w:color w:val="000000"/>
                      <w:kern w:val="0"/>
                      <w:szCs w:val="21"/>
                    </w:rPr>
                    <w:t>1</w:t>
                  </w:r>
                </w:p>
              </w:tc>
            </w:tr>
            <w:tr w14:paraId="5BD7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42F4610">
                  <w:pPr>
                    <w:jc w:val="center"/>
                    <w:rPr>
                      <w:szCs w:val="21"/>
                    </w:rPr>
                  </w:pPr>
                  <w:r>
                    <w:rPr>
                      <w:rFonts w:eastAsia="等线"/>
                      <w:color w:val="000000"/>
                      <w:szCs w:val="21"/>
                    </w:rPr>
                    <w:t>72</w:t>
                  </w:r>
                </w:p>
              </w:tc>
              <w:tc>
                <w:tcPr>
                  <w:tcW w:w="0" w:type="auto"/>
                  <w:vMerge w:val="continue"/>
                  <w:vAlign w:val="center"/>
                </w:tcPr>
                <w:p w14:paraId="349FB4D8">
                  <w:pPr>
                    <w:jc w:val="center"/>
                    <w:rPr>
                      <w:szCs w:val="21"/>
                    </w:rPr>
                  </w:pPr>
                </w:p>
              </w:tc>
              <w:tc>
                <w:tcPr>
                  <w:tcW w:w="0" w:type="auto"/>
                  <w:vAlign w:val="center"/>
                </w:tcPr>
                <w:p w14:paraId="6DE9A4EC">
                  <w:pPr>
                    <w:jc w:val="center"/>
                    <w:rPr>
                      <w:color w:val="000000"/>
                      <w:kern w:val="0"/>
                      <w:szCs w:val="21"/>
                    </w:rPr>
                  </w:pPr>
                  <w:r>
                    <w:rPr>
                      <w:color w:val="000000"/>
                      <w:kern w:val="0"/>
                      <w:szCs w:val="21"/>
                    </w:rPr>
                    <w:t>产出物采集计量系统</w:t>
                  </w:r>
                </w:p>
              </w:tc>
              <w:tc>
                <w:tcPr>
                  <w:tcW w:w="0" w:type="auto"/>
                  <w:vAlign w:val="center"/>
                </w:tcPr>
                <w:p w14:paraId="3768E580">
                  <w:pPr>
                    <w:jc w:val="center"/>
                    <w:rPr>
                      <w:color w:val="000000"/>
                      <w:kern w:val="0"/>
                      <w:szCs w:val="21"/>
                    </w:rPr>
                  </w:pPr>
                  <w:r>
                    <w:rPr>
                      <w:szCs w:val="21"/>
                    </w:rPr>
                    <w:t>定制</w:t>
                  </w:r>
                </w:p>
              </w:tc>
              <w:tc>
                <w:tcPr>
                  <w:tcW w:w="0" w:type="auto"/>
                  <w:vAlign w:val="center"/>
                </w:tcPr>
                <w:p w14:paraId="0242E856">
                  <w:pPr>
                    <w:jc w:val="center"/>
                    <w:rPr>
                      <w:color w:val="000000"/>
                      <w:kern w:val="0"/>
                      <w:szCs w:val="21"/>
                    </w:rPr>
                  </w:pPr>
                  <w:r>
                    <w:rPr>
                      <w:color w:val="000000"/>
                      <w:kern w:val="0"/>
                      <w:szCs w:val="21"/>
                    </w:rPr>
                    <w:t>1</w:t>
                  </w:r>
                </w:p>
              </w:tc>
            </w:tr>
            <w:tr w14:paraId="662A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607A801">
                  <w:pPr>
                    <w:jc w:val="center"/>
                    <w:rPr>
                      <w:szCs w:val="21"/>
                    </w:rPr>
                  </w:pPr>
                  <w:r>
                    <w:rPr>
                      <w:rFonts w:eastAsia="等线"/>
                      <w:color w:val="000000"/>
                      <w:szCs w:val="21"/>
                    </w:rPr>
                    <w:t>73</w:t>
                  </w:r>
                </w:p>
              </w:tc>
              <w:tc>
                <w:tcPr>
                  <w:tcW w:w="0" w:type="auto"/>
                  <w:vMerge w:val="continue"/>
                  <w:vAlign w:val="center"/>
                </w:tcPr>
                <w:p w14:paraId="1EC528CC">
                  <w:pPr>
                    <w:jc w:val="center"/>
                    <w:rPr>
                      <w:szCs w:val="21"/>
                    </w:rPr>
                  </w:pPr>
                </w:p>
              </w:tc>
              <w:tc>
                <w:tcPr>
                  <w:tcW w:w="0" w:type="auto"/>
                  <w:vAlign w:val="center"/>
                </w:tcPr>
                <w:p w14:paraId="0CBAEC76">
                  <w:pPr>
                    <w:jc w:val="center"/>
                    <w:rPr>
                      <w:color w:val="000000"/>
                      <w:kern w:val="0"/>
                      <w:szCs w:val="21"/>
                    </w:rPr>
                  </w:pPr>
                  <w:r>
                    <w:rPr>
                      <w:color w:val="000000"/>
                      <w:kern w:val="0"/>
                      <w:szCs w:val="21"/>
                    </w:rPr>
                    <w:t>数据采集和计算机控制系统</w:t>
                  </w:r>
                </w:p>
              </w:tc>
              <w:tc>
                <w:tcPr>
                  <w:tcW w:w="0" w:type="auto"/>
                  <w:vAlign w:val="center"/>
                </w:tcPr>
                <w:p w14:paraId="7A0E0FE1">
                  <w:pPr>
                    <w:jc w:val="center"/>
                    <w:rPr>
                      <w:color w:val="000000"/>
                      <w:kern w:val="0"/>
                      <w:szCs w:val="21"/>
                    </w:rPr>
                  </w:pPr>
                  <w:r>
                    <w:rPr>
                      <w:szCs w:val="21"/>
                    </w:rPr>
                    <w:t>定制</w:t>
                  </w:r>
                </w:p>
              </w:tc>
              <w:tc>
                <w:tcPr>
                  <w:tcW w:w="0" w:type="auto"/>
                  <w:vAlign w:val="center"/>
                </w:tcPr>
                <w:p w14:paraId="4FE38325">
                  <w:pPr>
                    <w:jc w:val="center"/>
                    <w:rPr>
                      <w:color w:val="000000"/>
                      <w:kern w:val="0"/>
                      <w:szCs w:val="21"/>
                    </w:rPr>
                  </w:pPr>
                  <w:r>
                    <w:rPr>
                      <w:color w:val="000000"/>
                      <w:kern w:val="0"/>
                      <w:szCs w:val="21"/>
                    </w:rPr>
                    <w:t>1</w:t>
                  </w:r>
                </w:p>
              </w:tc>
            </w:tr>
            <w:tr w14:paraId="00AC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BE2747B">
                  <w:pPr>
                    <w:jc w:val="center"/>
                    <w:rPr>
                      <w:szCs w:val="21"/>
                    </w:rPr>
                  </w:pPr>
                  <w:r>
                    <w:rPr>
                      <w:rFonts w:eastAsia="等线"/>
                      <w:color w:val="000000"/>
                      <w:szCs w:val="21"/>
                    </w:rPr>
                    <w:t>74</w:t>
                  </w:r>
                </w:p>
              </w:tc>
              <w:tc>
                <w:tcPr>
                  <w:tcW w:w="0" w:type="auto"/>
                  <w:vMerge w:val="continue"/>
                  <w:vAlign w:val="center"/>
                </w:tcPr>
                <w:p w14:paraId="699B8698">
                  <w:pPr>
                    <w:jc w:val="center"/>
                    <w:rPr>
                      <w:szCs w:val="21"/>
                    </w:rPr>
                  </w:pPr>
                </w:p>
              </w:tc>
              <w:tc>
                <w:tcPr>
                  <w:tcW w:w="0" w:type="auto"/>
                  <w:vAlign w:val="center"/>
                </w:tcPr>
                <w:p w14:paraId="0E87756D">
                  <w:pPr>
                    <w:jc w:val="center"/>
                    <w:rPr>
                      <w:color w:val="000000"/>
                      <w:kern w:val="0"/>
                      <w:szCs w:val="21"/>
                    </w:rPr>
                  </w:pPr>
                  <w:r>
                    <w:rPr>
                      <w:color w:val="000000"/>
                      <w:kern w:val="0"/>
                      <w:szCs w:val="21"/>
                    </w:rPr>
                    <w:t>电控系统</w:t>
                  </w:r>
                </w:p>
              </w:tc>
              <w:tc>
                <w:tcPr>
                  <w:tcW w:w="0" w:type="auto"/>
                  <w:vAlign w:val="center"/>
                </w:tcPr>
                <w:p w14:paraId="7DB081E7">
                  <w:pPr>
                    <w:jc w:val="center"/>
                    <w:rPr>
                      <w:color w:val="000000"/>
                      <w:kern w:val="0"/>
                      <w:szCs w:val="21"/>
                    </w:rPr>
                  </w:pPr>
                  <w:r>
                    <w:rPr>
                      <w:szCs w:val="21"/>
                    </w:rPr>
                    <w:t>定制</w:t>
                  </w:r>
                </w:p>
              </w:tc>
              <w:tc>
                <w:tcPr>
                  <w:tcW w:w="0" w:type="auto"/>
                  <w:vAlign w:val="center"/>
                </w:tcPr>
                <w:p w14:paraId="4A92E6C9">
                  <w:pPr>
                    <w:jc w:val="center"/>
                    <w:rPr>
                      <w:color w:val="000000"/>
                      <w:kern w:val="0"/>
                      <w:szCs w:val="21"/>
                    </w:rPr>
                  </w:pPr>
                  <w:r>
                    <w:rPr>
                      <w:color w:val="000000"/>
                      <w:kern w:val="0"/>
                      <w:szCs w:val="21"/>
                    </w:rPr>
                    <w:t>1</w:t>
                  </w:r>
                </w:p>
              </w:tc>
            </w:tr>
            <w:tr w14:paraId="19B9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A2210B1">
                  <w:pPr>
                    <w:jc w:val="center"/>
                    <w:rPr>
                      <w:szCs w:val="21"/>
                    </w:rPr>
                  </w:pPr>
                  <w:r>
                    <w:rPr>
                      <w:rFonts w:eastAsia="等线"/>
                      <w:color w:val="000000"/>
                      <w:szCs w:val="21"/>
                    </w:rPr>
                    <w:t>75</w:t>
                  </w:r>
                </w:p>
              </w:tc>
              <w:tc>
                <w:tcPr>
                  <w:tcW w:w="0" w:type="auto"/>
                  <w:vMerge w:val="restart"/>
                  <w:vAlign w:val="center"/>
                </w:tcPr>
                <w:p w14:paraId="17E73C0E">
                  <w:pPr>
                    <w:jc w:val="center"/>
                    <w:rPr>
                      <w:szCs w:val="21"/>
                    </w:rPr>
                  </w:pPr>
                  <w:r>
                    <w:rPr>
                      <w:szCs w:val="21"/>
                    </w:rPr>
                    <w:t>地下清洁能源资源方向</w:t>
                  </w:r>
                  <w:r>
                    <w:rPr>
                      <w:rFonts w:hint="eastAsia"/>
                      <w:szCs w:val="21"/>
                    </w:rPr>
                    <w:t>--</w:t>
                  </w:r>
                  <w:r>
                    <w:rPr>
                      <w:rFonts w:hint="eastAsia"/>
                    </w:rPr>
                    <w:t>氢气、氦气测试分析实验室、储能关键金属实验室</w:t>
                  </w:r>
                </w:p>
              </w:tc>
              <w:tc>
                <w:tcPr>
                  <w:tcW w:w="0" w:type="auto"/>
                  <w:vAlign w:val="center"/>
                </w:tcPr>
                <w:p w14:paraId="1CF7B231">
                  <w:pPr>
                    <w:jc w:val="center"/>
                    <w:rPr>
                      <w:color w:val="000000"/>
                      <w:kern w:val="0"/>
                      <w:szCs w:val="21"/>
                    </w:rPr>
                  </w:pPr>
                  <w:r>
                    <w:rPr>
                      <w:color w:val="000000"/>
                      <w:kern w:val="0"/>
                      <w:szCs w:val="21"/>
                      <w:lang w:bidi="ar"/>
                    </w:rPr>
                    <w:t>烟气分析仪</w:t>
                  </w:r>
                </w:p>
              </w:tc>
              <w:tc>
                <w:tcPr>
                  <w:tcW w:w="0" w:type="auto"/>
                  <w:vAlign w:val="center"/>
                </w:tcPr>
                <w:p w14:paraId="657BB1C1">
                  <w:pPr>
                    <w:jc w:val="center"/>
                    <w:rPr>
                      <w:color w:val="000000"/>
                      <w:kern w:val="0"/>
                      <w:szCs w:val="21"/>
                    </w:rPr>
                  </w:pPr>
                  <w:r>
                    <w:rPr>
                      <w:color w:val="000000"/>
                      <w:kern w:val="0"/>
                      <w:szCs w:val="21"/>
                      <w:lang w:bidi="ar"/>
                    </w:rPr>
                    <w:t>GA-5000</w:t>
                  </w:r>
                </w:p>
              </w:tc>
              <w:tc>
                <w:tcPr>
                  <w:tcW w:w="0" w:type="auto"/>
                  <w:vAlign w:val="center"/>
                </w:tcPr>
                <w:p w14:paraId="3CD6DBC2">
                  <w:pPr>
                    <w:jc w:val="center"/>
                    <w:rPr>
                      <w:color w:val="000000"/>
                      <w:kern w:val="0"/>
                      <w:szCs w:val="21"/>
                    </w:rPr>
                  </w:pPr>
                  <w:r>
                    <w:rPr>
                      <w:color w:val="000000"/>
                      <w:kern w:val="0"/>
                      <w:szCs w:val="21"/>
                    </w:rPr>
                    <w:t>1</w:t>
                  </w:r>
                </w:p>
              </w:tc>
            </w:tr>
            <w:tr w14:paraId="30F7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0CE8A0A">
                  <w:pPr>
                    <w:jc w:val="center"/>
                    <w:rPr>
                      <w:szCs w:val="21"/>
                    </w:rPr>
                  </w:pPr>
                  <w:r>
                    <w:rPr>
                      <w:rFonts w:eastAsia="等线"/>
                      <w:color w:val="000000"/>
                      <w:szCs w:val="21"/>
                    </w:rPr>
                    <w:t>76</w:t>
                  </w:r>
                </w:p>
              </w:tc>
              <w:tc>
                <w:tcPr>
                  <w:tcW w:w="0" w:type="auto"/>
                  <w:vMerge w:val="continue"/>
                  <w:vAlign w:val="center"/>
                </w:tcPr>
                <w:p w14:paraId="2E92709C">
                  <w:pPr>
                    <w:jc w:val="center"/>
                    <w:rPr>
                      <w:szCs w:val="21"/>
                    </w:rPr>
                  </w:pPr>
                </w:p>
              </w:tc>
              <w:tc>
                <w:tcPr>
                  <w:tcW w:w="0" w:type="auto"/>
                  <w:vAlign w:val="center"/>
                </w:tcPr>
                <w:p w14:paraId="42F6D562">
                  <w:pPr>
                    <w:jc w:val="center"/>
                    <w:rPr>
                      <w:color w:val="000000"/>
                      <w:kern w:val="0"/>
                      <w:szCs w:val="21"/>
                    </w:rPr>
                  </w:pPr>
                  <w:r>
                    <w:rPr>
                      <w:color w:val="000000"/>
                      <w:kern w:val="0"/>
                      <w:szCs w:val="21"/>
                      <w:lang w:bidi="ar"/>
                    </w:rPr>
                    <w:t>测氡仪</w:t>
                  </w:r>
                </w:p>
              </w:tc>
              <w:tc>
                <w:tcPr>
                  <w:tcW w:w="0" w:type="auto"/>
                  <w:vAlign w:val="center"/>
                </w:tcPr>
                <w:p w14:paraId="1264D9BC">
                  <w:pPr>
                    <w:jc w:val="center"/>
                    <w:rPr>
                      <w:color w:val="000000"/>
                      <w:kern w:val="0"/>
                      <w:szCs w:val="21"/>
                    </w:rPr>
                  </w:pPr>
                  <w:r>
                    <w:rPr>
                      <w:color w:val="000000"/>
                      <w:kern w:val="0"/>
                      <w:szCs w:val="21"/>
                      <w:lang w:bidi="ar"/>
                    </w:rPr>
                    <w:t>AlphaGuard PQ2000pro</w:t>
                  </w:r>
                </w:p>
              </w:tc>
              <w:tc>
                <w:tcPr>
                  <w:tcW w:w="0" w:type="auto"/>
                  <w:vAlign w:val="center"/>
                </w:tcPr>
                <w:p w14:paraId="581ECEFA">
                  <w:pPr>
                    <w:jc w:val="center"/>
                    <w:rPr>
                      <w:color w:val="000000"/>
                      <w:kern w:val="0"/>
                      <w:szCs w:val="21"/>
                    </w:rPr>
                  </w:pPr>
                  <w:r>
                    <w:rPr>
                      <w:color w:val="000000"/>
                      <w:kern w:val="0"/>
                      <w:szCs w:val="21"/>
                    </w:rPr>
                    <w:t>1</w:t>
                  </w:r>
                </w:p>
              </w:tc>
            </w:tr>
            <w:tr w14:paraId="0879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D8C8DF7">
                  <w:pPr>
                    <w:jc w:val="center"/>
                    <w:rPr>
                      <w:szCs w:val="21"/>
                    </w:rPr>
                  </w:pPr>
                  <w:r>
                    <w:rPr>
                      <w:rFonts w:eastAsia="等线"/>
                      <w:color w:val="000000"/>
                      <w:szCs w:val="21"/>
                    </w:rPr>
                    <w:t>77</w:t>
                  </w:r>
                </w:p>
              </w:tc>
              <w:tc>
                <w:tcPr>
                  <w:tcW w:w="0" w:type="auto"/>
                  <w:vMerge w:val="continue"/>
                  <w:vAlign w:val="center"/>
                </w:tcPr>
                <w:p w14:paraId="642EF573">
                  <w:pPr>
                    <w:jc w:val="center"/>
                    <w:rPr>
                      <w:szCs w:val="21"/>
                    </w:rPr>
                  </w:pPr>
                </w:p>
              </w:tc>
              <w:tc>
                <w:tcPr>
                  <w:tcW w:w="0" w:type="auto"/>
                  <w:vAlign w:val="center"/>
                </w:tcPr>
                <w:p w14:paraId="788B29DF">
                  <w:pPr>
                    <w:jc w:val="center"/>
                    <w:rPr>
                      <w:color w:val="000000"/>
                      <w:kern w:val="0"/>
                      <w:szCs w:val="21"/>
                    </w:rPr>
                  </w:pPr>
                  <w:r>
                    <w:rPr>
                      <w:color w:val="000000"/>
                      <w:kern w:val="0"/>
                      <w:szCs w:val="21"/>
                      <w:lang w:bidi="ar"/>
                    </w:rPr>
                    <w:t>气体检测仪</w:t>
                  </w:r>
                </w:p>
              </w:tc>
              <w:tc>
                <w:tcPr>
                  <w:tcW w:w="0" w:type="auto"/>
                  <w:vAlign w:val="center"/>
                </w:tcPr>
                <w:p w14:paraId="0DD23BD6">
                  <w:pPr>
                    <w:jc w:val="center"/>
                    <w:rPr>
                      <w:color w:val="000000"/>
                      <w:kern w:val="0"/>
                      <w:szCs w:val="21"/>
                    </w:rPr>
                  </w:pPr>
                  <w:r>
                    <w:rPr>
                      <w:color w:val="000000"/>
                      <w:kern w:val="0"/>
                      <w:szCs w:val="21"/>
                      <w:lang w:bidi="ar"/>
                    </w:rPr>
                    <w:t>Gas-check</w:t>
                  </w:r>
                </w:p>
              </w:tc>
              <w:tc>
                <w:tcPr>
                  <w:tcW w:w="0" w:type="auto"/>
                  <w:vAlign w:val="center"/>
                </w:tcPr>
                <w:p w14:paraId="366980AB">
                  <w:pPr>
                    <w:jc w:val="center"/>
                    <w:rPr>
                      <w:color w:val="000000"/>
                      <w:kern w:val="0"/>
                      <w:szCs w:val="21"/>
                    </w:rPr>
                  </w:pPr>
                  <w:r>
                    <w:rPr>
                      <w:color w:val="000000"/>
                      <w:kern w:val="0"/>
                      <w:szCs w:val="21"/>
                    </w:rPr>
                    <w:t>1</w:t>
                  </w:r>
                </w:p>
              </w:tc>
            </w:tr>
            <w:tr w14:paraId="5722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11C5212">
                  <w:pPr>
                    <w:jc w:val="center"/>
                    <w:rPr>
                      <w:szCs w:val="21"/>
                    </w:rPr>
                  </w:pPr>
                  <w:r>
                    <w:rPr>
                      <w:rFonts w:eastAsia="等线"/>
                      <w:color w:val="000000"/>
                      <w:szCs w:val="21"/>
                    </w:rPr>
                    <w:t>78</w:t>
                  </w:r>
                </w:p>
              </w:tc>
              <w:tc>
                <w:tcPr>
                  <w:tcW w:w="0" w:type="auto"/>
                  <w:vMerge w:val="continue"/>
                  <w:vAlign w:val="center"/>
                </w:tcPr>
                <w:p w14:paraId="26855A80">
                  <w:pPr>
                    <w:jc w:val="center"/>
                    <w:rPr>
                      <w:szCs w:val="21"/>
                    </w:rPr>
                  </w:pPr>
                </w:p>
              </w:tc>
              <w:tc>
                <w:tcPr>
                  <w:tcW w:w="0" w:type="auto"/>
                  <w:vAlign w:val="center"/>
                </w:tcPr>
                <w:p w14:paraId="64EDB1CC">
                  <w:pPr>
                    <w:jc w:val="center"/>
                    <w:rPr>
                      <w:color w:val="000000"/>
                      <w:kern w:val="0"/>
                      <w:szCs w:val="21"/>
                    </w:rPr>
                  </w:pPr>
                  <w:r>
                    <w:rPr>
                      <w:color w:val="000000"/>
                      <w:kern w:val="0"/>
                      <w:szCs w:val="21"/>
                      <w:lang w:bidi="ar"/>
                    </w:rPr>
                    <w:t>东京测器土壤压计</w:t>
                  </w:r>
                </w:p>
              </w:tc>
              <w:tc>
                <w:tcPr>
                  <w:tcW w:w="0" w:type="auto"/>
                  <w:vAlign w:val="center"/>
                </w:tcPr>
                <w:p w14:paraId="0DCABC06">
                  <w:pPr>
                    <w:jc w:val="center"/>
                    <w:rPr>
                      <w:color w:val="000000"/>
                      <w:kern w:val="0"/>
                      <w:szCs w:val="21"/>
                    </w:rPr>
                  </w:pPr>
                  <w:r>
                    <w:rPr>
                      <w:color w:val="000000"/>
                      <w:kern w:val="0"/>
                      <w:szCs w:val="21"/>
                      <w:lang w:bidi="ar"/>
                    </w:rPr>
                    <w:t>TML(Kenkyujo)</w:t>
                  </w:r>
                </w:p>
              </w:tc>
              <w:tc>
                <w:tcPr>
                  <w:tcW w:w="0" w:type="auto"/>
                  <w:vAlign w:val="center"/>
                </w:tcPr>
                <w:p w14:paraId="3A1F202F">
                  <w:pPr>
                    <w:jc w:val="center"/>
                    <w:rPr>
                      <w:color w:val="000000"/>
                      <w:kern w:val="0"/>
                      <w:szCs w:val="21"/>
                    </w:rPr>
                  </w:pPr>
                  <w:r>
                    <w:rPr>
                      <w:color w:val="000000"/>
                      <w:kern w:val="0"/>
                      <w:szCs w:val="21"/>
                    </w:rPr>
                    <w:t>1</w:t>
                  </w:r>
                </w:p>
              </w:tc>
            </w:tr>
            <w:tr w14:paraId="56F8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D4CED0F">
                  <w:pPr>
                    <w:jc w:val="center"/>
                    <w:rPr>
                      <w:szCs w:val="21"/>
                    </w:rPr>
                  </w:pPr>
                  <w:r>
                    <w:rPr>
                      <w:rFonts w:eastAsia="等线"/>
                      <w:color w:val="000000"/>
                      <w:szCs w:val="21"/>
                    </w:rPr>
                    <w:t>79</w:t>
                  </w:r>
                </w:p>
              </w:tc>
              <w:tc>
                <w:tcPr>
                  <w:tcW w:w="0" w:type="auto"/>
                  <w:vMerge w:val="continue"/>
                  <w:vAlign w:val="center"/>
                </w:tcPr>
                <w:p w14:paraId="0B2F45A0">
                  <w:pPr>
                    <w:jc w:val="center"/>
                    <w:rPr>
                      <w:szCs w:val="21"/>
                    </w:rPr>
                  </w:pPr>
                </w:p>
              </w:tc>
              <w:tc>
                <w:tcPr>
                  <w:tcW w:w="0" w:type="auto"/>
                  <w:vAlign w:val="center"/>
                </w:tcPr>
                <w:p w14:paraId="2F8EB144">
                  <w:pPr>
                    <w:jc w:val="center"/>
                    <w:rPr>
                      <w:color w:val="000000"/>
                      <w:kern w:val="0"/>
                      <w:szCs w:val="21"/>
                    </w:rPr>
                  </w:pPr>
                  <w:r>
                    <w:rPr>
                      <w:color w:val="000000"/>
                      <w:kern w:val="0"/>
                      <w:szCs w:val="21"/>
                      <w:lang w:bidi="ar"/>
                    </w:rPr>
                    <w:t>HydraProbeⅡ土壤含水量传感器+Dlight数据记录器</w:t>
                  </w:r>
                </w:p>
              </w:tc>
              <w:tc>
                <w:tcPr>
                  <w:tcW w:w="0" w:type="auto"/>
                  <w:vAlign w:val="center"/>
                </w:tcPr>
                <w:p w14:paraId="103342A4">
                  <w:pPr>
                    <w:jc w:val="center"/>
                    <w:rPr>
                      <w:color w:val="000000"/>
                      <w:kern w:val="0"/>
                      <w:szCs w:val="21"/>
                    </w:rPr>
                  </w:pPr>
                  <w:r>
                    <w:rPr>
                      <w:color w:val="000000"/>
                      <w:kern w:val="0"/>
                      <w:szCs w:val="21"/>
                      <w:lang w:bidi="ar"/>
                    </w:rPr>
                    <w:t>HydraProbeⅡ土壤含水量传感器+Dlight数据记录器</w:t>
                  </w:r>
                </w:p>
              </w:tc>
              <w:tc>
                <w:tcPr>
                  <w:tcW w:w="0" w:type="auto"/>
                  <w:vAlign w:val="center"/>
                </w:tcPr>
                <w:p w14:paraId="4EBD8084">
                  <w:pPr>
                    <w:jc w:val="center"/>
                    <w:rPr>
                      <w:color w:val="000000"/>
                      <w:kern w:val="0"/>
                      <w:szCs w:val="21"/>
                    </w:rPr>
                  </w:pPr>
                  <w:r>
                    <w:rPr>
                      <w:color w:val="000000"/>
                      <w:kern w:val="0"/>
                      <w:szCs w:val="21"/>
                    </w:rPr>
                    <w:t>1</w:t>
                  </w:r>
                </w:p>
              </w:tc>
            </w:tr>
            <w:tr w14:paraId="0540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2F5C38A">
                  <w:pPr>
                    <w:jc w:val="center"/>
                    <w:rPr>
                      <w:szCs w:val="21"/>
                    </w:rPr>
                  </w:pPr>
                  <w:r>
                    <w:rPr>
                      <w:rFonts w:eastAsia="等线"/>
                      <w:color w:val="000000"/>
                      <w:szCs w:val="21"/>
                    </w:rPr>
                    <w:t>80</w:t>
                  </w:r>
                </w:p>
              </w:tc>
              <w:tc>
                <w:tcPr>
                  <w:tcW w:w="0" w:type="auto"/>
                  <w:vMerge w:val="continue"/>
                  <w:vAlign w:val="center"/>
                </w:tcPr>
                <w:p w14:paraId="095B6AAA">
                  <w:pPr>
                    <w:jc w:val="center"/>
                    <w:rPr>
                      <w:szCs w:val="21"/>
                    </w:rPr>
                  </w:pPr>
                </w:p>
              </w:tc>
              <w:tc>
                <w:tcPr>
                  <w:tcW w:w="0" w:type="auto"/>
                  <w:vAlign w:val="center"/>
                </w:tcPr>
                <w:p w14:paraId="1317B3F5">
                  <w:pPr>
                    <w:jc w:val="center"/>
                    <w:rPr>
                      <w:color w:val="000000"/>
                      <w:kern w:val="0"/>
                      <w:szCs w:val="21"/>
                    </w:rPr>
                  </w:pPr>
                  <w:r>
                    <w:rPr>
                      <w:color w:val="000000"/>
                      <w:kern w:val="0"/>
                      <w:szCs w:val="21"/>
                      <w:lang w:bidi="ar"/>
                    </w:rPr>
                    <w:t>气体检测仪</w:t>
                  </w:r>
                </w:p>
              </w:tc>
              <w:tc>
                <w:tcPr>
                  <w:tcW w:w="0" w:type="auto"/>
                  <w:vAlign w:val="center"/>
                </w:tcPr>
                <w:p w14:paraId="0F5F7A53">
                  <w:pPr>
                    <w:jc w:val="center"/>
                    <w:rPr>
                      <w:color w:val="000000"/>
                      <w:kern w:val="0"/>
                      <w:szCs w:val="21"/>
                    </w:rPr>
                  </w:pPr>
                  <w:r>
                    <w:rPr>
                      <w:color w:val="000000"/>
                      <w:kern w:val="0"/>
                      <w:szCs w:val="21"/>
                      <w:lang w:bidi="ar"/>
                    </w:rPr>
                    <w:t>MS400-FU-4i</w:t>
                  </w:r>
                </w:p>
              </w:tc>
              <w:tc>
                <w:tcPr>
                  <w:tcW w:w="0" w:type="auto"/>
                  <w:vAlign w:val="center"/>
                </w:tcPr>
                <w:p w14:paraId="44C6448C">
                  <w:pPr>
                    <w:jc w:val="center"/>
                    <w:rPr>
                      <w:color w:val="000000"/>
                      <w:kern w:val="0"/>
                      <w:szCs w:val="21"/>
                    </w:rPr>
                  </w:pPr>
                  <w:r>
                    <w:rPr>
                      <w:color w:val="000000"/>
                      <w:kern w:val="0"/>
                      <w:szCs w:val="21"/>
                    </w:rPr>
                    <w:t>1</w:t>
                  </w:r>
                </w:p>
              </w:tc>
            </w:tr>
            <w:tr w14:paraId="6DA8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4C6581B">
                  <w:pPr>
                    <w:jc w:val="center"/>
                    <w:rPr>
                      <w:szCs w:val="21"/>
                    </w:rPr>
                  </w:pPr>
                  <w:r>
                    <w:rPr>
                      <w:rFonts w:eastAsia="等线"/>
                      <w:color w:val="000000"/>
                      <w:szCs w:val="21"/>
                    </w:rPr>
                    <w:t>81</w:t>
                  </w:r>
                </w:p>
              </w:tc>
              <w:tc>
                <w:tcPr>
                  <w:tcW w:w="0" w:type="auto"/>
                  <w:vMerge w:val="continue"/>
                  <w:vAlign w:val="center"/>
                </w:tcPr>
                <w:p w14:paraId="182ECE24">
                  <w:pPr>
                    <w:jc w:val="center"/>
                    <w:rPr>
                      <w:szCs w:val="21"/>
                    </w:rPr>
                  </w:pPr>
                </w:p>
              </w:tc>
              <w:tc>
                <w:tcPr>
                  <w:tcW w:w="0" w:type="auto"/>
                  <w:vAlign w:val="center"/>
                </w:tcPr>
                <w:p w14:paraId="56A6F5BF">
                  <w:pPr>
                    <w:jc w:val="center"/>
                    <w:rPr>
                      <w:color w:val="000000"/>
                      <w:kern w:val="0"/>
                      <w:szCs w:val="21"/>
                    </w:rPr>
                  </w:pPr>
                  <w:r>
                    <w:rPr>
                      <w:color w:val="000000"/>
                      <w:kern w:val="0"/>
                      <w:szCs w:val="21"/>
                      <w:lang w:bidi="ar"/>
                    </w:rPr>
                    <w:t>便携式日立钻机</w:t>
                  </w:r>
                </w:p>
              </w:tc>
              <w:tc>
                <w:tcPr>
                  <w:tcW w:w="0" w:type="auto"/>
                  <w:vAlign w:val="center"/>
                </w:tcPr>
                <w:p w14:paraId="5E2E82D7">
                  <w:pPr>
                    <w:jc w:val="center"/>
                    <w:rPr>
                      <w:color w:val="000000"/>
                      <w:kern w:val="0"/>
                      <w:szCs w:val="21"/>
                    </w:rPr>
                  </w:pPr>
                  <w:r>
                    <w:rPr>
                      <w:color w:val="000000"/>
                      <w:kern w:val="0"/>
                      <w:szCs w:val="21"/>
                      <w:lang w:bidi="ar"/>
                    </w:rPr>
                    <w:t>Hitachi DH36DBL</w:t>
                  </w:r>
                </w:p>
              </w:tc>
              <w:tc>
                <w:tcPr>
                  <w:tcW w:w="0" w:type="auto"/>
                  <w:vAlign w:val="center"/>
                </w:tcPr>
                <w:p w14:paraId="7576E7D6">
                  <w:pPr>
                    <w:jc w:val="center"/>
                    <w:rPr>
                      <w:color w:val="000000"/>
                      <w:kern w:val="0"/>
                      <w:szCs w:val="21"/>
                    </w:rPr>
                  </w:pPr>
                  <w:r>
                    <w:rPr>
                      <w:color w:val="000000"/>
                      <w:kern w:val="0"/>
                      <w:szCs w:val="21"/>
                    </w:rPr>
                    <w:t>1</w:t>
                  </w:r>
                </w:p>
              </w:tc>
            </w:tr>
            <w:tr w14:paraId="0038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3B47966">
                  <w:pPr>
                    <w:jc w:val="center"/>
                    <w:rPr>
                      <w:szCs w:val="21"/>
                    </w:rPr>
                  </w:pPr>
                  <w:r>
                    <w:rPr>
                      <w:rFonts w:eastAsia="等线"/>
                      <w:color w:val="000000"/>
                      <w:szCs w:val="21"/>
                    </w:rPr>
                    <w:t>82</w:t>
                  </w:r>
                </w:p>
              </w:tc>
              <w:tc>
                <w:tcPr>
                  <w:tcW w:w="0" w:type="auto"/>
                  <w:vMerge w:val="continue"/>
                  <w:vAlign w:val="center"/>
                </w:tcPr>
                <w:p w14:paraId="3DA1E04C">
                  <w:pPr>
                    <w:jc w:val="center"/>
                    <w:rPr>
                      <w:szCs w:val="21"/>
                    </w:rPr>
                  </w:pPr>
                </w:p>
              </w:tc>
              <w:tc>
                <w:tcPr>
                  <w:tcW w:w="0" w:type="auto"/>
                  <w:vAlign w:val="center"/>
                </w:tcPr>
                <w:p w14:paraId="06269DD4">
                  <w:pPr>
                    <w:jc w:val="center"/>
                    <w:rPr>
                      <w:color w:val="000000"/>
                      <w:kern w:val="0"/>
                      <w:szCs w:val="21"/>
                    </w:rPr>
                  </w:pPr>
                  <w:r>
                    <w:rPr>
                      <w:color w:val="000000"/>
                      <w:kern w:val="0"/>
                      <w:szCs w:val="21"/>
                      <w:lang w:bidi="ar"/>
                    </w:rPr>
                    <w:t>氢氦快速高灵敏度检测仪</w:t>
                  </w:r>
                </w:p>
              </w:tc>
              <w:tc>
                <w:tcPr>
                  <w:tcW w:w="0" w:type="auto"/>
                  <w:vAlign w:val="center"/>
                </w:tcPr>
                <w:p w14:paraId="128175CE">
                  <w:pPr>
                    <w:jc w:val="center"/>
                    <w:rPr>
                      <w:color w:val="000000"/>
                      <w:kern w:val="0"/>
                      <w:szCs w:val="21"/>
                    </w:rPr>
                  </w:pPr>
                  <w:r>
                    <w:rPr>
                      <w:color w:val="000000"/>
                      <w:kern w:val="0"/>
                      <w:szCs w:val="21"/>
                      <w:lang w:bidi="ar"/>
                    </w:rPr>
                    <w:t>ZKDX He-101</w:t>
                  </w:r>
                </w:p>
              </w:tc>
              <w:tc>
                <w:tcPr>
                  <w:tcW w:w="0" w:type="auto"/>
                  <w:vAlign w:val="center"/>
                </w:tcPr>
                <w:p w14:paraId="5A36B7DC">
                  <w:pPr>
                    <w:jc w:val="center"/>
                    <w:rPr>
                      <w:color w:val="000000"/>
                      <w:kern w:val="0"/>
                      <w:szCs w:val="21"/>
                    </w:rPr>
                  </w:pPr>
                  <w:r>
                    <w:rPr>
                      <w:color w:val="000000"/>
                      <w:kern w:val="0"/>
                      <w:szCs w:val="21"/>
                    </w:rPr>
                    <w:t>1</w:t>
                  </w:r>
                </w:p>
              </w:tc>
            </w:tr>
            <w:tr w14:paraId="3B8F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D0EE2B0">
                  <w:pPr>
                    <w:jc w:val="center"/>
                    <w:rPr>
                      <w:szCs w:val="21"/>
                    </w:rPr>
                  </w:pPr>
                  <w:r>
                    <w:rPr>
                      <w:rFonts w:eastAsia="等线"/>
                      <w:color w:val="000000"/>
                      <w:szCs w:val="21"/>
                    </w:rPr>
                    <w:t>83</w:t>
                  </w:r>
                </w:p>
              </w:tc>
              <w:tc>
                <w:tcPr>
                  <w:tcW w:w="0" w:type="auto"/>
                  <w:vMerge w:val="continue"/>
                  <w:vAlign w:val="center"/>
                </w:tcPr>
                <w:p w14:paraId="5F1B434A">
                  <w:pPr>
                    <w:jc w:val="center"/>
                    <w:rPr>
                      <w:szCs w:val="21"/>
                    </w:rPr>
                  </w:pPr>
                </w:p>
              </w:tc>
              <w:tc>
                <w:tcPr>
                  <w:tcW w:w="0" w:type="auto"/>
                  <w:vAlign w:val="center"/>
                </w:tcPr>
                <w:p w14:paraId="33F1676B">
                  <w:pPr>
                    <w:jc w:val="center"/>
                    <w:rPr>
                      <w:color w:val="000000"/>
                      <w:kern w:val="0"/>
                      <w:szCs w:val="21"/>
                    </w:rPr>
                  </w:pPr>
                  <w:r>
                    <w:rPr>
                      <w:color w:val="000000"/>
                      <w:kern w:val="0"/>
                      <w:szCs w:val="21"/>
                      <w:lang w:bidi="ar"/>
                    </w:rPr>
                    <w:t>高精度CO</w:t>
                  </w:r>
                  <w:r>
                    <w:rPr>
                      <w:color w:val="000000"/>
                      <w:kern w:val="0"/>
                      <w:szCs w:val="21"/>
                      <w:vertAlign w:val="subscript"/>
                      <w:lang w:bidi="ar"/>
                    </w:rPr>
                    <w:t>2</w:t>
                  </w:r>
                  <w:r>
                    <w:rPr>
                      <w:color w:val="000000"/>
                      <w:kern w:val="0"/>
                      <w:szCs w:val="21"/>
                      <w:lang w:bidi="ar"/>
                    </w:rPr>
                    <w:t>浓度及同位素分析仪</w:t>
                  </w:r>
                </w:p>
              </w:tc>
              <w:tc>
                <w:tcPr>
                  <w:tcW w:w="0" w:type="auto"/>
                  <w:vAlign w:val="center"/>
                </w:tcPr>
                <w:p w14:paraId="4F193F2C">
                  <w:pPr>
                    <w:jc w:val="center"/>
                    <w:rPr>
                      <w:color w:val="000000"/>
                      <w:kern w:val="0"/>
                      <w:szCs w:val="21"/>
                    </w:rPr>
                  </w:pPr>
                  <w:r>
                    <w:rPr>
                      <w:color w:val="000000"/>
                      <w:kern w:val="0"/>
                      <w:szCs w:val="21"/>
                      <w:lang w:bidi="ar"/>
                    </w:rPr>
                    <w:t>Grand-CO</w:t>
                  </w:r>
                  <w:r>
                    <w:rPr>
                      <w:color w:val="000000"/>
                      <w:kern w:val="0"/>
                      <w:szCs w:val="21"/>
                      <w:vertAlign w:val="subscript"/>
                      <w:lang w:bidi="ar"/>
                    </w:rPr>
                    <w:t>2</w:t>
                  </w:r>
                </w:p>
              </w:tc>
              <w:tc>
                <w:tcPr>
                  <w:tcW w:w="0" w:type="auto"/>
                  <w:vAlign w:val="center"/>
                </w:tcPr>
                <w:p w14:paraId="167FAFFD">
                  <w:pPr>
                    <w:jc w:val="center"/>
                    <w:rPr>
                      <w:color w:val="000000"/>
                      <w:kern w:val="0"/>
                      <w:szCs w:val="21"/>
                    </w:rPr>
                  </w:pPr>
                  <w:r>
                    <w:rPr>
                      <w:color w:val="000000"/>
                      <w:kern w:val="0"/>
                      <w:szCs w:val="21"/>
                    </w:rPr>
                    <w:t>1</w:t>
                  </w:r>
                </w:p>
              </w:tc>
            </w:tr>
            <w:tr w14:paraId="76EE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BEE794B">
                  <w:pPr>
                    <w:jc w:val="center"/>
                    <w:rPr>
                      <w:szCs w:val="21"/>
                    </w:rPr>
                  </w:pPr>
                  <w:r>
                    <w:rPr>
                      <w:rFonts w:eastAsia="等线"/>
                      <w:color w:val="000000"/>
                      <w:szCs w:val="21"/>
                    </w:rPr>
                    <w:t>84</w:t>
                  </w:r>
                </w:p>
              </w:tc>
              <w:tc>
                <w:tcPr>
                  <w:tcW w:w="0" w:type="auto"/>
                  <w:vMerge w:val="continue"/>
                  <w:vAlign w:val="center"/>
                </w:tcPr>
                <w:p w14:paraId="66B0111A">
                  <w:pPr>
                    <w:jc w:val="center"/>
                    <w:rPr>
                      <w:szCs w:val="21"/>
                    </w:rPr>
                  </w:pPr>
                </w:p>
              </w:tc>
              <w:tc>
                <w:tcPr>
                  <w:tcW w:w="0" w:type="auto"/>
                  <w:vAlign w:val="center"/>
                </w:tcPr>
                <w:p w14:paraId="0B8D1101">
                  <w:pPr>
                    <w:jc w:val="center"/>
                    <w:rPr>
                      <w:color w:val="000000"/>
                      <w:kern w:val="0"/>
                      <w:szCs w:val="21"/>
                    </w:rPr>
                  </w:pPr>
                  <w:r>
                    <w:rPr>
                      <w:color w:val="000000"/>
                      <w:kern w:val="0"/>
                      <w:szCs w:val="21"/>
                      <w:lang w:bidi="ar"/>
                    </w:rPr>
                    <w:t>气体采集装置</w:t>
                  </w:r>
                </w:p>
              </w:tc>
              <w:tc>
                <w:tcPr>
                  <w:tcW w:w="0" w:type="auto"/>
                  <w:vAlign w:val="center"/>
                </w:tcPr>
                <w:p w14:paraId="3DD1FED2">
                  <w:pPr>
                    <w:jc w:val="center"/>
                    <w:rPr>
                      <w:color w:val="000000"/>
                      <w:kern w:val="0"/>
                      <w:szCs w:val="21"/>
                    </w:rPr>
                  </w:pPr>
                  <w:r>
                    <w:rPr>
                      <w:color w:val="000000"/>
                      <w:kern w:val="0"/>
                      <w:szCs w:val="21"/>
                      <w:lang w:bidi="ar"/>
                    </w:rPr>
                    <w:t>KJ2400</w:t>
                  </w:r>
                </w:p>
              </w:tc>
              <w:tc>
                <w:tcPr>
                  <w:tcW w:w="0" w:type="auto"/>
                  <w:vAlign w:val="center"/>
                </w:tcPr>
                <w:p w14:paraId="24C36462">
                  <w:pPr>
                    <w:jc w:val="center"/>
                    <w:rPr>
                      <w:color w:val="000000"/>
                      <w:kern w:val="0"/>
                      <w:szCs w:val="21"/>
                    </w:rPr>
                  </w:pPr>
                  <w:r>
                    <w:rPr>
                      <w:color w:val="000000"/>
                      <w:kern w:val="0"/>
                      <w:szCs w:val="21"/>
                    </w:rPr>
                    <w:t>1</w:t>
                  </w:r>
                </w:p>
              </w:tc>
            </w:tr>
            <w:tr w14:paraId="7FF7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277FA5C">
                  <w:pPr>
                    <w:jc w:val="center"/>
                    <w:rPr>
                      <w:szCs w:val="21"/>
                    </w:rPr>
                  </w:pPr>
                  <w:r>
                    <w:rPr>
                      <w:rFonts w:eastAsia="等线"/>
                      <w:color w:val="000000"/>
                      <w:szCs w:val="21"/>
                    </w:rPr>
                    <w:t>85</w:t>
                  </w:r>
                </w:p>
              </w:tc>
              <w:tc>
                <w:tcPr>
                  <w:tcW w:w="0" w:type="auto"/>
                  <w:vMerge w:val="continue"/>
                  <w:vAlign w:val="center"/>
                </w:tcPr>
                <w:p w14:paraId="7FCC9879">
                  <w:pPr>
                    <w:jc w:val="center"/>
                    <w:rPr>
                      <w:szCs w:val="21"/>
                    </w:rPr>
                  </w:pPr>
                </w:p>
              </w:tc>
              <w:tc>
                <w:tcPr>
                  <w:tcW w:w="0" w:type="auto"/>
                  <w:vAlign w:val="center"/>
                </w:tcPr>
                <w:p w14:paraId="6702604D">
                  <w:pPr>
                    <w:jc w:val="center"/>
                    <w:rPr>
                      <w:color w:val="000000"/>
                      <w:kern w:val="0"/>
                      <w:szCs w:val="21"/>
                    </w:rPr>
                  </w:pPr>
                  <w:r>
                    <w:rPr>
                      <w:color w:val="000000"/>
                      <w:kern w:val="0"/>
                      <w:szCs w:val="21"/>
                      <w:lang w:bidi="ar"/>
                    </w:rPr>
                    <w:t>定制走行数据显示软件</w:t>
                  </w:r>
                </w:p>
              </w:tc>
              <w:tc>
                <w:tcPr>
                  <w:tcW w:w="0" w:type="auto"/>
                  <w:vAlign w:val="center"/>
                </w:tcPr>
                <w:p w14:paraId="61355E09">
                  <w:pPr>
                    <w:jc w:val="center"/>
                    <w:rPr>
                      <w:color w:val="000000"/>
                      <w:kern w:val="0"/>
                      <w:szCs w:val="21"/>
                    </w:rPr>
                  </w:pPr>
                  <w:r>
                    <w:rPr>
                      <w:color w:val="000000"/>
                      <w:kern w:val="0"/>
                      <w:szCs w:val="21"/>
                      <w:lang w:bidi="ar"/>
                    </w:rPr>
                    <w:t>BGKJ-002239</w:t>
                  </w:r>
                </w:p>
              </w:tc>
              <w:tc>
                <w:tcPr>
                  <w:tcW w:w="0" w:type="auto"/>
                  <w:vAlign w:val="center"/>
                </w:tcPr>
                <w:p w14:paraId="682C20EB">
                  <w:pPr>
                    <w:jc w:val="center"/>
                    <w:rPr>
                      <w:color w:val="000000"/>
                      <w:kern w:val="0"/>
                      <w:szCs w:val="21"/>
                    </w:rPr>
                  </w:pPr>
                  <w:r>
                    <w:rPr>
                      <w:color w:val="000000"/>
                      <w:kern w:val="0"/>
                      <w:szCs w:val="21"/>
                    </w:rPr>
                    <w:t>1</w:t>
                  </w:r>
                </w:p>
              </w:tc>
            </w:tr>
            <w:tr w14:paraId="7175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EF47E35">
                  <w:pPr>
                    <w:jc w:val="center"/>
                    <w:rPr>
                      <w:szCs w:val="21"/>
                    </w:rPr>
                  </w:pPr>
                  <w:r>
                    <w:rPr>
                      <w:rFonts w:eastAsia="等线"/>
                      <w:color w:val="000000"/>
                      <w:szCs w:val="21"/>
                    </w:rPr>
                    <w:t>86</w:t>
                  </w:r>
                </w:p>
              </w:tc>
              <w:tc>
                <w:tcPr>
                  <w:tcW w:w="0" w:type="auto"/>
                  <w:vMerge w:val="continue"/>
                  <w:vAlign w:val="center"/>
                </w:tcPr>
                <w:p w14:paraId="249A7D9D">
                  <w:pPr>
                    <w:jc w:val="center"/>
                    <w:rPr>
                      <w:szCs w:val="21"/>
                    </w:rPr>
                  </w:pPr>
                </w:p>
              </w:tc>
              <w:tc>
                <w:tcPr>
                  <w:tcW w:w="0" w:type="auto"/>
                  <w:vAlign w:val="center"/>
                </w:tcPr>
                <w:p w14:paraId="55D1B904">
                  <w:pPr>
                    <w:jc w:val="center"/>
                    <w:rPr>
                      <w:color w:val="000000"/>
                      <w:kern w:val="0"/>
                      <w:szCs w:val="21"/>
                    </w:rPr>
                  </w:pPr>
                  <w:r>
                    <w:rPr>
                      <w:color w:val="000000"/>
                      <w:kern w:val="0"/>
                      <w:szCs w:val="21"/>
                      <w:lang w:bidi="ar"/>
                    </w:rPr>
                    <w:t>移动实验室平台</w:t>
                  </w:r>
                </w:p>
              </w:tc>
              <w:tc>
                <w:tcPr>
                  <w:tcW w:w="0" w:type="auto"/>
                  <w:vAlign w:val="center"/>
                </w:tcPr>
                <w:p w14:paraId="69B3A525">
                  <w:pPr>
                    <w:jc w:val="center"/>
                    <w:rPr>
                      <w:color w:val="000000"/>
                      <w:kern w:val="0"/>
                      <w:szCs w:val="21"/>
                    </w:rPr>
                  </w:pPr>
                  <w:r>
                    <w:rPr>
                      <w:color w:val="000000"/>
                      <w:kern w:val="0"/>
                      <w:szCs w:val="21"/>
                      <w:lang w:bidi="ar"/>
                    </w:rPr>
                    <w:t>TPXW0035</w:t>
                  </w:r>
                </w:p>
              </w:tc>
              <w:tc>
                <w:tcPr>
                  <w:tcW w:w="0" w:type="auto"/>
                  <w:vAlign w:val="center"/>
                </w:tcPr>
                <w:p w14:paraId="668AAF5A">
                  <w:pPr>
                    <w:jc w:val="center"/>
                    <w:rPr>
                      <w:color w:val="000000"/>
                      <w:kern w:val="0"/>
                      <w:szCs w:val="21"/>
                    </w:rPr>
                  </w:pPr>
                </w:p>
              </w:tc>
            </w:tr>
            <w:tr w14:paraId="619E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1DA9524">
                  <w:pPr>
                    <w:jc w:val="center"/>
                    <w:rPr>
                      <w:szCs w:val="21"/>
                    </w:rPr>
                  </w:pPr>
                  <w:r>
                    <w:rPr>
                      <w:rFonts w:eastAsia="等线"/>
                      <w:color w:val="000000"/>
                      <w:szCs w:val="21"/>
                    </w:rPr>
                    <w:t>87</w:t>
                  </w:r>
                </w:p>
              </w:tc>
              <w:tc>
                <w:tcPr>
                  <w:tcW w:w="0" w:type="auto"/>
                  <w:vMerge w:val="continue"/>
                  <w:vAlign w:val="center"/>
                </w:tcPr>
                <w:p w14:paraId="0998403A">
                  <w:pPr>
                    <w:jc w:val="center"/>
                    <w:rPr>
                      <w:szCs w:val="21"/>
                    </w:rPr>
                  </w:pPr>
                </w:p>
              </w:tc>
              <w:tc>
                <w:tcPr>
                  <w:tcW w:w="0" w:type="auto"/>
                  <w:vAlign w:val="center"/>
                </w:tcPr>
                <w:p w14:paraId="30E4A2C0">
                  <w:pPr>
                    <w:jc w:val="center"/>
                    <w:rPr>
                      <w:color w:val="000000"/>
                      <w:kern w:val="0"/>
                      <w:szCs w:val="21"/>
                    </w:rPr>
                  </w:pPr>
                  <w:r>
                    <w:rPr>
                      <w:color w:val="000000"/>
                      <w:kern w:val="0"/>
                      <w:szCs w:val="21"/>
                      <w:lang w:bidi="ar"/>
                    </w:rPr>
                    <w:t>ICP-MS</w:t>
                  </w:r>
                </w:p>
              </w:tc>
              <w:tc>
                <w:tcPr>
                  <w:tcW w:w="0" w:type="auto"/>
                  <w:vAlign w:val="center"/>
                </w:tcPr>
                <w:p w14:paraId="4E4463A2">
                  <w:pPr>
                    <w:jc w:val="center"/>
                    <w:rPr>
                      <w:color w:val="000000"/>
                      <w:kern w:val="0"/>
                      <w:szCs w:val="21"/>
                    </w:rPr>
                  </w:pPr>
                  <w:r>
                    <w:rPr>
                      <w:color w:val="000000"/>
                      <w:szCs w:val="21"/>
                    </w:rPr>
                    <w:t>Attom ES</w:t>
                  </w:r>
                </w:p>
              </w:tc>
              <w:tc>
                <w:tcPr>
                  <w:tcW w:w="0" w:type="auto"/>
                  <w:vAlign w:val="center"/>
                </w:tcPr>
                <w:p w14:paraId="4B6E4D78">
                  <w:pPr>
                    <w:jc w:val="center"/>
                    <w:rPr>
                      <w:color w:val="000000"/>
                      <w:kern w:val="0"/>
                      <w:szCs w:val="21"/>
                    </w:rPr>
                  </w:pPr>
                  <w:r>
                    <w:rPr>
                      <w:color w:val="000000"/>
                      <w:kern w:val="0"/>
                      <w:szCs w:val="21"/>
                    </w:rPr>
                    <w:t>1</w:t>
                  </w:r>
                </w:p>
              </w:tc>
            </w:tr>
            <w:tr w14:paraId="786B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B0C5FB6">
                  <w:pPr>
                    <w:jc w:val="center"/>
                    <w:rPr>
                      <w:szCs w:val="21"/>
                    </w:rPr>
                  </w:pPr>
                  <w:r>
                    <w:rPr>
                      <w:rFonts w:eastAsia="等线"/>
                      <w:color w:val="000000"/>
                      <w:szCs w:val="21"/>
                    </w:rPr>
                    <w:t>88</w:t>
                  </w:r>
                </w:p>
              </w:tc>
              <w:tc>
                <w:tcPr>
                  <w:tcW w:w="0" w:type="auto"/>
                  <w:vMerge w:val="continue"/>
                  <w:vAlign w:val="center"/>
                </w:tcPr>
                <w:p w14:paraId="64C0ACFF">
                  <w:pPr>
                    <w:jc w:val="center"/>
                    <w:rPr>
                      <w:szCs w:val="21"/>
                    </w:rPr>
                  </w:pPr>
                </w:p>
              </w:tc>
              <w:tc>
                <w:tcPr>
                  <w:tcW w:w="0" w:type="auto"/>
                  <w:vAlign w:val="center"/>
                </w:tcPr>
                <w:p w14:paraId="4EB99158">
                  <w:pPr>
                    <w:jc w:val="center"/>
                    <w:rPr>
                      <w:color w:val="000000"/>
                      <w:kern w:val="0"/>
                      <w:szCs w:val="21"/>
                    </w:rPr>
                  </w:pPr>
                  <w:r>
                    <w:rPr>
                      <w:color w:val="000000"/>
                      <w:kern w:val="0"/>
                      <w:szCs w:val="21"/>
                      <w:lang w:bidi="ar"/>
                    </w:rPr>
                    <w:t>气相色谱仪</w:t>
                  </w:r>
                </w:p>
              </w:tc>
              <w:tc>
                <w:tcPr>
                  <w:tcW w:w="0" w:type="auto"/>
                  <w:vAlign w:val="center"/>
                </w:tcPr>
                <w:p w14:paraId="4009CD96">
                  <w:pPr>
                    <w:jc w:val="center"/>
                    <w:rPr>
                      <w:color w:val="000000"/>
                      <w:kern w:val="0"/>
                      <w:szCs w:val="21"/>
                    </w:rPr>
                  </w:pPr>
                  <w:r>
                    <w:rPr>
                      <w:color w:val="000000"/>
                      <w:kern w:val="0"/>
                      <w:szCs w:val="21"/>
                      <w:lang w:bidi="ar"/>
                    </w:rPr>
                    <w:t>Nexis GC-2030</w:t>
                  </w:r>
                </w:p>
              </w:tc>
              <w:tc>
                <w:tcPr>
                  <w:tcW w:w="0" w:type="auto"/>
                  <w:vAlign w:val="center"/>
                </w:tcPr>
                <w:p w14:paraId="2C7AA72A">
                  <w:pPr>
                    <w:jc w:val="center"/>
                    <w:rPr>
                      <w:color w:val="000000"/>
                      <w:kern w:val="0"/>
                      <w:szCs w:val="21"/>
                    </w:rPr>
                  </w:pPr>
                  <w:r>
                    <w:rPr>
                      <w:color w:val="000000"/>
                      <w:kern w:val="0"/>
                      <w:szCs w:val="21"/>
                    </w:rPr>
                    <w:t>1</w:t>
                  </w:r>
                </w:p>
              </w:tc>
            </w:tr>
            <w:tr w14:paraId="19AF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26DB797">
                  <w:pPr>
                    <w:jc w:val="center"/>
                    <w:rPr>
                      <w:szCs w:val="21"/>
                    </w:rPr>
                  </w:pPr>
                  <w:r>
                    <w:rPr>
                      <w:rFonts w:eastAsia="等线"/>
                      <w:color w:val="000000"/>
                      <w:szCs w:val="21"/>
                    </w:rPr>
                    <w:t>89</w:t>
                  </w:r>
                </w:p>
              </w:tc>
              <w:tc>
                <w:tcPr>
                  <w:tcW w:w="0" w:type="auto"/>
                  <w:vMerge w:val="continue"/>
                  <w:vAlign w:val="center"/>
                </w:tcPr>
                <w:p w14:paraId="3628DCBF">
                  <w:pPr>
                    <w:jc w:val="center"/>
                    <w:rPr>
                      <w:szCs w:val="21"/>
                    </w:rPr>
                  </w:pPr>
                </w:p>
              </w:tc>
              <w:tc>
                <w:tcPr>
                  <w:tcW w:w="0" w:type="auto"/>
                  <w:vAlign w:val="center"/>
                </w:tcPr>
                <w:p w14:paraId="58A94A66">
                  <w:pPr>
                    <w:jc w:val="center"/>
                    <w:rPr>
                      <w:color w:val="000000"/>
                      <w:kern w:val="0"/>
                      <w:szCs w:val="21"/>
                    </w:rPr>
                  </w:pPr>
                  <w:r>
                    <w:rPr>
                      <w:color w:val="000000"/>
                      <w:kern w:val="0"/>
                      <w:szCs w:val="21"/>
                      <w:lang w:bidi="ar"/>
                    </w:rPr>
                    <w:t>同位素质谱仪主机</w:t>
                  </w:r>
                </w:p>
              </w:tc>
              <w:tc>
                <w:tcPr>
                  <w:tcW w:w="0" w:type="auto"/>
                  <w:vAlign w:val="center"/>
                </w:tcPr>
                <w:p w14:paraId="7198220A">
                  <w:pPr>
                    <w:jc w:val="center"/>
                    <w:rPr>
                      <w:color w:val="000000"/>
                      <w:kern w:val="0"/>
                      <w:szCs w:val="21"/>
                    </w:rPr>
                  </w:pPr>
                  <w:r>
                    <w:rPr>
                      <w:color w:val="000000"/>
                      <w:kern w:val="0"/>
                      <w:szCs w:val="21"/>
                      <w:lang w:bidi="ar"/>
                    </w:rPr>
                    <w:t xml:space="preserve"> Thermo Scientific  253PLUS主机</w:t>
                  </w:r>
                </w:p>
              </w:tc>
              <w:tc>
                <w:tcPr>
                  <w:tcW w:w="0" w:type="auto"/>
                  <w:vAlign w:val="center"/>
                </w:tcPr>
                <w:p w14:paraId="72A75D37">
                  <w:pPr>
                    <w:jc w:val="center"/>
                    <w:rPr>
                      <w:color w:val="000000"/>
                      <w:kern w:val="0"/>
                      <w:szCs w:val="21"/>
                    </w:rPr>
                  </w:pPr>
                  <w:r>
                    <w:rPr>
                      <w:color w:val="000000"/>
                      <w:kern w:val="0"/>
                      <w:szCs w:val="21"/>
                    </w:rPr>
                    <w:t>1</w:t>
                  </w:r>
                </w:p>
              </w:tc>
            </w:tr>
            <w:tr w14:paraId="64AE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B223E07">
                  <w:pPr>
                    <w:jc w:val="center"/>
                    <w:rPr>
                      <w:szCs w:val="21"/>
                    </w:rPr>
                  </w:pPr>
                  <w:r>
                    <w:rPr>
                      <w:rFonts w:eastAsia="等线"/>
                      <w:color w:val="000000"/>
                      <w:szCs w:val="21"/>
                    </w:rPr>
                    <w:t>90</w:t>
                  </w:r>
                </w:p>
              </w:tc>
              <w:tc>
                <w:tcPr>
                  <w:tcW w:w="0" w:type="auto"/>
                  <w:vMerge w:val="continue"/>
                  <w:vAlign w:val="center"/>
                </w:tcPr>
                <w:p w14:paraId="7BB2670F">
                  <w:pPr>
                    <w:jc w:val="center"/>
                    <w:rPr>
                      <w:szCs w:val="21"/>
                    </w:rPr>
                  </w:pPr>
                </w:p>
              </w:tc>
              <w:tc>
                <w:tcPr>
                  <w:tcW w:w="0" w:type="auto"/>
                  <w:vAlign w:val="center"/>
                </w:tcPr>
                <w:p w14:paraId="0628A676">
                  <w:pPr>
                    <w:jc w:val="center"/>
                    <w:rPr>
                      <w:color w:val="000000"/>
                      <w:kern w:val="0"/>
                      <w:szCs w:val="21"/>
                    </w:rPr>
                  </w:pPr>
                  <w:r>
                    <w:rPr>
                      <w:color w:val="000000"/>
                      <w:kern w:val="0"/>
                      <w:szCs w:val="21"/>
                      <w:lang w:bidi="ar"/>
                    </w:rPr>
                    <w:t>气相色谱质谱联用仪</w:t>
                  </w:r>
                </w:p>
              </w:tc>
              <w:tc>
                <w:tcPr>
                  <w:tcW w:w="0" w:type="auto"/>
                  <w:vAlign w:val="center"/>
                </w:tcPr>
                <w:p w14:paraId="6086A1A8">
                  <w:pPr>
                    <w:jc w:val="center"/>
                    <w:rPr>
                      <w:color w:val="000000"/>
                      <w:kern w:val="0"/>
                      <w:szCs w:val="21"/>
                    </w:rPr>
                  </w:pPr>
                  <w:r>
                    <w:rPr>
                      <w:color w:val="000000"/>
                      <w:kern w:val="0"/>
                      <w:szCs w:val="21"/>
                      <w:lang w:bidi="ar"/>
                    </w:rPr>
                    <w:t>GCMS-QP2020</w:t>
                  </w:r>
                </w:p>
              </w:tc>
              <w:tc>
                <w:tcPr>
                  <w:tcW w:w="0" w:type="auto"/>
                  <w:vAlign w:val="center"/>
                </w:tcPr>
                <w:p w14:paraId="6B84E765">
                  <w:pPr>
                    <w:jc w:val="center"/>
                    <w:rPr>
                      <w:color w:val="000000"/>
                      <w:kern w:val="0"/>
                      <w:szCs w:val="21"/>
                    </w:rPr>
                  </w:pPr>
                  <w:r>
                    <w:rPr>
                      <w:color w:val="000000"/>
                      <w:kern w:val="0"/>
                      <w:szCs w:val="21"/>
                    </w:rPr>
                    <w:t>1</w:t>
                  </w:r>
                </w:p>
              </w:tc>
            </w:tr>
            <w:tr w14:paraId="5BD5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2C3BFC9">
                  <w:pPr>
                    <w:jc w:val="center"/>
                    <w:rPr>
                      <w:rFonts w:eastAsia="等线"/>
                      <w:color w:val="000000"/>
                      <w:szCs w:val="21"/>
                    </w:rPr>
                  </w:pPr>
                  <w:r>
                    <w:rPr>
                      <w:rFonts w:hint="eastAsia" w:eastAsia="等线"/>
                      <w:color w:val="000000"/>
                      <w:szCs w:val="21"/>
                    </w:rPr>
                    <w:t>91</w:t>
                  </w:r>
                </w:p>
              </w:tc>
              <w:tc>
                <w:tcPr>
                  <w:tcW w:w="0" w:type="auto"/>
                  <w:vMerge w:val="continue"/>
                  <w:vAlign w:val="center"/>
                </w:tcPr>
                <w:p w14:paraId="5AA1824C">
                  <w:pPr>
                    <w:jc w:val="center"/>
                    <w:rPr>
                      <w:szCs w:val="21"/>
                    </w:rPr>
                  </w:pPr>
                </w:p>
              </w:tc>
              <w:tc>
                <w:tcPr>
                  <w:tcW w:w="0" w:type="auto"/>
                  <w:vAlign w:val="center"/>
                </w:tcPr>
                <w:p w14:paraId="01107641">
                  <w:pPr>
                    <w:jc w:val="center"/>
                    <w:rPr>
                      <w:color w:val="000000"/>
                      <w:kern w:val="0"/>
                      <w:szCs w:val="21"/>
                      <w:lang w:bidi="ar"/>
                    </w:rPr>
                  </w:pPr>
                  <w:r>
                    <w:rPr>
                      <w:rFonts w:hint="eastAsia"/>
                      <w:color w:val="000000"/>
                      <w:kern w:val="0"/>
                      <w:szCs w:val="21"/>
                      <w:lang w:bidi="ar"/>
                    </w:rPr>
                    <w:t>去离子水制备仪</w:t>
                  </w:r>
                </w:p>
              </w:tc>
              <w:tc>
                <w:tcPr>
                  <w:tcW w:w="0" w:type="auto"/>
                  <w:vAlign w:val="center"/>
                </w:tcPr>
                <w:p w14:paraId="6F954A84">
                  <w:pPr>
                    <w:jc w:val="center"/>
                    <w:rPr>
                      <w:color w:val="000000"/>
                      <w:kern w:val="0"/>
                      <w:szCs w:val="21"/>
                      <w:lang w:bidi="ar"/>
                    </w:rPr>
                  </w:pPr>
                  <w:r>
                    <w:rPr>
                      <w:rFonts w:hint="eastAsia"/>
                      <w:color w:val="000000"/>
                      <w:kern w:val="0"/>
                      <w:szCs w:val="21"/>
                      <w:lang w:bidi="ar"/>
                    </w:rPr>
                    <w:t>定制</w:t>
                  </w:r>
                </w:p>
              </w:tc>
              <w:tc>
                <w:tcPr>
                  <w:tcW w:w="0" w:type="auto"/>
                  <w:vAlign w:val="center"/>
                </w:tcPr>
                <w:p w14:paraId="4D589EEB">
                  <w:pPr>
                    <w:jc w:val="center"/>
                    <w:rPr>
                      <w:color w:val="000000"/>
                      <w:kern w:val="0"/>
                      <w:szCs w:val="21"/>
                    </w:rPr>
                  </w:pPr>
                  <w:r>
                    <w:rPr>
                      <w:rFonts w:hint="eastAsia"/>
                      <w:color w:val="000000"/>
                      <w:kern w:val="0"/>
                      <w:szCs w:val="21"/>
                    </w:rPr>
                    <w:t>1</w:t>
                  </w:r>
                </w:p>
              </w:tc>
            </w:tr>
            <w:tr w14:paraId="020E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AB92FF9">
                  <w:pPr>
                    <w:jc w:val="center"/>
                    <w:rPr>
                      <w:szCs w:val="21"/>
                    </w:rPr>
                  </w:pPr>
                  <w:r>
                    <w:rPr>
                      <w:rFonts w:eastAsia="等线"/>
                      <w:color w:val="000000"/>
                      <w:szCs w:val="21"/>
                    </w:rPr>
                    <w:t>92</w:t>
                  </w:r>
                </w:p>
              </w:tc>
              <w:tc>
                <w:tcPr>
                  <w:tcW w:w="0" w:type="auto"/>
                  <w:vMerge w:val="restart"/>
                  <w:vAlign w:val="center"/>
                </w:tcPr>
                <w:p w14:paraId="0D725C2C">
                  <w:pPr>
                    <w:jc w:val="center"/>
                    <w:rPr>
                      <w:szCs w:val="21"/>
                    </w:rPr>
                  </w:pPr>
                  <w:r>
                    <w:rPr>
                      <w:szCs w:val="21"/>
                    </w:rPr>
                    <w:t>岩石力学实验、公共理化实验</w:t>
                  </w:r>
                </w:p>
              </w:tc>
              <w:tc>
                <w:tcPr>
                  <w:tcW w:w="0" w:type="auto"/>
                </w:tcPr>
                <w:p w14:paraId="7746B476">
                  <w:pPr>
                    <w:jc w:val="center"/>
                    <w:rPr>
                      <w:color w:val="000000"/>
                      <w:kern w:val="0"/>
                      <w:szCs w:val="21"/>
                    </w:rPr>
                  </w:pPr>
                  <w:r>
                    <w:rPr>
                      <w:szCs w:val="21"/>
                    </w:rPr>
                    <w:t>岩石三轴应力实验仪器</w:t>
                  </w:r>
                </w:p>
              </w:tc>
              <w:tc>
                <w:tcPr>
                  <w:tcW w:w="0" w:type="auto"/>
                </w:tcPr>
                <w:p w14:paraId="6E8600B6">
                  <w:pPr>
                    <w:jc w:val="center"/>
                    <w:rPr>
                      <w:color w:val="000000"/>
                      <w:kern w:val="0"/>
                      <w:szCs w:val="21"/>
                    </w:rPr>
                  </w:pPr>
                  <w:r>
                    <w:rPr>
                      <w:szCs w:val="21"/>
                    </w:rPr>
                    <w:t>RTR-1500</w:t>
                  </w:r>
                </w:p>
              </w:tc>
              <w:tc>
                <w:tcPr>
                  <w:tcW w:w="0" w:type="auto"/>
                  <w:vAlign w:val="center"/>
                </w:tcPr>
                <w:p w14:paraId="243E389D">
                  <w:pPr>
                    <w:jc w:val="center"/>
                    <w:rPr>
                      <w:color w:val="000000"/>
                      <w:kern w:val="0"/>
                      <w:szCs w:val="21"/>
                    </w:rPr>
                  </w:pPr>
                  <w:r>
                    <w:rPr>
                      <w:color w:val="000000"/>
                      <w:kern w:val="0"/>
                      <w:szCs w:val="21"/>
                    </w:rPr>
                    <w:t>1</w:t>
                  </w:r>
                </w:p>
              </w:tc>
            </w:tr>
            <w:tr w14:paraId="1C5C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80C1B0C">
                  <w:pPr>
                    <w:jc w:val="center"/>
                    <w:rPr>
                      <w:szCs w:val="21"/>
                    </w:rPr>
                  </w:pPr>
                  <w:r>
                    <w:rPr>
                      <w:rFonts w:eastAsia="等线"/>
                      <w:color w:val="000000"/>
                      <w:szCs w:val="21"/>
                    </w:rPr>
                    <w:t>93</w:t>
                  </w:r>
                </w:p>
              </w:tc>
              <w:tc>
                <w:tcPr>
                  <w:tcW w:w="0" w:type="auto"/>
                  <w:vMerge w:val="continue"/>
                  <w:vAlign w:val="center"/>
                </w:tcPr>
                <w:p w14:paraId="237658CD">
                  <w:pPr>
                    <w:jc w:val="center"/>
                    <w:rPr>
                      <w:szCs w:val="21"/>
                    </w:rPr>
                  </w:pPr>
                </w:p>
              </w:tc>
              <w:tc>
                <w:tcPr>
                  <w:tcW w:w="0" w:type="auto"/>
                </w:tcPr>
                <w:p w14:paraId="0E398838">
                  <w:pPr>
                    <w:jc w:val="center"/>
                    <w:rPr>
                      <w:color w:val="000000"/>
                      <w:kern w:val="0"/>
                      <w:szCs w:val="21"/>
                    </w:rPr>
                  </w:pPr>
                  <w:r>
                    <w:rPr>
                      <w:szCs w:val="21"/>
                    </w:rPr>
                    <w:t>覆压孔隙度渗透率测量仪</w:t>
                  </w:r>
                </w:p>
              </w:tc>
              <w:tc>
                <w:tcPr>
                  <w:tcW w:w="0" w:type="auto"/>
                </w:tcPr>
                <w:p w14:paraId="502B745B">
                  <w:pPr>
                    <w:jc w:val="center"/>
                    <w:rPr>
                      <w:color w:val="000000"/>
                      <w:kern w:val="0"/>
                      <w:szCs w:val="21"/>
                    </w:rPr>
                  </w:pPr>
                  <w:r>
                    <w:rPr>
                      <w:szCs w:val="21"/>
                    </w:rPr>
                    <w:t>Poro PDP-200</w:t>
                  </w:r>
                </w:p>
              </w:tc>
              <w:tc>
                <w:tcPr>
                  <w:tcW w:w="0" w:type="auto"/>
                  <w:vAlign w:val="center"/>
                </w:tcPr>
                <w:p w14:paraId="74F2A97B">
                  <w:pPr>
                    <w:jc w:val="center"/>
                    <w:rPr>
                      <w:color w:val="000000"/>
                      <w:kern w:val="0"/>
                      <w:szCs w:val="21"/>
                    </w:rPr>
                  </w:pPr>
                  <w:r>
                    <w:rPr>
                      <w:color w:val="000000"/>
                      <w:kern w:val="0"/>
                      <w:szCs w:val="21"/>
                    </w:rPr>
                    <w:t>1</w:t>
                  </w:r>
                </w:p>
              </w:tc>
            </w:tr>
            <w:tr w14:paraId="37FE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A765648">
                  <w:pPr>
                    <w:jc w:val="center"/>
                    <w:rPr>
                      <w:szCs w:val="21"/>
                    </w:rPr>
                  </w:pPr>
                  <w:r>
                    <w:rPr>
                      <w:rFonts w:eastAsia="等线"/>
                      <w:color w:val="000000"/>
                      <w:szCs w:val="21"/>
                    </w:rPr>
                    <w:t>94</w:t>
                  </w:r>
                </w:p>
              </w:tc>
              <w:tc>
                <w:tcPr>
                  <w:tcW w:w="0" w:type="auto"/>
                  <w:vMerge w:val="continue"/>
                  <w:vAlign w:val="center"/>
                </w:tcPr>
                <w:p w14:paraId="78D8BDA7">
                  <w:pPr>
                    <w:jc w:val="center"/>
                    <w:rPr>
                      <w:szCs w:val="21"/>
                    </w:rPr>
                  </w:pPr>
                </w:p>
              </w:tc>
              <w:tc>
                <w:tcPr>
                  <w:tcW w:w="0" w:type="auto"/>
                </w:tcPr>
                <w:p w14:paraId="2DF0A408">
                  <w:pPr>
                    <w:jc w:val="center"/>
                    <w:rPr>
                      <w:color w:val="000000"/>
                      <w:kern w:val="0"/>
                      <w:szCs w:val="21"/>
                    </w:rPr>
                  </w:pPr>
                  <w:r>
                    <w:rPr>
                      <w:szCs w:val="21"/>
                    </w:rPr>
                    <w:t>等温吸附仪</w:t>
                  </w:r>
                </w:p>
              </w:tc>
              <w:tc>
                <w:tcPr>
                  <w:tcW w:w="0" w:type="auto"/>
                </w:tcPr>
                <w:p w14:paraId="03D1A432">
                  <w:pPr>
                    <w:jc w:val="center"/>
                    <w:rPr>
                      <w:color w:val="000000"/>
                      <w:kern w:val="0"/>
                      <w:szCs w:val="21"/>
                    </w:rPr>
                  </w:pPr>
                  <w:r>
                    <w:rPr>
                      <w:szCs w:val="21"/>
                    </w:rPr>
                    <w:t>150-350,S-SC LT</w:t>
                  </w:r>
                </w:p>
              </w:tc>
              <w:tc>
                <w:tcPr>
                  <w:tcW w:w="0" w:type="auto"/>
                  <w:vAlign w:val="center"/>
                </w:tcPr>
                <w:p w14:paraId="1340CCD0">
                  <w:pPr>
                    <w:jc w:val="center"/>
                    <w:rPr>
                      <w:color w:val="000000"/>
                      <w:kern w:val="0"/>
                      <w:szCs w:val="21"/>
                    </w:rPr>
                  </w:pPr>
                  <w:r>
                    <w:rPr>
                      <w:color w:val="000000"/>
                      <w:kern w:val="0"/>
                      <w:szCs w:val="21"/>
                    </w:rPr>
                    <w:t>1</w:t>
                  </w:r>
                </w:p>
              </w:tc>
            </w:tr>
            <w:tr w14:paraId="62B8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ED58475">
                  <w:pPr>
                    <w:jc w:val="center"/>
                    <w:rPr>
                      <w:szCs w:val="21"/>
                    </w:rPr>
                  </w:pPr>
                  <w:r>
                    <w:rPr>
                      <w:rFonts w:eastAsia="等线"/>
                      <w:color w:val="000000"/>
                      <w:szCs w:val="21"/>
                    </w:rPr>
                    <w:t>95</w:t>
                  </w:r>
                </w:p>
              </w:tc>
              <w:tc>
                <w:tcPr>
                  <w:tcW w:w="0" w:type="auto"/>
                  <w:vMerge w:val="continue"/>
                  <w:vAlign w:val="center"/>
                </w:tcPr>
                <w:p w14:paraId="104768A1">
                  <w:pPr>
                    <w:jc w:val="center"/>
                    <w:rPr>
                      <w:szCs w:val="21"/>
                    </w:rPr>
                  </w:pPr>
                </w:p>
              </w:tc>
              <w:tc>
                <w:tcPr>
                  <w:tcW w:w="0" w:type="auto"/>
                </w:tcPr>
                <w:p w14:paraId="1E85A02A">
                  <w:pPr>
                    <w:jc w:val="center"/>
                    <w:rPr>
                      <w:color w:val="000000"/>
                      <w:kern w:val="0"/>
                      <w:szCs w:val="21"/>
                    </w:rPr>
                  </w:pPr>
                  <w:r>
                    <w:rPr>
                      <w:szCs w:val="21"/>
                    </w:rPr>
                    <w:t>全自动比表面及孔径分析仪</w:t>
                  </w:r>
                </w:p>
              </w:tc>
              <w:tc>
                <w:tcPr>
                  <w:tcW w:w="0" w:type="auto"/>
                </w:tcPr>
                <w:p w14:paraId="075E1D2A">
                  <w:pPr>
                    <w:jc w:val="center"/>
                    <w:rPr>
                      <w:color w:val="000000"/>
                      <w:kern w:val="0"/>
                      <w:szCs w:val="21"/>
                    </w:rPr>
                  </w:pPr>
                  <w:r>
                    <w:rPr>
                      <w:szCs w:val="21"/>
                    </w:rPr>
                    <w:t>美国Micromeritics公司</w:t>
                  </w:r>
                </w:p>
              </w:tc>
              <w:tc>
                <w:tcPr>
                  <w:tcW w:w="0" w:type="auto"/>
                  <w:vAlign w:val="center"/>
                </w:tcPr>
                <w:p w14:paraId="29E8CAC8">
                  <w:pPr>
                    <w:jc w:val="center"/>
                    <w:rPr>
                      <w:color w:val="000000"/>
                      <w:kern w:val="0"/>
                      <w:szCs w:val="21"/>
                    </w:rPr>
                  </w:pPr>
                  <w:r>
                    <w:rPr>
                      <w:color w:val="000000"/>
                      <w:kern w:val="0"/>
                      <w:szCs w:val="21"/>
                    </w:rPr>
                    <w:t>1</w:t>
                  </w:r>
                </w:p>
              </w:tc>
            </w:tr>
            <w:tr w14:paraId="4DD1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8FFA134">
                  <w:pPr>
                    <w:jc w:val="center"/>
                    <w:rPr>
                      <w:szCs w:val="21"/>
                    </w:rPr>
                  </w:pPr>
                  <w:r>
                    <w:rPr>
                      <w:rFonts w:eastAsia="等线"/>
                      <w:color w:val="000000"/>
                      <w:szCs w:val="21"/>
                    </w:rPr>
                    <w:t>96</w:t>
                  </w:r>
                </w:p>
              </w:tc>
              <w:tc>
                <w:tcPr>
                  <w:tcW w:w="0" w:type="auto"/>
                  <w:vMerge w:val="continue"/>
                  <w:vAlign w:val="center"/>
                </w:tcPr>
                <w:p w14:paraId="21D80303">
                  <w:pPr>
                    <w:jc w:val="center"/>
                    <w:rPr>
                      <w:szCs w:val="21"/>
                    </w:rPr>
                  </w:pPr>
                </w:p>
              </w:tc>
              <w:tc>
                <w:tcPr>
                  <w:tcW w:w="0" w:type="auto"/>
                </w:tcPr>
                <w:p w14:paraId="76F849A0">
                  <w:pPr>
                    <w:jc w:val="center"/>
                    <w:rPr>
                      <w:color w:val="000000"/>
                      <w:kern w:val="0"/>
                      <w:szCs w:val="21"/>
                    </w:rPr>
                  </w:pPr>
                  <w:r>
                    <w:rPr>
                      <w:szCs w:val="21"/>
                    </w:rPr>
                    <w:t>微米CT</w:t>
                  </w:r>
                </w:p>
              </w:tc>
              <w:tc>
                <w:tcPr>
                  <w:tcW w:w="0" w:type="auto"/>
                </w:tcPr>
                <w:p w14:paraId="2E2D8087">
                  <w:pPr>
                    <w:jc w:val="center"/>
                    <w:rPr>
                      <w:color w:val="000000"/>
                      <w:kern w:val="0"/>
                      <w:szCs w:val="21"/>
                    </w:rPr>
                  </w:pPr>
                  <w:r>
                    <w:rPr>
                      <w:szCs w:val="21"/>
                    </w:rPr>
                    <w:t>EFPSCAN2000</w:t>
                  </w:r>
                </w:p>
              </w:tc>
              <w:tc>
                <w:tcPr>
                  <w:tcW w:w="0" w:type="auto"/>
                  <w:vAlign w:val="center"/>
                </w:tcPr>
                <w:p w14:paraId="36A407F3">
                  <w:pPr>
                    <w:jc w:val="center"/>
                    <w:rPr>
                      <w:color w:val="000000"/>
                      <w:kern w:val="0"/>
                      <w:szCs w:val="21"/>
                    </w:rPr>
                  </w:pPr>
                  <w:r>
                    <w:rPr>
                      <w:color w:val="000000"/>
                      <w:kern w:val="0"/>
                      <w:szCs w:val="21"/>
                    </w:rPr>
                    <w:t>1</w:t>
                  </w:r>
                </w:p>
              </w:tc>
            </w:tr>
            <w:tr w14:paraId="767D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0B8FD03">
                  <w:pPr>
                    <w:jc w:val="center"/>
                    <w:rPr>
                      <w:szCs w:val="21"/>
                    </w:rPr>
                  </w:pPr>
                  <w:r>
                    <w:rPr>
                      <w:rFonts w:eastAsia="等线"/>
                      <w:color w:val="000000"/>
                      <w:szCs w:val="21"/>
                    </w:rPr>
                    <w:t>97</w:t>
                  </w:r>
                </w:p>
              </w:tc>
              <w:tc>
                <w:tcPr>
                  <w:tcW w:w="0" w:type="auto"/>
                  <w:vMerge w:val="continue"/>
                  <w:vAlign w:val="center"/>
                </w:tcPr>
                <w:p w14:paraId="13CF2719">
                  <w:pPr>
                    <w:jc w:val="center"/>
                    <w:rPr>
                      <w:szCs w:val="21"/>
                    </w:rPr>
                  </w:pPr>
                </w:p>
              </w:tc>
              <w:tc>
                <w:tcPr>
                  <w:tcW w:w="0" w:type="auto"/>
                </w:tcPr>
                <w:p w14:paraId="0D1B96BE">
                  <w:pPr>
                    <w:jc w:val="center"/>
                    <w:rPr>
                      <w:color w:val="000000"/>
                      <w:kern w:val="0"/>
                      <w:szCs w:val="21"/>
                    </w:rPr>
                  </w:pPr>
                  <w:r>
                    <w:rPr>
                      <w:szCs w:val="21"/>
                    </w:rPr>
                    <w:t>X射线衍射仪</w:t>
                  </w:r>
                </w:p>
              </w:tc>
              <w:tc>
                <w:tcPr>
                  <w:tcW w:w="0" w:type="auto"/>
                </w:tcPr>
                <w:p w14:paraId="7672B463">
                  <w:pPr>
                    <w:jc w:val="center"/>
                    <w:rPr>
                      <w:color w:val="000000"/>
                      <w:kern w:val="0"/>
                      <w:szCs w:val="21"/>
                    </w:rPr>
                  </w:pPr>
                  <w:r>
                    <w:rPr>
                      <w:szCs w:val="21"/>
                    </w:rPr>
                    <w:t>D8AA25</w:t>
                  </w:r>
                </w:p>
              </w:tc>
              <w:tc>
                <w:tcPr>
                  <w:tcW w:w="0" w:type="auto"/>
                  <w:vAlign w:val="center"/>
                </w:tcPr>
                <w:p w14:paraId="0F8B8518">
                  <w:pPr>
                    <w:jc w:val="center"/>
                    <w:rPr>
                      <w:color w:val="000000"/>
                      <w:kern w:val="0"/>
                      <w:szCs w:val="21"/>
                    </w:rPr>
                  </w:pPr>
                  <w:r>
                    <w:rPr>
                      <w:color w:val="000000"/>
                      <w:kern w:val="0"/>
                      <w:szCs w:val="21"/>
                    </w:rPr>
                    <w:t>1</w:t>
                  </w:r>
                </w:p>
              </w:tc>
            </w:tr>
            <w:tr w14:paraId="7B6D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62986EAF">
                  <w:pPr>
                    <w:jc w:val="center"/>
                    <w:rPr>
                      <w:szCs w:val="21"/>
                    </w:rPr>
                  </w:pPr>
                  <w:r>
                    <w:rPr>
                      <w:rFonts w:eastAsia="等线"/>
                      <w:color w:val="000000"/>
                      <w:szCs w:val="21"/>
                    </w:rPr>
                    <w:t>98</w:t>
                  </w:r>
                </w:p>
              </w:tc>
              <w:tc>
                <w:tcPr>
                  <w:tcW w:w="0" w:type="auto"/>
                  <w:vMerge w:val="restart"/>
                  <w:vAlign w:val="center"/>
                </w:tcPr>
                <w:p w14:paraId="0CDB133B">
                  <w:pPr>
                    <w:jc w:val="center"/>
                    <w:rPr>
                      <w:szCs w:val="21"/>
                    </w:rPr>
                  </w:pPr>
                  <w:r>
                    <w:rPr>
                      <w:szCs w:val="21"/>
                    </w:rPr>
                    <w:t>分布式能源实验</w:t>
                  </w:r>
                </w:p>
              </w:tc>
              <w:tc>
                <w:tcPr>
                  <w:tcW w:w="0" w:type="auto"/>
                  <w:vAlign w:val="center"/>
                </w:tcPr>
                <w:p w14:paraId="4B7D883D">
                  <w:pPr>
                    <w:jc w:val="center"/>
                    <w:rPr>
                      <w:szCs w:val="21"/>
                    </w:rPr>
                  </w:pPr>
                  <w:r>
                    <w:rPr>
                      <w:szCs w:val="21"/>
                    </w:rPr>
                    <w:t>永磁风电模拟系统</w:t>
                  </w:r>
                </w:p>
              </w:tc>
              <w:tc>
                <w:tcPr>
                  <w:tcW w:w="0" w:type="auto"/>
                </w:tcPr>
                <w:p w14:paraId="29E062C7">
                  <w:pPr>
                    <w:jc w:val="center"/>
                    <w:rPr>
                      <w:szCs w:val="21"/>
                    </w:rPr>
                  </w:pPr>
                  <w:r>
                    <w:rPr>
                      <w:szCs w:val="21"/>
                    </w:rPr>
                    <w:t>永磁机组5kW 330V 1000rpm</w:t>
                  </w:r>
                </w:p>
              </w:tc>
              <w:tc>
                <w:tcPr>
                  <w:tcW w:w="0" w:type="auto"/>
                  <w:vAlign w:val="center"/>
                </w:tcPr>
                <w:p w14:paraId="767ED993">
                  <w:pPr>
                    <w:jc w:val="center"/>
                    <w:rPr>
                      <w:color w:val="000000"/>
                      <w:kern w:val="0"/>
                      <w:szCs w:val="21"/>
                    </w:rPr>
                  </w:pPr>
                  <w:r>
                    <w:rPr>
                      <w:color w:val="000000"/>
                      <w:kern w:val="0"/>
                      <w:szCs w:val="21"/>
                    </w:rPr>
                    <w:t>1</w:t>
                  </w:r>
                </w:p>
              </w:tc>
            </w:tr>
            <w:tr w14:paraId="761C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85A30A3">
                  <w:pPr>
                    <w:jc w:val="center"/>
                    <w:rPr>
                      <w:szCs w:val="21"/>
                    </w:rPr>
                  </w:pPr>
                  <w:r>
                    <w:rPr>
                      <w:rFonts w:eastAsia="等线"/>
                      <w:color w:val="000000"/>
                      <w:szCs w:val="21"/>
                    </w:rPr>
                    <w:t>99</w:t>
                  </w:r>
                </w:p>
              </w:tc>
              <w:tc>
                <w:tcPr>
                  <w:tcW w:w="0" w:type="auto"/>
                  <w:vMerge w:val="continue"/>
                  <w:vAlign w:val="center"/>
                </w:tcPr>
                <w:p w14:paraId="4708ACC7">
                  <w:pPr>
                    <w:jc w:val="center"/>
                    <w:rPr>
                      <w:szCs w:val="21"/>
                    </w:rPr>
                  </w:pPr>
                </w:p>
              </w:tc>
              <w:tc>
                <w:tcPr>
                  <w:tcW w:w="0" w:type="auto"/>
                  <w:vAlign w:val="center"/>
                </w:tcPr>
                <w:p w14:paraId="32D93B77">
                  <w:pPr>
                    <w:jc w:val="center"/>
                    <w:rPr>
                      <w:szCs w:val="21"/>
                    </w:rPr>
                  </w:pPr>
                  <w:r>
                    <w:rPr>
                      <w:szCs w:val="21"/>
                    </w:rPr>
                    <w:t>双馈风电模拟系统</w:t>
                  </w:r>
                </w:p>
              </w:tc>
              <w:tc>
                <w:tcPr>
                  <w:tcW w:w="0" w:type="auto"/>
                </w:tcPr>
                <w:p w14:paraId="0B095BE9">
                  <w:pPr>
                    <w:jc w:val="center"/>
                    <w:rPr>
                      <w:kern w:val="0"/>
                      <w:szCs w:val="21"/>
                    </w:rPr>
                  </w:pPr>
                  <w:r>
                    <w:rPr>
                      <w:kern w:val="0"/>
                      <w:szCs w:val="21"/>
                    </w:rPr>
                    <w:t>双馈机组5kW 380V 1500rpm</w:t>
                  </w:r>
                </w:p>
                <w:p w14:paraId="52CB10A8">
                  <w:pPr>
                    <w:jc w:val="center"/>
                    <w:rPr>
                      <w:szCs w:val="21"/>
                    </w:rPr>
                  </w:pPr>
                </w:p>
              </w:tc>
              <w:tc>
                <w:tcPr>
                  <w:tcW w:w="0" w:type="auto"/>
                  <w:vAlign w:val="center"/>
                </w:tcPr>
                <w:p w14:paraId="7AB46893">
                  <w:pPr>
                    <w:jc w:val="center"/>
                    <w:rPr>
                      <w:color w:val="000000"/>
                      <w:kern w:val="0"/>
                      <w:szCs w:val="21"/>
                    </w:rPr>
                  </w:pPr>
                </w:p>
              </w:tc>
            </w:tr>
            <w:tr w14:paraId="792E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2C17D2F">
                  <w:pPr>
                    <w:jc w:val="center"/>
                    <w:rPr>
                      <w:szCs w:val="21"/>
                    </w:rPr>
                  </w:pPr>
                  <w:r>
                    <w:rPr>
                      <w:rFonts w:eastAsia="等线"/>
                      <w:color w:val="000000"/>
                      <w:szCs w:val="21"/>
                    </w:rPr>
                    <w:t>100</w:t>
                  </w:r>
                </w:p>
              </w:tc>
              <w:tc>
                <w:tcPr>
                  <w:tcW w:w="0" w:type="auto"/>
                  <w:vMerge w:val="continue"/>
                  <w:vAlign w:val="center"/>
                </w:tcPr>
                <w:p w14:paraId="43EC333D">
                  <w:pPr>
                    <w:jc w:val="center"/>
                    <w:rPr>
                      <w:szCs w:val="21"/>
                    </w:rPr>
                  </w:pPr>
                </w:p>
              </w:tc>
              <w:tc>
                <w:tcPr>
                  <w:tcW w:w="0" w:type="auto"/>
                  <w:vAlign w:val="center"/>
                </w:tcPr>
                <w:p w14:paraId="577689B8">
                  <w:pPr>
                    <w:jc w:val="center"/>
                    <w:rPr>
                      <w:szCs w:val="21"/>
                    </w:rPr>
                  </w:pPr>
                  <w:r>
                    <w:rPr>
                      <w:szCs w:val="21"/>
                    </w:rPr>
                    <w:t>光伏发电模拟系统</w:t>
                  </w:r>
                </w:p>
              </w:tc>
              <w:tc>
                <w:tcPr>
                  <w:tcW w:w="0" w:type="auto"/>
                </w:tcPr>
                <w:p w14:paraId="798E3A85">
                  <w:pPr>
                    <w:jc w:val="center"/>
                    <w:rPr>
                      <w:szCs w:val="21"/>
                    </w:rPr>
                  </w:pPr>
                  <w:r>
                    <w:rPr>
                      <w:kern w:val="0"/>
                      <w:szCs w:val="21"/>
                    </w:rPr>
                    <w:t>光伏并网变流器5kW 380V</w:t>
                  </w:r>
                </w:p>
              </w:tc>
              <w:tc>
                <w:tcPr>
                  <w:tcW w:w="0" w:type="auto"/>
                  <w:vAlign w:val="center"/>
                </w:tcPr>
                <w:p w14:paraId="122D9161">
                  <w:pPr>
                    <w:jc w:val="center"/>
                    <w:rPr>
                      <w:color w:val="000000"/>
                      <w:kern w:val="0"/>
                      <w:szCs w:val="21"/>
                    </w:rPr>
                  </w:pPr>
                  <w:r>
                    <w:rPr>
                      <w:color w:val="000000"/>
                      <w:kern w:val="0"/>
                      <w:szCs w:val="21"/>
                    </w:rPr>
                    <w:t>1</w:t>
                  </w:r>
                </w:p>
              </w:tc>
            </w:tr>
            <w:tr w14:paraId="2B58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418123F">
                  <w:pPr>
                    <w:jc w:val="center"/>
                    <w:rPr>
                      <w:szCs w:val="21"/>
                    </w:rPr>
                  </w:pPr>
                  <w:r>
                    <w:rPr>
                      <w:rFonts w:eastAsia="等线"/>
                      <w:color w:val="000000"/>
                      <w:szCs w:val="21"/>
                    </w:rPr>
                    <w:t>101</w:t>
                  </w:r>
                </w:p>
              </w:tc>
              <w:tc>
                <w:tcPr>
                  <w:tcW w:w="0" w:type="auto"/>
                  <w:vMerge w:val="continue"/>
                  <w:vAlign w:val="center"/>
                </w:tcPr>
                <w:p w14:paraId="4A80CA3C">
                  <w:pPr>
                    <w:jc w:val="center"/>
                    <w:rPr>
                      <w:szCs w:val="21"/>
                    </w:rPr>
                  </w:pPr>
                </w:p>
              </w:tc>
              <w:tc>
                <w:tcPr>
                  <w:tcW w:w="0" w:type="auto"/>
                  <w:vAlign w:val="center"/>
                </w:tcPr>
                <w:p w14:paraId="49DB4759">
                  <w:pPr>
                    <w:jc w:val="center"/>
                    <w:rPr>
                      <w:szCs w:val="21"/>
                    </w:rPr>
                  </w:pPr>
                  <w:r>
                    <w:rPr>
                      <w:szCs w:val="21"/>
                    </w:rPr>
                    <w:t>储能模拟系统</w:t>
                  </w:r>
                </w:p>
              </w:tc>
              <w:tc>
                <w:tcPr>
                  <w:tcW w:w="0" w:type="auto"/>
                </w:tcPr>
                <w:p w14:paraId="7C4CFC37">
                  <w:pPr>
                    <w:jc w:val="center"/>
                    <w:rPr>
                      <w:szCs w:val="21"/>
                    </w:rPr>
                  </w:pPr>
                  <w:r>
                    <w:rPr>
                      <w:kern w:val="0"/>
                      <w:szCs w:val="21"/>
                    </w:rPr>
                    <w:t>储能并网变流器10kW 380V</w:t>
                  </w:r>
                </w:p>
              </w:tc>
              <w:tc>
                <w:tcPr>
                  <w:tcW w:w="0" w:type="auto"/>
                  <w:vAlign w:val="center"/>
                </w:tcPr>
                <w:p w14:paraId="0D6308E5">
                  <w:pPr>
                    <w:jc w:val="center"/>
                    <w:rPr>
                      <w:color w:val="000000"/>
                      <w:kern w:val="0"/>
                      <w:szCs w:val="21"/>
                    </w:rPr>
                  </w:pPr>
                  <w:r>
                    <w:rPr>
                      <w:color w:val="000000"/>
                      <w:kern w:val="0"/>
                      <w:szCs w:val="21"/>
                    </w:rPr>
                    <w:t>1</w:t>
                  </w:r>
                </w:p>
              </w:tc>
            </w:tr>
            <w:tr w14:paraId="4F2E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58FF1F9">
                  <w:pPr>
                    <w:jc w:val="center"/>
                    <w:rPr>
                      <w:szCs w:val="21"/>
                    </w:rPr>
                  </w:pPr>
                  <w:r>
                    <w:rPr>
                      <w:rFonts w:eastAsia="等线"/>
                      <w:color w:val="000000"/>
                      <w:szCs w:val="21"/>
                    </w:rPr>
                    <w:t>102</w:t>
                  </w:r>
                </w:p>
              </w:tc>
              <w:tc>
                <w:tcPr>
                  <w:tcW w:w="0" w:type="auto"/>
                  <w:vMerge w:val="continue"/>
                  <w:vAlign w:val="center"/>
                </w:tcPr>
                <w:p w14:paraId="1E429728">
                  <w:pPr>
                    <w:jc w:val="center"/>
                    <w:rPr>
                      <w:szCs w:val="21"/>
                    </w:rPr>
                  </w:pPr>
                </w:p>
              </w:tc>
              <w:tc>
                <w:tcPr>
                  <w:tcW w:w="0" w:type="auto"/>
                  <w:vAlign w:val="center"/>
                </w:tcPr>
                <w:p w14:paraId="7BAD9EC3">
                  <w:pPr>
                    <w:jc w:val="center"/>
                    <w:rPr>
                      <w:szCs w:val="21"/>
                    </w:rPr>
                  </w:pPr>
                  <w:r>
                    <w:rPr>
                      <w:szCs w:val="21"/>
                    </w:rPr>
                    <w:t>光伏模拟器</w:t>
                  </w:r>
                </w:p>
              </w:tc>
              <w:tc>
                <w:tcPr>
                  <w:tcW w:w="0" w:type="auto"/>
                </w:tcPr>
                <w:p w14:paraId="4EB098BF">
                  <w:pPr>
                    <w:jc w:val="center"/>
                    <w:rPr>
                      <w:szCs w:val="21"/>
                    </w:rPr>
                  </w:pPr>
                  <w:r>
                    <w:rPr>
                      <w:kern w:val="0"/>
                      <w:szCs w:val="21"/>
                    </w:rPr>
                    <w:t>光伏模拟器Chroma 62050H-600S</w:t>
                  </w:r>
                </w:p>
              </w:tc>
              <w:tc>
                <w:tcPr>
                  <w:tcW w:w="0" w:type="auto"/>
                  <w:vAlign w:val="center"/>
                </w:tcPr>
                <w:p w14:paraId="3509AC91">
                  <w:pPr>
                    <w:jc w:val="center"/>
                    <w:rPr>
                      <w:color w:val="000000"/>
                      <w:kern w:val="0"/>
                      <w:szCs w:val="21"/>
                    </w:rPr>
                  </w:pPr>
                  <w:r>
                    <w:rPr>
                      <w:color w:val="000000"/>
                      <w:kern w:val="0"/>
                      <w:szCs w:val="21"/>
                    </w:rPr>
                    <w:t>1</w:t>
                  </w:r>
                </w:p>
              </w:tc>
            </w:tr>
            <w:tr w14:paraId="2A9B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C968F4E">
                  <w:pPr>
                    <w:jc w:val="center"/>
                    <w:rPr>
                      <w:szCs w:val="21"/>
                    </w:rPr>
                  </w:pPr>
                  <w:r>
                    <w:rPr>
                      <w:rFonts w:eastAsia="等线"/>
                      <w:color w:val="000000"/>
                      <w:szCs w:val="21"/>
                    </w:rPr>
                    <w:t>103</w:t>
                  </w:r>
                </w:p>
              </w:tc>
              <w:tc>
                <w:tcPr>
                  <w:tcW w:w="0" w:type="auto"/>
                  <w:vMerge w:val="continue"/>
                  <w:vAlign w:val="center"/>
                </w:tcPr>
                <w:p w14:paraId="17049B4D">
                  <w:pPr>
                    <w:jc w:val="center"/>
                    <w:rPr>
                      <w:szCs w:val="21"/>
                    </w:rPr>
                  </w:pPr>
                </w:p>
              </w:tc>
              <w:tc>
                <w:tcPr>
                  <w:tcW w:w="0" w:type="auto"/>
                  <w:vAlign w:val="center"/>
                </w:tcPr>
                <w:p w14:paraId="26C68508">
                  <w:pPr>
                    <w:jc w:val="center"/>
                    <w:rPr>
                      <w:szCs w:val="21"/>
                    </w:rPr>
                  </w:pPr>
                  <w:r>
                    <w:rPr>
                      <w:szCs w:val="21"/>
                    </w:rPr>
                    <w:t>储能模拟器</w:t>
                  </w:r>
                </w:p>
              </w:tc>
              <w:tc>
                <w:tcPr>
                  <w:tcW w:w="0" w:type="auto"/>
                </w:tcPr>
                <w:p w14:paraId="28EA5641">
                  <w:pPr>
                    <w:jc w:val="center"/>
                    <w:rPr>
                      <w:szCs w:val="21"/>
                    </w:rPr>
                  </w:pPr>
                  <w:r>
                    <w:rPr>
                      <w:kern w:val="0"/>
                      <w:szCs w:val="21"/>
                    </w:rPr>
                    <w:t>Chroma61812 12kW 1200V</w:t>
                  </w:r>
                </w:p>
              </w:tc>
              <w:tc>
                <w:tcPr>
                  <w:tcW w:w="0" w:type="auto"/>
                  <w:vAlign w:val="center"/>
                </w:tcPr>
                <w:p w14:paraId="160DCDC6">
                  <w:pPr>
                    <w:jc w:val="center"/>
                    <w:rPr>
                      <w:color w:val="000000"/>
                      <w:kern w:val="0"/>
                      <w:szCs w:val="21"/>
                    </w:rPr>
                  </w:pPr>
                  <w:r>
                    <w:rPr>
                      <w:color w:val="000000"/>
                      <w:kern w:val="0"/>
                      <w:szCs w:val="21"/>
                    </w:rPr>
                    <w:t>1</w:t>
                  </w:r>
                </w:p>
              </w:tc>
            </w:tr>
            <w:tr w14:paraId="16F3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E19468F">
                  <w:pPr>
                    <w:jc w:val="center"/>
                    <w:rPr>
                      <w:szCs w:val="21"/>
                    </w:rPr>
                  </w:pPr>
                  <w:r>
                    <w:rPr>
                      <w:rFonts w:eastAsia="等线"/>
                      <w:color w:val="000000"/>
                      <w:szCs w:val="21"/>
                    </w:rPr>
                    <w:t>104</w:t>
                  </w:r>
                </w:p>
              </w:tc>
              <w:tc>
                <w:tcPr>
                  <w:tcW w:w="0" w:type="auto"/>
                  <w:vMerge w:val="continue"/>
                  <w:vAlign w:val="center"/>
                </w:tcPr>
                <w:p w14:paraId="2AB4D93B">
                  <w:pPr>
                    <w:jc w:val="center"/>
                    <w:rPr>
                      <w:szCs w:val="21"/>
                    </w:rPr>
                  </w:pPr>
                </w:p>
              </w:tc>
              <w:tc>
                <w:tcPr>
                  <w:tcW w:w="0" w:type="auto"/>
                  <w:vAlign w:val="center"/>
                </w:tcPr>
                <w:p w14:paraId="76FE7AE1">
                  <w:pPr>
                    <w:jc w:val="center"/>
                    <w:rPr>
                      <w:szCs w:val="21"/>
                    </w:rPr>
                  </w:pPr>
                  <w:r>
                    <w:rPr>
                      <w:szCs w:val="21"/>
                    </w:rPr>
                    <w:t>电网模拟器</w:t>
                  </w:r>
                </w:p>
              </w:tc>
              <w:tc>
                <w:tcPr>
                  <w:tcW w:w="0" w:type="auto"/>
                </w:tcPr>
                <w:p w14:paraId="1BBD10C3">
                  <w:pPr>
                    <w:jc w:val="center"/>
                    <w:rPr>
                      <w:szCs w:val="21"/>
                    </w:rPr>
                  </w:pPr>
                  <w:r>
                    <w:rPr>
                      <w:kern w:val="0"/>
                      <w:szCs w:val="21"/>
                    </w:rPr>
                    <w:t>Chroma61860 45kW 300V</w:t>
                  </w:r>
                </w:p>
              </w:tc>
              <w:tc>
                <w:tcPr>
                  <w:tcW w:w="0" w:type="auto"/>
                  <w:vAlign w:val="center"/>
                </w:tcPr>
                <w:p w14:paraId="0074ABE4">
                  <w:pPr>
                    <w:jc w:val="center"/>
                    <w:rPr>
                      <w:color w:val="000000"/>
                      <w:kern w:val="0"/>
                      <w:szCs w:val="21"/>
                    </w:rPr>
                  </w:pPr>
                  <w:r>
                    <w:rPr>
                      <w:color w:val="000000"/>
                      <w:kern w:val="0"/>
                      <w:szCs w:val="21"/>
                    </w:rPr>
                    <w:t>1</w:t>
                  </w:r>
                </w:p>
              </w:tc>
            </w:tr>
            <w:tr w14:paraId="63A3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F6E84C4">
                  <w:pPr>
                    <w:jc w:val="center"/>
                    <w:rPr>
                      <w:szCs w:val="21"/>
                    </w:rPr>
                  </w:pPr>
                  <w:r>
                    <w:rPr>
                      <w:rFonts w:eastAsia="等线"/>
                      <w:color w:val="000000"/>
                      <w:szCs w:val="21"/>
                    </w:rPr>
                    <w:t>105</w:t>
                  </w:r>
                </w:p>
              </w:tc>
              <w:tc>
                <w:tcPr>
                  <w:tcW w:w="0" w:type="auto"/>
                  <w:vMerge w:val="continue"/>
                  <w:vAlign w:val="center"/>
                </w:tcPr>
                <w:p w14:paraId="4DE84F35">
                  <w:pPr>
                    <w:jc w:val="center"/>
                    <w:rPr>
                      <w:szCs w:val="21"/>
                    </w:rPr>
                  </w:pPr>
                </w:p>
              </w:tc>
              <w:tc>
                <w:tcPr>
                  <w:tcW w:w="0" w:type="auto"/>
                  <w:vAlign w:val="center"/>
                </w:tcPr>
                <w:p w14:paraId="643395C5">
                  <w:pPr>
                    <w:jc w:val="center"/>
                    <w:rPr>
                      <w:szCs w:val="21"/>
                    </w:rPr>
                  </w:pPr>
                  <w:r>
                    <w:rPr>
                      <w:szCs w:val="21"/>
                    </w:rPr>
                    <w:t>模拟负荷</w:t>
                  </w:r>
                </w:p>
              </w:tc>
              <w:tc>
                <w:tcPr>
                  <w:tcW w:w="0" w:type="auto"/>
                </w:tcPr>
                <w:p w14:paraId="2A058786">
                  <w:pPr>
                    <w:jc w:val="center"/>
                    <w:rPr>
                      <w:szCs w:val="21"/>
                    </w:rPr>
                  </w:pPr>
                  <w:r>
                    <w:rPr>
                      <w:kern w:val="0"/>
                      <w:szCs w:val="21"/>
                    </w:rPr>
                    <w:t>无源RLC负载 R-15kW L-15kVar C-15kVar</w:t>
                  </w:r>
                </w:p>
              </w:tc>
              <w:tc>
                <w:tcPr>
                  <w:tcW w:w="0" w:type="auto"/>
                  <w:vAlign w:val="center"/>
                </w:tcPr>
                <w:p w14:paraId="25AC7225">
                  <w:pPr>
                    <w:jc w:val="center"/>
                    <w:rPr>
                      <w:color w:val="000000"/>
                      <w:kern w:val="0"/>
                      <w:szCs w:val="21"/>
                    </w:rPr>
                  </w:pPr>
                  <w:r>
                    <w:rPr>
                      <w:color w:val="000000"/>
                      <w:kern w:val="0"/>
                      <w:szCs w:val="21"/>
                    </w:rPr>
                    <w:t>1</w:t>
                  </w:r>
                </w:p>
              </w:tc>
            </w:tr>
            <w:tr w14:paraId="28CD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54D8149">
                  <w:pPr>
                    <w:jc w:val="center"/>
                    <w:rPr>
                      <w:szCs w:val="21"/>
                    </w:rPr>
                  </w:pPr>
                  <w:r>
                    <w:rPr>
                      <w:rFonts w:eastAsia="等线"/>
                      <w:color w:val="000000"/>
                      <w:szCs w:val="21"/>
                    </w:rPr>
                    <w:t>106</w:t>
                  </w:r>
                </w:p>
              </w:tc>
              <w:tc>
                <w:tcPr>
                  <w:tcW w:w="0" w:type="auto"/>
                  <w:vMerge w:val="continue"/>
                  <w:vAlign w:val="center"/>
                </w:tcPr>
                <w:p w14:paraId="3965D0CB">
                  <w:pPr>
                    <w:jc w:val="center"/>
                    <w:rPr>
                      <w:szCs w:val="21"/>
                    </w:rPr>
                  </w:pPr>
                </w:p>
              </w:tc>
              <w:tc>
                <w:tcPr>
                  <w:tcW w:w="0" w:type="auto"/>
                  <w:vAlign w:val="center"/>
                </w:tcPr>
                <w:p w14:paraId="1207DE94">
                  <w:pPr>
                    <w:jc w:val="center"/>
                    <w:rPr>
                      <w:szCs w:val="21"/>
                    </w:rPr>
                  </w:pPr>
                  <w:r>
                    <w:rPr>
                      <w:szCs w:val="21"/>
                    </w:rPr>
                    <w:t>微源模拟屏</w:t>
                  </w:r>
                </w:p>
              </w:tc>
              <w:tc>
                <w:tcPr>
                  <w:tcW w:w="0" w:type="auto"/>
                  <w:vAlign w:val="center"/>
                </w:tcPr>
                <w:p w14:paraId="52F29DA5">
                  <w:pPr>
                    <w:jc w:val="center"/>
                    <w:rPr>
                      <w:szCs w:val="21"/>
                    </w:rPr>
                  </w:pPr>
                  <w:r>
                    <w:rPr>
                      <w:kern w:val="0"/>
                      <w:szCs w:val="21"/>
                    </w:rPr>
                    <w:t>放置2个光伏模拟器，1个储能模拟器</w:t>
                  </w:r>
                </w:p>
              </w:tc>
              <w:tc>
                <w:tcPr>
                  <w:tcW w:w="0" w:type="auto"/>
                  <w:vAlign w:val="center"/>
                </w:tcPr>
                <w:p w14:paraId="6D992FDC">
                  <w:pPr>
                    <w:jc w:val="center"/>
                    <w:rPr>
                      <w:color w:val="000000"/>
                      <w:kern w:val="0"/>
                      <w:szCs w:val="21"/>
                    </w:rPr>
                  </w:pPr>
                  <w:r>
                    <w:rPr>
                      <w:color w:val="000000"/>
                      <w:kern w:val="0"/>
                      <w:szCs w:val="21"/>
                    </w:rPr>
                    <w:t>1</w:t>
                  </w:r>
                </w:p>
              </w:tc>
            </w:tr>
            <w:tr w14:paraId="5DDF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A8EE1AF">
                  <w:pPr>
                    <w:jc w:val="center"/>
                    <w:rPr>
                      <w:szCs w:val="21"/>
                    </w:rPr>
                  </w:pPr>
                  <w:r>
                    <w:rPr>
                      <w:rFonts w:eastAsia="等线"/>
                      <w:color w:val="000000"/>
                      <w:szCs w:val="21"/>
                    </w:rPr>
                    <w:t>107</w:t>
                  </w:r>
                </w:p>
              </w:tc>
              <w:tc>
                <w:tcPr>
                  <w:tcW w:w="0" w:type="auto"/>
                  <w:vMerge w:val="continue"/>
                  <w:vAlign w:val="center"/>
                </w:tcPr>
                <w:p w14:paraId="5674E64B">
                  <w:pPr>
                    <w:jc w:val="center"/>
                    <w:rPr>
                      <w:szCs w:val="21"/>
                    </w:rPr>
                  </w:pPr>
                </w:p>
              </w:tc>
              <w:tc>
                <w:tcPr>
                  <w:tcW w:w="0" w:type="auto"/>
                  <w:vAlign w:val="center"/>
                </w:tcPr>
                <w:p w14:paraId="5DB39E7D">
                  <w:pPr>
                    <w:jc w:val="center"/>
                    <w:rPr>
                      <w:szCs w:val="21"/>
                    </w:rPr>
                  </w:pPr>
                  <w:r>
                    <w:rPr>
                      <w:szCs w:val="21"/>
                    </w:rPr>
                    <w:t>配电开关柜</w:t>
                  </w:r>
                </w:p>
              </w:tc>
              <w:tc>
                <w:tcPr>
                  <w:tcW w:w="0" w:type="auto"/>
                </w:tcPr>
                <w:p w14:paraId="4ED41A0B">
                  <w:pPr>
                    <w:jc w:val="center"/>
                    <w:rPr>
                      <w:szCs w:val="21"/>
                    </w:rPr>
                  </w:pPr>
                  <w:r>
                    <w:rPr>
                      <w:kern w:val="0"/>
                      <w:szCs w:val="21"/>
                    </w:rPr>
                    <w:t>多路三相、单相开关</w:t>
                  </w:r>
                </w:p>
              </w:tc>
              <w:tc>
                <w:tcPr>
                  <w:tcW w:w="0" w:type="auto"/>
                  <w:vAlign w:val="center"/>
                </w:tcPr>
                <w:p w14:paraId="7A8F132F">
                  <w:pPr>
                    <w:jc w:val="center"/>
                    <w:rPr>
                      <w:color w:val="000000"/>
                      <w:kern w:val="0"/>
                      <w:szCs w:val="21"/>
                    </w:rPr>
                  </w:pPr>
                  <w:r>
                    <w:rPr>
                      <w:color w:val="000000"/>
                      <w:kern w:val="0"/>
                      <w:szCs w:val="21"/>
                    </w:rPr>
                    <w:t>1</w:t>
                  </w:r>
                </w:p>
              </w:tc>
            </w:tr>
            <w:tr w14:paraId="38A0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ED96C81">
                  <w:pPr>
                    <w:jc w:val="center"/>
                    <w:rPr>
                      <w:szCs w:val="21"/>
                    </w:rPr>
                  </w:pPr>
                  <w:r>
                    <w:rPr>
                      <w:rFonts w:eastAsia="等线"/>
                      <w:color w:val="000000"/>
                      <w:szCs w:val="21"/>
                    </w:rPr>
                    <w:t>108</w:t>
                  </w:r>
                </w:p>
              </w:tc>
              <w:tc>
                <w:tcPr>
                  <w:tcW w:w="0" w:type="auto"/>
                  <w:vMerge w:val="continue"/>
                  <w:vAlign w:val="center"/>
                </w:tcPr>
                <w:p w14:paraId="062463BD">
                  <w:pPr>
                    <w:jc w:val="center"/>
                    <w:rPr>
                      <w:szCs w:val="21"/>
                    </w:rPr>
                  </w:pPr>
                </w:p>
              </w:tc>
              <w:tc>
                <w:tcPr>
                  <w:tcW w:w="0" w:type="auto"/>
                  <w:vAlign w:val="center"/>
                </w:tcPr>
                <w:p w14:paraId="3D12F917">
                  <w:pPr>
                    <w:jc w:val="center"/>
                    <w:rPr>
                      <w:szCs w:val="21"/>
                    </w:rPr>
                  </w:pPr>
                  <w:r>
                    <w:rPr>
                      <w:szCs w:val="21"/>
                    </w:rPr>
                    <w:t>手动接线屏柜</w:t>
                  </w:r>
                </w:p>
              </w:tc>
              <w:tc>
                <w:tcPr>
                  <w:tcW w:w="0" w:type="auto"/>
                  <w:vAlign w:val="center"/>
                </w:tcPr>
                <w:p w14:paraId="1BEAC05F">
                  <w:pPr>
                    <w:jc w:val="center"/>
                    <w:rPr>
                      <w:szCs w:val="21"/>
                    </w:rPr>
                  </w:pPr>
                  <w:r>
                    <w:rPr>
                      <w:kern w:val="0"/>
                      <w:szCs w:val="21"/>
                    </w:rPr>
                    <w:t>多路三相、直流接线端</w:t>
                  </w:r>
                </w:p>
              </w:tc>
              <w:tc>
                <w:tcPr>
                  <w:tcW w:w="0" w:type="auto"/>
                  <w:vAlign w:val="center"/>
                </w:tcPr>
                <w:p w14:paraId="730F9A55">
                  <w:pPr>
                    <w:jc w:val="center"/>
                    <w:rPr>
                      <w:color w:val="000000"/>
                      <w:kern w:val="0"/>
                      <w:szCs w:val="21"/>
                    </w:rPr>
                  </w:pPr>
                  <w:r>
                    <w:rPr>
                      <w:color w:val="000000"/>
                      <w:kern w:val="0"/>
                      <w:szCs w:val="21"/>
                    </w:rPr>
                    <w:t>1</w:t>
                  </w:r>
                </w:p>
              </w:tc>
            </w:tr>
            <w:tr w14:paraId="3AE1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B3D7E77">
                  <w:pPr>
                    <w:jc w:val="center"/>
                    <w:rPr>
                      <w:szCs w:val="21"/>
                    </w:rPr>
                  </w:pPr>
                  <w:r>
                    <w:rPr>
                      <w:rFonts w:eastAsia="等线"/>
                      <w:color w:val="000000"/>
                      <w:szCs w:val="21"/>
                    </w:rPr>
                    <w:t>109</w:t>
                  </w:r>
                </w:p>
              </w:tc>
              <w:tc>
                <w:tcPr>
                  <w:tcW w:w="0" w:type="auto"/>
                  <w:vMerge w:val="continue"/>
                  <w:vAlign w:val="center"/>
                </w:tcPr>
                <w:p w14:paraId="41296D21">
                  <w:pPr>
                    <w:jc w:val="center"/>
                    <w:rPr>
                      <w:szCs w:val="21"/>
                    </w:rPr>
                  </w:pPr>
                </w:p>
              </w:tc>
              <w:tc>
                <w:tcPr>
                  <w:tcW w:w="0" w:type="auto"/>
                  <w:vAlign w:val="center"/>
                </w:tcPr>
                <w:p w14:paraId="6D4C52EB">
                  <w:pPr>
                    <w:jc w:val="center"/>
                    <w:rPr>
                      <w:szCs w:val="21"/>
                    </w:rPr>
                  </w:pPr>
                  <w:r>
                    <w:rPr>
                      <w:szCs w:val="21"/>
                    </w:rPr>
                    <w:t>测量控制屏柜</w:t>
                  </w:r>
                </w:p>
              </w:tc>
              <w:tc>
                <w:tcPr>
                  <w:tcW w:w="0" w:type="auto"/>
                </w:tcPr>
                <w:p w14:paraId="2415E999">
                  <w:pPr>
                    <w:jc w:val="center"/>
                    <w:rPr>
                      <w:szCs w:val="21"/>
                    </w:rPr>
                  </w:pPr>
                  <w:r>
                    <w:rPr>
                      <w:kern w:val="0"/>
                      <w:szCs w:val="21"/>
                    </w:rPr>
                    <w:t>多路380V测控点</w:t>
                  </w:r>
                </w:p>
              </w:tc>
              <w:tc>
                <w:tcPr>
                  <w:tcW w:w="0" w:type="auto"/>
                  <w:vAlign w:val="center"/>
                </w:tcPr>
                <w:p w14:paraId="1DF0D327">
                  <w:pPr>
                    <w:jc w:val="center"/>
                    <w:rPr>
                      <w:color w:val="000000"/>
                      <w:kern w:val="0"/>
                      <w:szCs w:val="21"/>
                    </w:rPr>
                  </w:pPr>
                  <w:r>
                    <w:rPr>
                      <w:color w:val="000000"/>
                      <w:kern w:val="0"/>
                      <w:szCs w:val="21"/>
                    </w:rPr>
                    <w:t>1</w:t>
                  </w:r>
                </w:p>
              </w:tc>
            </w:tr>
            <w:tr w14:paraId="7656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1DD34DB">
                  <w:pPr>
                    <w:jc w:val="center"/>
                    <w:rPr>
                      <w:szCs w:val="21"/>
                    </w:rPr>
                  </w:pPr>
                  <w:r>
                    <w:rPr>
                      <w:rFonts w:eastAsia="等线"/>
                      <w:color w:val="000000"/>
                      <w:szCs w:val="21"/>
                    </w:rPr>
                    <w:t>110</w:t>
                  </w:r>
                </w:p>
              </w:tc>
              <w:tc>
                <w:tcPr>
                  <w:tcW w:w="0" w:type="auto"/>
                  <w:vMerge w:val="continue"/>
                  <w:vAlign w:val="center"/>
                </w:tcPr>
                <w:p w14:paraId="2E418895">
                  <w:pPr>
                    <w:jc w:val="center"/>
                    <w:rPr>
                      <w:szCs w:val="21"/>
                    </w:rPr>
                  </w:pPr>
                </w:p>
              </w:tc>
              <w:tc>
                <w:tcPr>
                  <w:tcW w:w="0" w:type="auto"/>
                  <w:vAlign w:val="center"/>
                </w:tcPr>
                <w:p w14:paraId="2321797F">
                  <w:pPr>
                    <w:jc w:val="center"/>
                    <w:rPr>
                      <w:szCs w:val="21"/>
                    </w:rPr>
                  </w:pPr>
                  <w:r>
                    <w:rPr>
                      <w:szCs w:val="21"/>
                    </w:rPr>
                    <w:t>模拟器控制系统</w:t>
                  </w:r>
                </w:p>
              </w:tc>
              <w:tc>
                <w:tcPr>
                  <w:tcW w:w="0" w:type="auto"/>
                </w:tcPr>
                <w:p w14:paraId="563ECDE9">
                  <w:pPr>
                    <w:jc w:val="center"/>
                    <w:rPr>
                      <w:szCs w:val="21"/>
                    </w:rPr>
                  </w:pPr>
                  <w:r>
                    <w:rPr>
                      <w:kern w:val="0"/>
                      <w:szCs w:val="21"/>
                    </w:rPr>
                    <w:t>微源调控软件</w:t>
                  </w:r>
                </w:p>
              </w:tc>
              <w:tc>
                <w:tcPr>
                  <w:tcW w:w="0" w:type="auto"/>
                  <w:vAlign w:val="center"/>
                </w:tcPr>
                <w:p w14:paraId="191FDC65">
                  <w:pPr>
                    <w:jc w:val="center"/>
                    <w:rPr>
                      <w:color w:val="000000"/>
                      <w:kern w:val="0"/>
                      <w:szCs w:val="21"/>
                    </w:rPr>
                  </w:pPr>
                  <w:r>
                    <w:rPr>
                      <w:color w:val="000000"/>
                      <w:kern w:val="0"/>
                      <w:szCs w:val="21"/>
                    </w:rPr>
                    <w:t>1</w:t>
                  </w:r>
                </w:p>
              </w:tc>
            </w:tr>
            <w:tr w14:paraId="1E53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F7923D4">
                  <w:pPr>
                    <w:jc w:val="center"/>
                    <w:rPr>
                      <w:szCs w:val="21"/>
                    </w:rPr>
                  </w:pPr>
                  <w:r>
                    <w:rPr>
                      <w:rFonts w:eastAsia="等线"/>
                      <w:color w:val="000000"/>
                      <w:szCs w:val="21"/>
                    </w:rPr>
                    <w:t>111</w:t>
                  </w:r>
                </w:p>
              </w:tc>
              <w:tc>
                <w:tcPr>
                  <w:tcW w:w="0" w:type="auto"/>
                  <w:vMerge w:val="continue"/>
                  <w:vAlign w:val="center"/>
                </w:tcPr>
                <w:p w14:paraId="05602F32">
                  <w:pPr>
                    <w:jc w:val="center"/>
                    <w:rPr>
                      <w:szCs w:val="21"/>
                    </w:rPr>
                  </w:pPr>
                </w:p>
              </w:tc>
              <w:tc>
                <w:tcPr>
                  <w:tcW w:w="0" w:type="auto"/>
                  <w:vAlign w:val="center"/>
                </w:tcPr>
                <w:p w14:paraId="55FF46F6">
                  <w:pPr>
                    <w:jc w:val="center"/>
                    <w:rPr>
                      <w:szCs w:val="21"/>
                    </w:rPr>
                  </w:pPr>
                  <w:r>
                    <w:rPr>
                      <w:szCs w:val="21"/>
                    </w:rPr>
                    <w:t>能量管理系统</w:t>
                  </w:r>
                </w:p>
              </w:tc>
              <w:tc>
                <w:tcPr>
                  <w:tcW w:w="0" w:type="auto"/>
                </w:tcPr>
                <w:p w14:paraId="3D52353E">
                  <w:pPr>
                    <w:jc w:val="center"/>
                    <w:rPr>
                      <w:szCs w:val="21"/>
                    </w:rPr>
                  </w:pPr>
                  <w:r>
                    <w:rPr>
                      <w:kern w:val="0"/>
                      <w:szCs w:val="21"/>
                    </w:rPr>
                    <w:t>3D能量管理软件</w:t>
                  </w:r>
                </w:p>
              </w:tc>
              <w:tc>
                <w:tcPr>
                  <w:tcW w:w="0" w:type="auto"/>
                  <w:vAlign w:val="center"/>
                </w:tcPr>
                <w:p w14:paraId="1B336917">
                  <w:pPr>
                    <w:jc w:val="center"/>
                    <w:rPr>
                      <w:color w:val="000000"/>
                      <w:kern w:val="0"/>
                      <w:szCs w:val="21"/>
                    </w:rPr>
                  </w:pPr>
                  <w:r>
                    <w:rPr>
                      <w:color w:val="000000"/>
                      <w:kern w:val="0"/>
                      <w:szCs w:val="21"/>
                    </w:rPr>
                    <w:t>1</w:t>
                  </w:r>
                </w:p>
              </w:tc>
            </w:tr>
            <w:tr w14:paraId="4EED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4A632EA">
                  <w:pPr>
                    <w:jc w:val="center"/>
                    <w:rPr>
                      <w:szCs w:val="21"/>
                    </w:rPr>
                  </w:pPr>
                  <w:r>
                    <w:rPr>
                      <w:rFonts w:eastAsia="等线"/>
                      <w:color w:val="000000"/>
                      <w:szCs w:val="21"/>
                    </w:rPr>
                    <w:t>112</w:t>
                  </w:r>
                </w:p>
              </w:tc>
              <w:tc>
                <w:tcPr>
                  <w:tcW w:w="0" w:type="auto"/>
                  <w:vMerge w:val="continue"/>
                  <w:vAlign w:val="center"/>
                </w:tcPr>
                <w:p w14:paraId="66FC045C">
                  <w:pPr>
                    <w:jc w:val="center"/>
                    <w:rPr>
                      <w:szCs w:val="21"/>
                    </w:rPr>
                  </w:pPr>
                </w:p>
              </w:tc>
              <w:tc>
                <w:tcPr>
                  <w:tcW w:w="0" w:type="auto"/>
                  <w:vAlign w:val="center"/>
                </w:tcPr>
                <w:p w14:paraId="6D4036F4">
                  <w:pPr>
                    <w:jc w:val="center"/>
                    <w:rPr>
                      <w:szCs w:val="21"/>
                    </w:rPr>
                  </w:pPr>
                  <w:r>
                    <w:rPr>
                      <w:szCs w:val="21"/>
                    </w:rPr>
                    <w:t>电网仿真器</w:t>
                  </w:r>
                </w:p>
              </w:tc>
              <w:tc>
                <w:tcPr>
                  <w:tcW w:w="0" w:type="auto"/>
                </w:tcPr>
                <w:p w14:paraId="5389204E">
                  <w:pPr>
                    <w:jc w:val="center"/>
                    <w:rPr>
                      <w:szCs w:val="21"/>
                    </w:rPr>
                  </w:pPr>
                  <w:r>
                    <w:rPr>
                      <w:kern w:val="0"/>
                      <w:szCs w:val="21"/>
                    </w:rPr>
                    <w:t>实验室微电网、工业园区微电网数字孪生、功率硬件在环等</w:t>
                  </w:r>
                </w:p>
              </w:tc>
              <w:tc>
                <w:tcPr>
                  <w:tcW w:w="0" w:type="auto"/>
                  <w:vAlign w:val="center"/>
                </w:tcPr>
                <w:p w14:paraId="4DEE6D8D">
                  <w:pPr>
                    <w:jc w:val="center"/>
                    <w:rPr>
                      <w:color w:val="000000"/>
                      <w:kern w:val="0"/>
                      <w:szCs w:val="21"/>
                    </w:rPr>
                  </w:pPr>
                  <w:r>
                    <w:rPr>
                      <w:color w:val="000000"/>
                      <w:kern w:val="0"/>
                      <w:szCs w:val="21"/>
                    </w:rPr>
                    <w:t>1</w:t>
                  </w:r>
                </w:p>
              </w:tc>
            </w:tr>
            <w:tr w14:paraId="6A52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E90E2C9">
                  <w:pPr>
                    <w:jc w:val="center"/>
                    <w:rPr>
                      <w:szCs w:val="21"/>
                    </w:rPr>
                  </w:pPr>
                  <w:r>
                    <w:rPr>
                      <w:rFonts w:eastAsia="等线"/>
                      <w:color w:val="000000"/>
                      <w:szCs w:val="21"/>
                    </w:rPr>
                    <w:t>113</w:t>
                  </w:r>
                </w:p>
              </w:tc>
              <w:tc>
                <w:tcPr>
                  <w:tcW w:w="0" w:type="auto"/>
                  <w:vMerge w:val="continue"/>
                  <w:vAlign w:val="center"/>
                </w:tcPr>
                <w:p w14:paraId="175939E6">
                  <w:pPr>
                    <w:jc w:val="center"/>
                    <w:rPr>
                      <w:szCs w:val="21"/>
                    </w:rPr>
                  </w:pPr>
                </w:p>
              </w:tc>
              <w:tc>
                <w:tcPr>
                  <w:tcW w:w="0" w:type="auto"/>
                  <w:vAlign w:val="center"/>
                </w:tcPr>
                <w:p w14:paraId="550EF037">
                  <w:pPr>
                    <w:jc w:val="center"/>
                    <w:rPr>
                      <w:szCs w:val="21"/>
                    </w:rPr>
                  </w:pPr>
                  <w:r>
                    <w:rPr>
                      <w:szCs w:val="21"/>
                    </w:rPr>
                    <w:t>高精度继电保护测试系统及校验装置</w:t>
                  </w:r>
                </w:p>
              </w:tc>
              <w:tc>
                <w:tcPr>
                  <w:tcW w:w="0" w:type="auto"/>
                  <w:vAlign w:val="center"/>
                </w:tcPr>
                <w:p w14:paraId="392248A5">
                  <w:pPr>
                    <w:jc w:val="center"/>
                    <w:rPr>
                      <w:szCs w:val="21"/>
                    </w:rPr>
                  </w:pPr>
                  <w:r>
                    <w:rPr>
                      <w:kern w:val="0"/>
                      <w:szCs w:val="21"/>
                    </w:rPr>
                    <w:t>CMC 256plus 主机</w:t>
                  </w:r>
                </w:p>
              </w:tc>
              <w:tc>
                <w:tcPr>
                  <w:tcW w:w="0" w:type="auto"/>
                  <w:vAlign w:val="center"/>
                </w:tcPr>
                <w:p w14:paraId="6D79878D">
                  <w:pPr>
                    <w:jc w:val="center"/>
                    <w:rPr>
                      <w:color w:val="000000"/>
                      <w:kern w:val="0"/>
                      <w:szCs w:val="21"/>
                    </w:rPr>
                  </w:pPr>
                  <w:r>
                    <w:rPr>
                      <w:color w:val="000000"/>
                      <w:kern w:val="0"/>
                      <w:szCs w:val="21"/>
                    </w:rPr>
                    <w:t>1</w:t>
                  </w:r>
                </w:p>
              </w:tc>
            </w:tr>
            <w:tr w14:paraId="3D74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CA72BB6">
                  <w:pPr>
                    <w:jc w:val="center"/>
                    <w:rPr>
                      <w:szCs w:val="21"/>
                    </w:rPr>
                  </w:pPr>
                  <w:r>
                    <w:rPr>
                      <w:rFonts w:eastAsia="等线"/>
                      <w:color w:val="000000"/>
                      <w:szCs w:val="21"/>
                    </w:rPr>
                    <w:t>114</w:t>
                  </w:r>
                </w:p>
              </w:tc>
              <w:tc>
                <w:tcPr>
                  <w:tcW w:w="0" w:type="auto"/>
                  <w:vMerge w:val="continue"/>
                  <w:vAlign w:val="center"/>
                </w:tcPr>
                <w:p w14:paraId="2444BC69">
                  <w:pPr>
                    <w:jc w:val="center"/>
                    <w:rPr>
                      <w:szCs w:val="21"/>
                    </w:rPr>
                  </w:pPr>
                </w:p>
              </w:tc>
              <w:tc>
                <w:tcPr>
                  <w:tcW w:w="0" w:type="auto"/>
                  <w:vAlign w:val="center"/>
                </w:tcPr>
                <w:p w14:paraId="7BFCD312">
                  <w:pPr>
                    <w:jc w:val="center"/>
                    <w:rPr>
                      <w:szCs w:val="21"/>
                    </w:rPr>
                  </w:pPr>
                  <w:r>
                    <w:rPr>
                      <w:szCs w:val="21"/>
                    </w:rPr>
                    <w:t>CMC系统软件模块</w:t>
                  </w:r>
                </w:p>
              </w:tc>
              <w:tc>
                <w:tcPr>
                  <w:tcW w:w="0" w:type="auto"/>
                </w:tcPr>
                <w:p w14:paraId="2D3A4BF5">
                  <w:pPr>
                    <w:jc w:val="center"/>
                    <w:rPr>
                      <w:szCs w:val="21"/>
                    </w:rPr>
                  </w:pPr>
                  <w:r>
                    <w:rPr>
                      <w:szCs w:val="21"/>
                    </w:rPr>
                    <w:t>增强回放</w:t>
                  </w:r>
                </w:p>
              </w:tc>
              <w:tc>
                <w:tcPr>
                  <w:tcW w:w="0" w:type="auto"/>
                  <w:vAlign w:val="center"/>
                </w:tcPr>
                <w:p w14:paraId="550F0D0B">
                  <w:pPr>
                    <w:jc w:val="center"/>
                    <w:rPr>
                      <w:color w:val="000000"/>
                      <w:kern w:val="0"/>
                      <w:szCs w:val="21"/>
                    </w:rPr>
                  </w:pPr>
                  <w:r>
                    <w:rPr>
                      <w:color w:val="000000"/>
                      <w:kern w:val="0"/>
                      <w:szCs w:val="21"/>
                    </w:rPr>
                    <w:t>1</w:t>
                  </w:r>
                </w:p>
              </w:tc>
            </w:tr>
            <w:tr w14:paraId="27F2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E85471C">
                  <w:pPr>
                    <w:jc w:val="center"/>
                    <w:rPr>
                      <w:szCs w:val="21"/>
                    </w:rPr>
                  </w:pPr>
                  <w:r>
                    <w:rPr>
                      <w:rFonts w:eastAsia="等线"/>
                      <w:color w:val="000000"/>
                      <w:szCs w:val="21"/>
                    </w:rPr>
                    <w:t>115</w:t>
                  </w:r>
                </w:p>
              </w:tc>
              <w:tc>
                <w:tcPr>
                  <w:tcW w:w="0" w:type="auto"/>
                  <w:vMerge w:val="continue"/>
                  <w:vAlign w:val="center"/>
                </w:tcPr>
                <w:p w14:paraId="3A05EC71">
                  <w:pPr>
                    <w:jc w:val="center"/>
                    <w:rPr>
                      <w:szCs w:val="21"/>
                    </w:rPr>
                  </w:pPr>
                </w:p>
              </w:tc>
              <w:tc>
                <w:tcPr>
                  <w:tcW w:w="0" w:type="auto"/>
                  <w:vAlign w:val="center"/>
                </w:tcPr>
                <w:p w14:paraId="104C7AC7">
                  <w:pPr>
                    <w:jc w:val="center"/>
                    <w:rPr>
                      <w:szCs w:val="21"/>
                    </w:rPr>
                  </w:pPr>
                  <w:r>
                    <w:rPr>
                      <w:szCs w:val="21"/>
                    </w:rPr>
                    <w:t>CMC系统软件模块</w:t>
                  </w:r>
                </w:p>
              </w:tc>
              <w:tc>
                <w:tcPr>
                  <w:tcW w:w="0" w:type="auto"/>
                </w:tcPr>
                <w:p w14:paraId="610EE1F5">
                  <w:pPr>
                    <w:jc w:val="center"/>
                    <w:rPr>
                      <w:szCs w:val="21"/>
                    </w:rPr>
                  </w:pPr>
                  <w:r>
                    <w:rPr>
                      <w:szCs w:val="21"/>
                    </w:rPr>
                    <w:t>PQ信号发生器</w:t>
                  </w:r>
                </w:p>
              </w:tc>
              <w:tc>
                <w:tcPr>
                  <w:tcW w:w="0" w:type="auto"/>
                  <w:vAlign w:val="center"/>
                </w:tcPr>
                <w:p w14:paraId="6A2BA8AD">
                  <w:pPr>
                    <w:jc w:val="center"/>
                    <w:rPr>
                      <w:color w:val="000000"/>
                      <w:kern w:val="0"/>
                      <w:szCs w:val="21"/>
                    </w:rPr>
                  </w:pPr>
                  <w:r>
                    <w:rPr>
                      <w:color w:val="000000"/>
                      <w:kern w:val="0"/>
                      <w:szCs w:val="21"/>
                    </w:rPr>
                    <w:t>1</w:t>
                  </w:r>
                </w:p>
              </w:tc>
            </w:tr>
            <w:tr w14:paraId="3407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05C9127A">
                  <w:pPr>
                    <w:jc w:val="center"/>
                    <w:rPr>
                      <w:szCs w:val="21"/>
                    </w:rPr>
                  </w:pPr>
                  <w:r>
                    <w:rPr>
                      <w:rFonts w:eastAsia="等线"/>
                      <w:color w:val="000000"/>
                      <w:szCs w:val="21"/>
                    </w:rPr>
                    <w:t>116</w:t>
                  </w:r>
                </w:p>
              </w:tc>
              <w:tc>
                <w:tcPr>
                  <w:tcW w:w="0" w:type="auto"/>
                  <w:vMerge w:val="continue"/>
                  <w:vAlign w:val="center"/>
                </w:tcPr>
                <w:p w14:paraId="0DD684FA">
                  <w:pPr>
                    <w:jc w:val="center"/>
                    <w:rPr>
                      <w:szCs w:val="21"/>
                    </w:rPr>
                  </w:pPr>
                </w:p>
              </w:tc>
              <w:tc>
                <w:tcPr>
                  <w:tcW w:w="0" w:type="auto"/>
                  <w:vAlign w:val="center"/>
                </w:tcPr>
                <w:p w14:paraId="79B81633">
                  <w:pPr>
                    <w:jc w:val="center"/>
                    <w:rPr>
                      <w:szCs w:val="21"/>
                    </w:rPr>
                  </w:pPr>
                  <w:r>
                    <w:rPr>
                      <w:szCs w:val="21"/>
                    </w:rPr>
                    <w:t>校准器</w:t>
                  </w:r>
                </w:p>
              </w:tc>
              <w:tc>
                <w:tcPr>
                  <w:tcW w:w="0" w:type="auto"/>
                </w:tcPr>
                <w:p w14:paraId="2638A940">
                  <w:pPr>
                    <w:jc w:val="center"/>
                    <w:rPr>
                      <w:szCs w:val="21"/>
                    </w:rPr>
                  </w:pPr>
                  <w:r>
                    <w:rPr>
                      <w:szCs w:val="21"/>
                    </w:rPr>
                    <w:t>FLUKE 5540A校准器</w:t>
                  </w:r>
                </w:p>
              </w:tc>
              <w:tc>
                <w:tcPr>
                  <w:tcW w:w="0" w:type="auto"/>
                  <w:vAlign w:val="center"/>
                </w:tcPr>
                <w:p w14:paraId="32E91CEE">
                  <w:pPr>
                    <w:jc w:val="center"/>
                    <w:rPr>
                      <w:color w:val="000000"/>
                      <w:kern w:val="0"/>
                      <w:szCs w:val="21"/>
                    </w:rPr>
                  </w:pPr>
                  <w:r>
                    <w:rPr>
                      <w:color w:val="000000"/>
                      <w:kern w:val="0"/>
                      <w:szCs w:val="21"/>
                    </w:rPr>
                    <w:t>1</w:t>
                  </w:r>
                </w:p>
              </w:tc>
            </w:tr>
            <w:tr w14:paraId="03D6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2886306">
                  <w:pPr>
                    <w:jc w:val="center"/>
                    <w:rPr>
                      <w:szCs w:val="21"/>
                    </w:rPr>
                  </w:pPr>
                  <w:r>
                    <w:rPr>
                      <w:rFonts w:eastAsia="等线"/>
                      <w:color w:val="000000"/>
                      <w:szCs w:val="21"/>
                    </w:rPr>
                    <w:t>117</w:t>
                  </w:r>
                </w:p>
              </w:tc>
              <w:tc>
                <w:tcPr>
                  <w:tcW w:w="0" w:type="auto"/>
                  <w:vMerge w:val="continue"/>
                  <w:vAlign w:val="center"/>
                </w:tcPr>
                <w:p w14:paraId="354B9DFE">
                  <w:pPr>
                    <w:jc w:val="center"/>
                    <w:rPr>
                      <w:szCs w:val="21"/>
                    </w:rPr>
                  </w:pPr>
                </w:p>
              </w:tc>
              <w:tc>
                <w:tcPr>
                  <w:tcW w:w="0" w:type="auto"/>
                  <w:vAlign w:val="center"/>
                </w:tcPr>
                <w:p w14:paraId="30F8F7AF">
                  <w:pPr>
                    <w:jc w:val="center"/>
                    <w:rPr>
                      <w:szCs w:val="21"/>
                    </w:rPr>
                  </w:pPr>
                  <w:r>
                    <w:rPr>
                      <w:szCs w:val="21"/>
                    </w:rPr>
                    <w:t>控制器</w:t>
                  </w:r>
                </w:p>
              </w:tc>
              <w:tc>
                <w:tcPr>
                  <w:tcW w:w="0" w:type="auto"/>
                </w:tcPr>
                <w:p w14:paraId="5A42C951">
                  <w:pPr>
                    <w:jc w:val="center"/>
                    <w:rPr>
                      <w:szCs w:val="21"/>
                    </w:rPr>
                  </w:pPr>
                  <w:r>
                    <w:rPr>
                      <w:szCs w:val="21"/>
                    </w:rPr>
                    <w:t>NI PXIe‑8861 控制器</w:t>
                  </w:r>
                </w:p>
              </w:tc>
              <w:tc>
                <w:tcPr>
                  <w:tcW w:w="0" w:type="auto"/>
                  <w:vAlign w:val="center"/>
                </w:tcPr>
                <w:p w14:paraId="4F0EBF89">
                  <w:pPr>
                    <w:jc w:val="center"/>
                    <w:rPr>
                      <w:color w:val="000000"/>
                      <w:kern w:val="0"/>
                      <w:szCs w:val="21"/>
                    </w:rPr>
                  </w:pPr>
                  <w:r>
                    <w:rPr>
                      <w:color w:val="000000"/>
                      <w:kern w:val="0"/>
                      <w:szCs w:val="21"/>
                    </w:rPr>
                    <w:t>1</w:t>
                  </w:r>
                </w:p>
              </w:tc>
            </w:tr>
            <w:tr w14:paraId="568D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A913E19">
                  <w:pPr>
                    <w:jc w:val="center"/>
                    <w:rPr>
                      <w:szCs w:val="21"/>
                    </w:rPr>
                  </w:pPr>
                  <w:r>
                    <w:rPr>
                      <w:rFonts w:eastAsia="等线"/>
                      <w:color w:val="000000"/>
                      <w:szCs w:val="21"/>
                    </w:rPr>
                    <w:t>118</w:t>
                  </w:r>
                </w:p>
              </w:tc>
              <w:tc>
                <w:tcPr>
                  <w:tcW w:w="0" w:type="auto"/>
                  <w:vMerge w:val="continue"/>
                  <w:vAlign w:val="center"/>
                </w:tcPr>
                <w:p w14:paraId="71082477">
                  <w:pPr>
                    <w:jc w:val="center"/>
                    <w:rPr>
                      <w:szCs w:val="21"/>
                    </w:rPr>
                  </w:pPr>
                </w:p>
              </w:tc>
              <w:tc>
                <w:tcPr>
                  <w:tcW w:w="0" w:type="auto"/>
                  <w:vAlign w:val="center"/>
                </w:tcPr>
                <w:p w14:paraId="606BCBD6">
                  <w:pPr>
                    <w:jc w:val="center"/>
                    <w:rPr>
                      <w:szCs w:val="21"/>
                    </w:rPr>
                  </w:pPr>
                  <w:r>
                    <w:rPr>
                      <w:szCs w:val="21"/>
                    </w:rPr>
                    <w:t>示波器</w:t>
                  </w:r>
                </w:p>
              </w:tc>
              <w:tc>
                <w:tcPr>
                  <w:tcW w:w="0" w:type="auto"/>
                </w:tcPr>
                <w:p w14:paraId="2277AC15">
                  <w:pPr>
                    <w:jc w:val="center"/>
                    <w:rPr>
                      <w:szCs w:val="21"/>
                    </w:rPr>
                  </w:pPr>
                  <w:r>
                    <w:rPr>
                      <w:szCs w:val="21"/>
                    </w:rPr>
                    <w:t>NI PXI-5922示波器</w:t>
                  </w:r>
                </w:p>
              </w:tc>
              <w:tc>
                <w:tcPr>
                  <w:tcW w:w="0" w:type="auto"/>
                  <w:vAlign w:val="center"/>
                </w:tcPr>
                <w:p w14:paraId="0A64C2AE">
                  <w:pPr>
                    <w:jc w:val="center"/>
                    <w:rPr>
                      <w:color w:val="000000"/>
                      <w:kern w:val="0"/>
                      <w:szCs w:val="21"/>
                    </w:rPr>
                  </w:pPr>
                  <w:r>
                    <w:rPr>
                      <w:color w:val="000000"/>
                      <w:kern w:val="0"/>
                      <w:szCs w:val="21"/>
                    </w:rPr>
                    <w:t>1</w:t>
                  </w:r>
                </w:p>
              </w:tc>
            </w:tr>
            <w:tr w14:paraId="66A9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21EA512">
                  <w:pPr>
                    <w:jc w:val="center"/>
                    <w:rPr>
                      <w:szCs w:val="21"/>
                    </w:rPr>
                  </w:pPr>
                  <w:r>
                    <w:rPr>
                      <w:rFonts w:eastAsia="等线"/>
                      <w:color w:val="000000"/>
                      <w:szCs w:val="21"/>
                    </w:rPr>
                    <w:t>119</w:t>
                  </w:r>
                </w:p>
              </w:tc>
              <w:tc>
                <w:tcPr>
                  <w:tcW w:w="0" w:type="auto"/>
                  <w:vMerge w:val="continue"/>
                  <w:vAlign w:val="center"/>
                </w:tcPr>
                <w:p w14:paraId="1CAF943C">
                  <w:pPr>
                    <w:jc w:val="center"/>
                    <w:rPr>
                      <w:szCs w:val="21"/>
                    </w:rPr>
                  </w:pPr>
                </w:p>
              </w:tc>
              <w:tc>
                <w:tcPr>
                  <w:tcW w:w="0" w:type="auto"/>
                  <w:vAlign w:val="center"/>
                </w:tcPr>
                <w:p w14:paraId="16D67C78">
                  <w:pPr>
                    <w:jc w:val="center"/>
                    <w:rPr>
                      <w:szCs w:val="21"/>
                    </w:rPr>
                  </w:pPr>
                  <w:r>
                    <w:rPr>
                      <w:szCs w:val="21"/>
                    </w:rPr>
                    <w:t>定压输入模块</w:t>
                  </w:r>
                </w:p>
              </w:tc>
              <w:tc>
                <w:tcPr>
                  <w:tcW w:w="0" w:type="auto"/>
                </w:tcPr>
                <w:p w14:paraId="3D71C3B0">
                  <w:pPr>
                    <w:jc w:val="center"/>
                    <w:rPr>
                      <w:szCs w:val="21"/>
                    </w:rPr>
                  </w:pPr>
                  <w:r>
                    <w:rPr>
                      <w:szCs w:val="21"/>
                    </w:rPr>
                    <w:t>NI NI-9244定压输入模块</w:t>
                  </w:r>
                </w:p>
              </w:tc>
              <w:tc>
                <w:tcPr>
                  <w:tcW w:w="0" w:type="auto"/>
                  <w:vAlign w:val="center"/>
                </w:tcPr>
                <w:p w14:paraId="014C4970">
                  <w:pPr>
                    <w:jc w:val="center"/>
                    <w:rPr>
                      <w:color w:val="000000"/>
                      <w:kern w:val="0"/>
                      <w:szCs w:val="21"/>
                    </w:rPr>
                  </w:pPr>
                  <w:r>
                    <w:rPr>
                      <w:color w:val="000000"/>
                      <w:kern w:val="0"/>
                      <w:szCs w:val="21"/>
                    </w:rPr>
                    <w:t>1</w:t>
                  </w:r>
                </w:p>
              </w:tc>
            </w:tr>
            <w:tr w14:paraId="4D79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52B100C">
                  <w:pPr>
                    <w:jc w:val="center"/>
                    <w:rPr>
                      <w:szCs w:val="21"/>
                    </w:rPr>
                  </w:pPr>
                  <w:r>
                    <w:rPr>
                      <w:rFonts w:eastAsia="等线"/>
                      <w:color w:val="000000"/>
                      <w:szCs w:val="21"/>
                    </w:rPr>
                    <w:t>120</w:t>
                  </w:r>
                </w:p>
              </w:tc>
              <w:tc>
                <w:tcPr>
                  <w:tcW w:w="0" w:type="auto"/>
                  <w:vMerge w:val="continue"/>
                  <w:vAlign w:val="center"/>
                </w:tcPr>
                <w:p w14:paraId="30136052">
                  <w:pPr>
                    <w:jc w:val="center"/>
                    <w:rPr>
                      <w:szCs w:val="21"/>
                    </w:rPr>
                  </w:pPr>
                </w:p>
              </w:tc>
              <w:tc>
                <w:tcPr>
                  <w:tcW w:w="0" w:type="auto"/>
                  <w:vAlign w:val="center"/>
                </w:tcPr>
                <w:p w14:paraId="7262F9F6">
                  <w:pPr>
                    <w:jc w:val="center"/>
                    <w:rPr>
                      <w:szCs w:val="21"/>
                    </w:rPr>
                  </w:pPr>
                  <w:r>
                    <w:rPr>
                      <w:szCs w:val="21"/>
                    </w:rPr>
                    <w:t>系统集成</w:t>
                  </w:r>
                </w:p>
              </w:tc>
              <w:tc>
                <w:tcPr>
                  <w:tcW w:w="0" w:type="auto"/>
                </w:tcPr>
                <w:p w14:paraId="5A1C39D8">
                  <w:pPr>
                    <w:jc w:val="center"/>
                    <w:rPr>
                      <w:szCs w:val="21"/>
                    </w:rPr>
                  </w:pPr>
                  <w:r>
                    <w:rPr>
                      <w:szCs w:val="21"/>
                    </w:rPr>
                    <w:t>/</w:t>
                  </w:r>
                </w:p>
              </w:tc>
              <w:tc>
                <w:tcPr>
                  <w:tcW w:w="0" w:type="auto"/>
                  <w:vAlign w:val="center"/>
                </w:tcPr>
                <w:p w14:paraId="4D338B75">
                  <w:pPr>
                    <w:jc w:val="center"/>
                    <w:rPr>
                      <w:color w:val="000000"/>
                      <w:kern w:val="0"/>
                      <w:szCs w:val="21"/>
                    </w:rPr>
                  </w:pPr>
                  <w:r>
                    <w:rPr>
                      <w:color w:val="000000"/>
                      <w:kern w:val="0"/>
                      <w:szCs w:val="21"/>
                    </w:rPr>
                    <w:t>1</w:t>
                  </w:r>
                </w:p>
              </w:tc>
            </w:tr>
            <w:tr w14:paraId="0997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4FCCF2B">
                  <w:pPr>
                    <w:jc w:val="center"/>
                    <w:rPr>
                      <w:szCs w:val="21"/>
                    </w:rPr>
                  </w:pPr>
                  <w:r>
                    <w:rPr>
                      <w:rFonts w:eastAsia="等线"/>
                      <w:color w:val="000000"/>
                      <w:szCs w:val="21"/>
                    </w:rPr>
                    <w:t>121</w:t>
                  </w:r>
                </w:p>
              </w:tc>
              <w:tc>
                <w:tcPr>
                  <w:tcW w:w="0" w:type="auto"/>
                  <w:vMerge w:val="restart"/>
                  <w:vAlign w:val="center"/>
                </w:tcPr>
                <w:p w14:paraId="61A47EC2">
                  <w:pPr>
                    <w:jc w:val="center"/>
                    <w:rPr>
                      <w:szCs w:val="21"/>
                    </w:rPr>
                  </w:pPr>
                  <w:r>
                    <w:rPr>
                      <w:szCs w:val="21"/>
                    </w:rPr>
                    <w:t>新型储能方向-储能材料实验室</w:t>
                  </w:r>
                </w:p>
              </w:tc>
              <w:tc>
                <w:tcPr>
                  <w:tcW w:w="0" w:type="auto"/>
                  <w:vAlign w:val="center"/>
                </w:tcPr>
                <w:p w14:paraId="7E9FC605">
                  <w:pPr>
                    <w:jc w:val="center"/>
                    <w:rPr>
                      <w:szCs w:val="21"/>
                    </w:rPr>
                  </w:pPr>
                  <w:r>
                    <w:rPr>
                      <w:szCs w:val="21"/>
                    </w:rPr>
                    <w:t>加热炉</w:t>
                  </w:r>
                </w:p>
              </w:tc>
              <w:tc>
                <w:tcPr>
                  <w:tcW w:w="0" w:type="auto"/>
                  <w:vAlign w:val="center"/>
                </w:tcPr>
                <w:p w14:paraId="527C9D16">
                  <w:pPr>
                    <w:jc w:val="center"/>
                    <w:rPr>
                      <w:szCs w:val="21"/>
                    </w:rPr>
                  </w:pPr>
                  <w:r>
                    <w:rPr>
                      <w:szCs w:val="21"/>
                    </w:rPr>
                    <w:t>国产（未定）满足加热区间：室温~1600℃</w:t>
                  </w:r>
                </w:p>
              </w:tc>
              <w:tc>
                <w:tcPr>
                  <w:tcW w:w="0" w:type="auto"/>
                  <w:vAlign w:val="center"/>
                </w:tcPr>
                <w:p w14:paraId="3AC74462">
                  <w:pPr>
                    <w:jc w:val="center"/>
                    <w:rPr>
                      <w:color w:val="000000"/>
                      <w:kern w:val="0"/>
                      <w:szCs w:val="21"/>
                    </w:rPr>
                  </w:pPr>
                  <w:r>
                    <w:rPr>
                      <w:color w:val="000000"/>
                      <w:kern w:val="0"/>
                      <w:szCs w:val="21"/>
                    </w:rPr>
                    <w:t>1</w:t>
                  </w:r>
                </w:p>
              </w:tc>
            </w:tr>
            <w:tr w14:paraId="4BC3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5F23F351">
                  <w:pPr>
                    <w:jc w:val="center"/>
                    <w:rPr>
                      <w:szCs w:val="21"/>
                    </w:rPr>
                  </w:pPr>
                  <w:r>
                    <w:rPr>
                      <w:rFonts w:hint="eastAsia" w:eastAsia="等线"/>
                      <w:color w:val="000000"/>
                      <w:szCs w:val="21"/>
                    </w:rPr>
                    <w:t>122</w:t>
                  </w:r>
                </w:p>
              </w:tc>
              <w:tc>
                <w:tcPr>
                  <w:tcW w:w="0" w:type="auto"/>
                  <w:vMerge w:val="continue"/>
                  <w:vAlign w:val="center"/>
                </w:tcPr>
                <w:p w14:paraId="013A5C19">
                  <w:pPr>
                    <w:jc w:val="center"/>
                    <w:rPr>
                      <w:szCs w:val="21"/>
                    </w:rPr>
                  </w:pPr>
                </w:p>
              </w:tc>
              <w:tc>
                <w:tcPr>
                  <w:tcW w:w="0" w:type="auto"/>
                  <w:vAlign w:val="center"/>
                </w:tcPr>
                <w:p w14:paraId="36EBCD40">
                  <w:pPr>
                    <w:jc w:val="center"/>
                    <w:rPr>
                      <w:szCs w:val="21"/>
                    </w:rPr>
                  </w:pPr>
                  <w:r>
                    <w:rPr>
                      <w:szCs w:val="21"/>
                    </w:rPr>
                    <w:t>金相显微镜</w:t>
                  </w:r>
                </w:p>
              </w:tc>
              <w:tc>
                <w:tcPr>
                  <w:tcW w:w="0" w:type="auto"/>
                  <w:vAlign w:val="center"/>
                </w:tcPr>
                <w:p w14:paraId="0F2DE380">
                  <w:pPr>
                    <w:jc w:val="center"/>
                    <w:rPr>
                      <w:szCs w:val="21"/>
                    </w:rPr>
                  </w:pPr>
                  <w:r>
                    <w:rPr>
                      <w:szCs w:val="21"/>
                    </w:rPr>
                    <w:t>奥林巴斯BX35</w:t>
                  </w:r>
                </w:p>
              </w:tc>
              <w:tc>
                <w:tcPr>
                  <w:tcW w:w="0" w:type="auto"/>
                  <w:vAlign w:val="center"/>
                </w:tcPr>
                <w:p w14:paraId="5A60B9C4">
                  <w:pPr>
                    <w:jc w:val="center"/>
                    <w:rPr>
                      <w:color w:val="000000"/>
                      <w:kern w:val="0"/>
                      <w:szCs w:val="21"/>
                    </w:rPr>
                  </w:pPr>
                  <w:r>
                    <w:rPr>
                      <w:color w:val="000000"/>
                      <w:kern w:val="0"/>
                      <w:szCs w:val="21"/>
                    </w:rPr>
                    <w:t>1</w:t>
                  </w:r>
                </w:p>
              </w:tc>
            </w:tr>
            <w:tr w14:paraId="2E9E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A3E2859">
                  <w:pPr>
                    <w:jc w:val="center"/>
                    <w:rPr>
                      <w:rFonts w:eastAsia="等线"/>
                      <w:color w:val="000000"/>
                      <w:szCs w:val="21"/>
                    </w:rPr>
                  </w:pPr>
                  <w:r>
                    <w:rPr>
                      <w:rFonts w:hint="eastAsia" w:eastAsia="等线"/>
                      <w:color w:val="000000"/>
                      <w:szCs w:val="21"/>
                    </w:rPr>
                    <w:t>123</w:t>
                  </w:r>
                </w:p>
              </w:tc>
              <w:tc>
                <w:tcPr>
                  <w:tcW w:w="0" w:type="auto"/>
                  <w:vMerge w:val="continue"/>
                  <w:vAlign w:val="center"/>
                </w:tcPr>
                <w:p w14:paraId="5D9E9B52">
                  <w:pPr>
                    <w:jc w:val="center"/>
                    <w:rPr>
                      <w:szCs w:val="21"/>
                    </w:rPr>
                  </w:pPr>
                </w:p>
              </w:tc>
              <w:tc>
                <w:tcPr>
                  <w:tcW w:w="0" w:type="auto"/>
                </w:tcPr>
                <w:p w14:paraId="28B99373">
                  <w:pPr>
                    <w:jc w:val="center"/>
                    <w:rPr>
                      <w:szCs w:val="21"/>
                    </w:rPr>
                  </w:pPr>
                  <w:r>
                    <w:rPr>
                      <w:szCs w:val="21"/>
                    </w:rPr>
                    <w:t>半自动研磨抛光机</w:t>
                  </w:r>
                </w:p>
              </w:tc>
              <w:tc>
                <w:tcPr>
                  <w:tcW w:w="0" w:type="auto"/>
                </w:tcPr>
                <w:p w14:paraId="725A6383">
                  <w:pPr>
                    <w:jc w:val="center"/>
                    <w:rPr>
                      <w:szCs w:val="21"/>
                    </w:rPr>
                  </w:pPr>
                  <w:r>
                    <w:rPr>
                      <w:szCs w:val="21"/>
                    </w:rPr>
                    <w:t>标乐（Buehler）EcoMet 30</w:t>
                  </w:r>
                </w:p>
              </w:tc>
              <w:tc>
                <w:tcPr>
                  <w:tcW w:w="0" w:type="auto"/>
                  <w:vAlign w:val="center"/>
                </w:tcPr>
                <w:p w14:paraId="10A89666">
                  <w:pPr>
                    <w:jc w:val="center"/>
                    <w:rPr>
                      <w:color w:val="000000"/>
                      <w:kern w:val="0"/>
                      <w:szCs w:val="21"/>
                    </w:rPr>
                  </w:pPr>
                  <w:r>
                    <w:rPr>
                      <w:color w:val="000000"/>
                      <w:kern w:val="0"/>
                      <w:szCs w:val="21"/>
                    </w:rPr>
                    <w:t>1</w:t>
                  </w:r>
                </w:p>
              </w:tc>
            </w:tr>
            <w:tr w14:paraId="30CB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408A7DD3">
                  <w:pPr>
                    <w:jc w:val="center"/>
                    <w:rPr>
                      <w:rFonts w:eastAsia="等线"/>
                      <w:color w:val="000000"/>
                      <w:szCs w:val="21"/>
                    </w:rPr>
                  </w:pPr>
                  <w:r>
                    <w:rPr>
                      <w:rFonts w:hint="eastAsia" w:eastAsia="等线"/>
                      <w:color w:val="000000"/>
                      <w:szCs w:val="21"/>
                    </w:rPr>
                    <w:t>124</w:t>
                  </w:r>
                </w:p>
              </w:tc>
              <w:tc>
                <w:tcPr>
                  <w:tcW w:w="0" w:type="auto"/>
                  <w:vMerge w:val="continue"/>
                  <w:vAlign w:val="center"/>
                </w:tcPr>
                <w:p w14:paraId="1C09D73B">
                  <w:pPr>
                    <w:jc w:val="center"/>
                    <w:rPr>
                      <w:szCs w:val="21"/>
                    </w:rPr>
                  </w:pPr>
                </w:p>
              </w:tc>
              <w:tc>
                <w:tcPr>
                  <w:tcW w:w="0" w:type="auto"/>
                  <w:vAlign w:val="center"/>
                </w:tcPr>
                <w:p w14:paraId="4092A22A">
                  <w:pPr>
                    <w:jc w:val="center"/>
                    <w:rPr>
                      <w:szCs w:val="21"/>
                    </w:rPr>
                  </w:pPr>
                  <w:r>
                    <w:rPr>
                      <w:szCs w:val="21"/>
                    </w:rPr>
                    <w:t>自动精密切割机</w:t>
                  </w:r>
                  <w:r>
                    <w:rPr>
                      <w:szCs w:val="21"/>
                    </w:rPr>
                    <w:tab/>
                  </w:r>
                </w:p>
              </w:tc>
              <w:tc>
                <w:tcPr>
                  <w:tcW w:w="0" w:type="auto"/>
                  <w:vAlign w:val="center"/>
                </w:tcPr>
                <w:p w14:paraId="5463F3C8">
                  <w:pPr>
                    <w:jc w:val="center"/>
                    <w:rPr>
                      <w:szCs w:val="21"/>
                    </w:rPr>
                  </w:pPr>
                  <w:r>
                    <w:rPr>
                      <w:szCs w:val="21"/>
                    </w:rPr>
                    <w:t>标乐（Buehler）</w:t>
                  </w:r>
                </w:p>
              </w:tc>
              <w:tc>
                <w:tcPr>
                  <w:tcW w:w="0" w:type="auto"/>
                  <w:vAlign w:val="center"/>
                </w:tcPr>
                <w:p w14:paraId="198C2749">
                  <w:pPr>
                    <w:jc w:val="center"/>
                    <w:rPr>
                      <w:color w:val="000000"/>
                      <w:kern w:val="0"/>
                      <w:szCs w:val="21"/>
                    </w:rPr>
                  </w:pPr>
                  <w:r>
                    <w:rPr>
                      <w:color w:val="000000"/>
                      <w:kern w:val="0"/>
                      <w:szCs w:val="21"/>
                    </w:rPr>
                    <w:t>1</w:t>
                  </w:r>
                </w:p>
              </w:tc>
            </w:tr>
            <w:tr w14:paraId="3E6F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8167F6B">
                  <w:pPr>
                    <w:jc w:val="center"/>
                    <w:rPr>
                      <w:rFonts w:eastAsia="等线"/>
                      <w:color w:val="000000"/>
                      <w:szCs w:val="21"/>
                    </w:rPr>
                  </w:pPr>
                  <w:r>
                    <w:rPr>
                      <w:rFonts w:eastAsia="等线"/>
                      <w:color w:val="000000"/>
                      <w:szCs w:val="21"/>
                    </w:rPr>
                    <w:t>12</w:t>
                  </w:r>
                  <w:r>
                    <w:rPr>
                      <w:rFonts w:hint="eastAsia" w:eastAsia="等线"/>
                      <w:color w:val="000000"/>
                      <w:szCs w:val="21"/>
                    </w:rPr>
                    <w:t>5</w:t>
                  </w:r>
                </w:p>
              </w:tc>
              <w:tc>
                <w:tcPr>
                  <w:tcW w:w="0" w:type="auto"/>
                  <w:vMerge w:val="continue"/>
                  <w:vAlign w:val="center"/>
                </w:tcPr>
                <w:p w14:paraId="5222F3E0">
                  <w:pPr>
                    <w:jc w:val="center"/>
                    <w:rPr>
                      <w:szCs w:val="21"/>
                    </w:rPr>
                  </w:pPr>
                </w:p>
              </w:tc>
              <w:tc>
                <w:tcPr>
                  <w:tcW w:w="0" w:type="auto"/>
                  <w:vAlign w:val="center"/>
                </w:tcPr>
                <w:p w14:paraId="21F2C792">
                  <w:pPr>
                    <w:jc w:val="center"/>
                    <w:rPr>
                      <w:szCs w:val="21"/>
                    </w:rPr>
                  </w:pPr>
                  <w:r>
                    <w:rPr>
                      <w:szCs w:val="21"/>
                    </w:rPr>
                    <w:t>机械抛光机</w:t>
                  </w:r>
                  <w:r>
                    <w:rPr>
                      <w:szCs w:val="21"/>
                    </w:rPr>
                    <w:tab/>
                  </w:r>
                </w:p>
              </w:tc>
              <w:tc>
                <w:tcPr>
                  <w:tcW w:w="0" w:type="auto"/>
                  <w:vAlign w:val="center"/>
                </w:tcPr>
                <w:p w14:paraId="79DEF4CB">
                  <w:pPr>
                    <w:jc w:val="center"/>
                    <w:rPr>
                      <w:szCs w:val="21"/>
                    </w:rPr>
                  </w:pPr>
                  <w:r>
                    <w:rPr>
                      <w:szCs w:val="21"/>
                    </w:rPr>
                    <w:t>上海研润（型号待定）</w:t>
                  </w:r>
                </w:p>
              </w:tc>
              <w:tc>
                <w:tcPr>
                  <w:tcW w:w="0" w:type="auto"/>
                  <w:vAlign w:val="center"/>
                </w:tcPr>
                <w:p w14:paraId="7961F7E5">
                  <w:pPr>
                    <w:jc w:val="center"/>
                    <w:rPr>
                      <w:color w:val="000000"/>
                      <w:kern w:val="0"/>
                      <w:szCs w:val="21"/>
                    </w:rPr>
                  </w:pPr>
                  <w:r>
                    <w:rPr>
                      <w:color w:val="000000"/>
                      <w:kern w:val="0"/>
                      <w:szCs w:val="21"/>
                    </w:rPr>
                    <w:t>1</w:t>
                  </w:r>
                </w:p>
              </w:tc>
            </w:tr>
            <w:tr w14:paraId="0937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7974A2F9">
                  <w:pPr>
                    <w:jc w:val="center"/>
                    <w:rPr>
                      <w:szCs w:val="21"/>
                    </w:rPr>
                  </w:pPr>
                  <w:r>
                    <w:rPr>
                      <w:rFonts w:eastAsia="等线"/>
                      <w:color w:val="000000"/>
                      <w:szCs w:val="21"/>
                    </w:rPr>
                    <w:t>12</w:t>
                  </w:r>
                  <w:r>
                    <w:rPr>
                      <w:rFonts w:hint="eastAsia" w:eastAsia="等线"/>
                      <w:color w:val="000000"/>
                      <w:szCs w:val="21"/>
                    </w:rPr>
                    <w:t>6</w:t>
                  </w:r>
                </w:p>
              </w:tc>
              <w:tc>
                <w:tcPr>
                  <w:tcW w:w="0" w:type="auto"/>
                  <w:vMerge w:val="restart"/>
                  <w:vAlign w:val="center"/>
                </w:tcPr>
                <w:p w14:paraId="0A9D1861">
                  <w:pPr>
                    <w:jc w:val="center"/>
                    <w:rPr>
                      <w:szCs w:val="21"/>
                    </w:rPr>
                  </w:pPr>
                  <w:r>
                    <w:rPr>
                      <w:szCs w:val="21"/>
                    </w:rPr>
                    <w:t>新型储能方向-地质储能实验室</w:t>
                  </w:r>
                </w:p>
              </w:tc>
              <w:tc>
                <w:tcPr>
                  <w:tcW w:w="0" w:type="auto"/>
                  <w:vAlign w:val="center"/>
                </w:tcPr>
                <w:p w14:paraId="47BD06B2">
                  <w:pPr>
                    <w:jc w:val="center"/>
                    <w:rPr>
                      <w:b/>
                      <w:bCs/>
                      <w:szCs w:val="21"/>
                    </w:rPr>
                  </w:pPr>
                  <w:r>
                    <w:rPr>
                      <w:szCs w:val="21"/>
                    </w:rPr>
                    <w:t>双脉动围压拉伸试验机</w:t>
                  </w:r>
                </w:p>
              </w:tc>
              <w:tc>
                <w:tcPr>
                  <w:tcW w:w="0" w:type="auto"/>
                  <w:vAlign w:val="center"/>
                </w:tcPr>
                <w:p w14:paraId="39B6C31D">
                  <w:pPr>
                    <w:jc w:val="center"/>
                    <w:rPr>
                      <w:b/>
                      <w:bCs/>
                      <w:szCs w:val="21"/>
                    </w:rPr>
                  </w:pPr>
                  <w:r>
                    <w:rPr>
                      <w:szCs w:val="21"/>
                    </w:rPr>
                    <w:t>AI</w:t>
                  </w:r>
                </w:p>
              </w:tc>
              <w:tc>
                <w:tcPr>
                  <w:tcW w:w="0" w:type="auto"/>
                  <w:vAlign w:val="center"/>
                </w:tcPr>
                <w:p w14:paraId="3A6D2BD7">
                  <w:pPr>
                    <w:jc w:val="center"/>
                    <w:rPr>
                      <w:color w:val="000000"/>
                      <w:kern w:val="0"/>
                      <w:szCs w:val="21"/>
                    </w:rPr>
                  </w:pPr>
                  <w:r>
                    <w:rPr>
                      <w:color w:val="000000"/>
                      <w:kern w:val="0"/>
                      <w:szCs w:val="21"/>
                    </w:rPr>
                    <w:t>1</w:t>
                  </w:r>
                </w:p>
              </w:tc>
            </w:tr>
            <w:tr w14:paraId="6120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359E92F2">
                  <w:pPr>
                    <w:jc w:val="center"/>
                    <w:rPr>
                      <w:szCs w:val="21"/>
                    </w:rPr>
                  </w:pPr>
                  <w:r>
                    <w:rPr>
                      <w:rFonts w:eastAsia="等线"/>
                      <w:color w:val="000000"/>
                      <w:szCs w:val="21"/>
                    </w:rPr>
                    <w:t>12</w:t>
                  </w:r>
                  <w:r>
                    <w:rPr>
                      <w:rFonts w:hint="eastAsia" w:eastAsia="等线"/>
                      <w:color w:val="000000"/>
                      <w:szCs w:val="21"/>
                    </w:rPr>
                    <w:t>7</w:t>
                  </w:r>
                </w:p>
              </w:tc>
              <w:tc>
                <w:tcPr>
                  <w:tcW w:w="0" w:type="auto"/>
                  <w:vMerge w:val="continue"/>
                  <w:vAlign w:val="center"/>
                </w:tcPr>
                <w:p w14:paraId="1F781DDE">
                  <w:pPr>
                    <w:jc w:val="center"/>
                    <w:rPr>
                      <w:szCs w:val="21"/>
                    </w:rPr>
                  </w:pPr>
                </w:p>
              </w:tc>
              <w:tc>
                <w:tcPr>
                  <w:tcW w:w="0" w:type="auto"/>
                  <w:vAlign w:val="center"/>
                </w:tcPr>
                <w:p w14:paraId="5E1E90DC">
                  <w:pPr>
                    <w:jc w:val="center"/>
                    <w:rPr>
                      <w:b/>
                      <w:bCs/>
                      <w:szCs w:val="21"/>
                    </w:rPr>
                  </w:pPr>
                  <w:r>
                    <w:rPr>
                      <w:szCs w:val="21"/>
                    </w:rPr>
                    <w:t>数显混凝土恒温恒湿标准养护箱水泥标养箱</w:t>
                  </w:r>
                </w:p>
              </w:tc>
              <w:tc>
                <w:tcPr>
                  <w:tcW w:w="0" w:type="auto"/>
                  <w:vAlign w:val="center"/>
                </w:tcPr>
                <w:p w14:paraId="55A81F23">
                  <w:pPr>
                    <w:jc w:val="center"/>
                    <w:rPr>
                      <w:b/>
                      <w:bCs/>
                      <w:szCs w:val="21"/>
                    </w:rPr>
                  </w:pPr>
                  <w:r>
                    <w:rPr>
                      <w:szCs w:val="21"/>
                    </w:rPr>
                    <w:t>YH-40B型</w:t>
                  </w:r>
                </w:p>
              </w:tc>
              <w:tc>
                <w:tcPr>
                  <w:tcW w:w="0" w:type="auto"/>
                  <w:vAlign w:val="center"/>
                </w:tcPr>
                <w:p w14:paraId="23A08BCF">
                  <w:pPr>
                    <w:jc w:val="center"/>
                    <w:rPr>
                      <w:color w:val="000000"/>
                      <w:kern w:val="0"/>
                      <w:szCs w:val="21"/>
                    </w:rPr>
                  </w:pPr>
                  <w:r>
                    <w:rPr>
                      <w:color w:val="000000"/>
                      <w:kern w:val="0"/>
                      <w:szCs w:val="21"/>
                    </w:rPr>
                    <w:t>1</w:t>
                  </w:r>
                </w:p>
              </w:tc>
            </w:tr>
            <w:tr w14:paraId="309A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B68119B">
                  <w:pPr>
                    <w:jc w:val="center"/>
                    <w:rPr>
                      <w:szCs w:val="21"/>
                    </w:rPr>
                  </w:pPr>
                  <w:r>
                    <w:rPr>
                      <w:rFonts w:hint="eastAsia" w:eastAsia="等线"/>
                      <w:color w:val="000000"/>
                      <w:szCs w:val="21"/>
                    </w:rPr>
                    <w:t>128</w:t>
                  </w:r>
                </w:p>
              </w:tc>
              <w:tc>
                <w:tcPr>
                  <w:tcW w:w="0" w:type="auto"/>
                  <w:vMerge w:val="continue"/>
                  <w:vAlign w:val="center"/>
                </w:tcPr>
                <w:p w14:paraId="52781F6E">
                  <w:pPr>
                    <w:jc w:val="center"/>
                    <w:rPr>
                      <w:szCs w:val="21"/>
                    </w:rPr>
                  </w:pPr>
                </w:p>
              </w:tc>
              <w:tc>
                <w:tcPr>
                  <w:tcW w:w="0" w:type="auto"/>
                  <w:vAlign w:val="center"/>
                </w:tcPr>
                <w:p w14:paraId="655A9AAC">
                  <w:pPr>
                    <w:jc w:val="center"/>
                    <w:rPr>
                      <w:b/>
                      <w:bCs/>
                      <w:szCs w:val="21"/>
                    </w:rPr>
                  </w:pPr>
                  <w:r>
                    <w:rPr>
                      <w:szCs w:val="21"/>
                    </w:rPr>
                    <w:t>马弗炉</w:t>
                  </w:r>
                </w:p>
              </w:tc>
              <w:tc>
                <w:tcPr>
                  <w:tcW w:w="0" w:type="auto"/>
                  <w:vAlign w:val="center"/>
                </w:tcPr>
                <w:p w14:paraId="5FEC9EE9">
                  <w:pPr>
                    <w:jc w:val="center"/>
                    <w:rPr>
                      <w:b/>
                      <w:bCs/>
                      <w:szCs w:val="21"/>
                    </w:rPr>
                  </w:pPr>
                  <w:r>
                    <w:rPr>
                      <w:szCs w:val="21"/>
                    </w:rPr>
                    <w:t>Nabertherm牌LT 9/14型</w:t>
                  </w:r>
                </w:p>
              </w:tc>
              <w:tc>
                <w:tcPr>
                  <w:tcW w:w="0" w:type="auto"/>
                  <w:vAlign w:val="center"/>
                </w:tcPr>
                <w:p w14:paraId="77BD34AC">
                  <w:pPr>
                    <w:jc w:val="center"/>
                    <w:rPr>
                      <w:color w:val="000000"/>
                      <w:kern w:val="0"/>
                      <w:szCs w:val="21"/>
                    </w:rPr>
                  </w:pPr>
                  <w:r>
                    <w:rPr>
                      <w:color w:val="000000"/>
                      <w:kern w:val="0"/>
                      <w:szCs w:val="21"/>
                    </w:rPr>
                    <w:t>1</w:t>
                  </w:r>
                </w:p>
              </w:tc>
            </w:tr>
            <w:tr w14:paraId="5B5C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2368392D">
                  <w:pPr>
                    <w:jc w:val="center"/>
                    <w:rPr>
                      <w:rFonts w:eastAsia="等线"/>
                      <w:color w:val="000000"/>
                      <w:szCs w:val="21"/>
                    </w:rPr>
                  </w:pPr>
                  <w:r>
                    <w:rPr>
                      <w:rFonts w:hint="eastAsia" w:eastAsia="等线"/>
                      <w:color w:val="000000"/>
                      <w:szCs w:val="21"/>
                    </w:rPr>
                    <w:t>129</w:t>
                  </w:r>
                </w:p>
              </w:tc>
              <w:tc>
                <w:tcPr>
                  <w:tcW w:w="0" w:type="auto"/>
                  <w:vMerge w:val="continue"/>
                  <w:vAlign w:val="center"/>
                </w:tcPr>
                <w:p w14:paraId="70662C4A">
                  <w:pPr>
                    <w:jc w:val="center"/>
                    <w:rPr>
                      <w:szCs w:val="21"/>
                    </w:rPr>
                  </w:pPr>
                </w:p>
              </w:tc>
              <w:tc>
                <w:tcPr>
                  <w:tcW w:w="0" w:type="auto"/>
                  <w:vAlign w:val="center"/>
                </w:tcPr>
                <w:p w14:paraId="1ABE14E3">
                  <w:pPr>
                    <w:jc w:val="center"/>
                    <w:rPr>
                      <w:b/>
                      <w:bCs/>
                      <w:szCs w:val="21"/>
                    </w:rPr>
                  </w:pPr>
                  <w:r>
                    <w:rPr>
                      <w:szCs w:val="21"/>
                    </w:rPr>
                    <w:t>非金属声波检测仪</w:t>
                  </w:r>
                </w:p>
              </w:tc>
              <w:tc>
                <w:tcPr>
                  <w:tcW w:w="0" w:type="auto"/>
                  <w:vAlign w:val="center"/>
                </w:tcPr>
                <w:p w14:paraId="093401A4">
                  <w:pPr>
                    <w:jc w:val="center"/>
                    <w:rPr>
                      <w:b/>
                      <w:bCs/>
                      <w:szCs w:val="21"/>
                    </w:rPr>
                  </w:pPr>
                  <w:r>
                    <w:rPr>
                      <w:szCs w:val="21"/>
                    </w:rPr>
                    <w:tab/>
                  </w:r>
                  <w:r>
                    <w:rPr>
                      <w:szCs w:val="21"/>
                    </w:rPr>
                    <w:t>RSM-SY5（T）</w:t>
                  </w:r>
                </w:p>
              </w:tc>
              <w:tc>
                <w:tcPr>
                  <w:tcW w:w="0" w:type="auto"/>
                  <w:vAlign w:val="center"/>
                </w:tcPr>
                <w:p w14:paraId="2B2F9465">
                  <w:pPr>
                    <w:jc w:val="center"/>
                    <w:rPr>
                      <w:color w:val="000000"/>
                      <w:kern w:val="0"/>
                      <w:szCs w:val="21"/>
                    </w:rPr>
                  </w:pPr>
                  <w:r>
                    <w:rPr>
                      <w:color w:val="000000"/>
                      <w:kern w:val="0"/>
                      <w:szCs w:val="21"/>
                    </w:rPr>
                    <w:t>1</w:t>
                  </w:r>
                </w:p>
              </w:tc>
            </w:tr>
            <w:tr w14:paraId="0650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0" w:type="auto"/>
                  <w:vAlign w:val="center"/>
                </w:tcPr>
                <w:p w14:paraId="15AFA780">
                  <w:pPr>
                    <w:jc w:val="center"/>
                    <w:rPr>
                      <w:rFonts w:eastAsia="等线"/>
                      <w:color w:val="000000"/>
                      <w:szCs w:val="21"/>
                    </w:rPr>
                  </w:pPr>
                  <w:r>
                    <w:rPr>
                      <w:rFonts w:eastAsia="等线"/>
                      <w:color w:val="000000"/>
                      <w:szCs w:val="21"/>
                    </w:rPr>
                    <w:t>1</w:t>
                  </w:r>
                  <w:r>
                    <w:rPr>
                      <w:rFonts w:hint="eastAsia" w:eastAsia="等线"/>
                      <w:color w:val="000000"/>
                      <w:szCs w:val="21"/>
                    </w:rPr>
                    <w:t>30</w:t>
                  </w:r>
                </w:p>
              </w:tc>
              <w:tc>
                <w:tcPr>
                  <w:tcW w:w="0" w:type="auto"/>
                  <w:vMerge w:val="continue"/>
                  <w:vAlign w:val="center"/>
                </w:tcPr>
                <w:p w14:paraId="0EB98F61">
                  <w:pPr>
                    <w:jc w:val="center"/>
                    <w:rPr>
                      <w:szCs w:val="21"/>
                    </w:rPr>
                  </w:pPr>
                </w:p>
              </w:tc>
              <w:tc>
                <w:tcPr>
                  <w:tcW w:w="0" w:type="auto"/>
                  <w:vAlign w:val="center"/>
                </w:tcPr>
                <w:p w14:paraId="7FBE2EB8">
                  <w:pPr>
                    <w:jc w:val="center"/>
                    <w:rPr>
                      <w:b/>
                      <w:bCs/>
                      <w:szCs w:val="21"/>
                    </w:rPr>
                  </w:pPr>
                  <w:r>
                    <w:rPr>
                      <w:szCs w:val="21"/>
                    </w:rPr>
                    <w:t>工业三维扫描仪</w:t>
                  </w:r>
                </w:p>
              </w:tc>
              <w:tc>
                <w:tcPr>
                  <w:tcW w:w="0" w:type="auto"/>
                  <w:vAlign w:val="center"/>
                </w:tcPr>
                <w:p w14:paraId="3E133ADE">
                  <w:pPr>
                    <w:jc w:val="center"/>
                    <w:rPr>
                      <w:b/>
                      <w:bCs/>
                      <w:szCs w:val="21"/>
                    </w:rPr>
                  </w:pPr>
                  <w:r>
                    <w:rPr>
                      <w:szCs w:val="21"/>
                    </w:rPr>
                    <w:t>德国Dreidtek手持式3D扫描仪INNP-SCAN</w:t>
                  </w:r>
                </w:p>
              </w:tc>
              <w:tc>
                <w:tcPr>
                  <w:tcW w:w="0" w:type="auto"/>
                  <w:vAlign w:val="center"/>
                </w:tcPr>
                <w:p w14:paraId="02C6239B">
                  <w:pPr>
                    <w:jc w:val="center"/>
                    <w:rPr>
                      <w:color w:val="000000"/>
                      <w:kern w:val="0"/>
                      <w:szCs w:val="21"/>
                    </w:rPr>
                  </w:pPr>
                  <w:r>
                    <w:rPr>
                      <w:color w:val="000000"/>
                      <w:kern w:val="0"/>
                      <w:szCs w:val="21"/>
                    </w:rPr>
                    <w:t>1</w:t>
                  </w:r>
                </w:p>
              </w:tc>
            </w:tr>
            <w:bookmarkEnd w:id="8"/>
          </w:tbl>
          <w:p w14:paraId="087E5871">
            <w:pPr>
              <w:pStyle w:val="77"/>
            </w:pPr>
            <w:r>
              <w:rPr>
                <w:rFonts w:hint="eastAsia"/>
              </w:rPr>
              <w:t>5、主要原辅材料</w:t>
            </w:r>
          </w:p>
          <w:p w14:paraId="7213A0D1">
            <w:pPr>
              <w:pStyle w:val="127"/>
            </w:pPr>
            <w:r>
              <w:rPr>
                <w:rFonts w:hint="eastAsia"/>
              </w:rPr>
              <w:t>表2-3原辅材料一览表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87"/>
              <w:gridCol w:w="1970"/>
              <w:gridCol w:w="840"/>
              <w:gridCol w:w="899"/>
              <w:gridCol w:w="3991"/>
            </w:tblGrid>
            <w:tr w14:paraId="0A6D51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1AADFB50">
                  <w:pPr>
                    <w:pStyle w:val="342"/>
                    <w:jc w:val="center"/>
                    <w:rPr>
                      <w:sz w:val="21"/>
                      <w:szCs w:val="21"/>
                    </w:rPr>
                  </w:pPr>
                  <w:bookmarkStart w:id="9" w:name="_Hlk172539885"/>
                  <w:r>
                    <w:rPr>
                      <w:rFonts w:ascii="仿宋" w:hAnsi="仿宋"/>
                      <w:b/>
                      <w:bCs/>
                      <w:sz w:val="21"/>
                      <w:szCs w:val="21"/>
                    </w:rPr>
                    <w:t>序号</w:t>
                  </w:r>
                </w:p>
              </w:tc>
              <w:tc>
                <w:tcPr>
                  <w:tcW w:w="1970" w:type="dxa"/>
                  <w:vAlign w:val="center"/>
                </w:tcPr>
                <w:p w14:paraId="1F8EF3D9">
                  <w:pPr>
                    <w:pStyle w:val="342"/>
                    <w:jc w:val="center"/>
                    <w:rPr>
                      <w:rFonts w:hint="eastAsia" w:ascii="仿宋" w:hAnsi="仿宋"/>
                      <w:sz w:val="21"/>
                      <w:szCs w:val="21"/>
                    </w:rPr>
                  </w:pPr>
                  <w:r>
                    <w:rPr>
                      <w:rFonts w:hint="eastAsia" w:ascii="仿宋" w:hAnsi="仿宋"/>
                      <w:b/>
                      <w:bCs/>
                      <w:sz w:val="21"/>
                      <w:szCs w:val="21"/>
                    </w:rPr>
                    <w:t>名称</w:t>
                  </w:r>
                </w:p>
              </w:tc>
              <w:tc>
                <w:tcPr>
                  <w:tcW w:w="840" w:type="dxa"/>
                  <w:vAlign w:val="center"/>
                </w:tcPr>
                <w:p w14:paraId="4A2D7FC2">
                  <w:pPr>
                    <w:pStyle w:val="342"/>
                    <w:jc w:val="center"/>
                    <w:rPr>
                      <w:sz w:val="21"/>
                      <w:szCs w:val="21"/>
                    </w:rPr>
                  </w:pPr>
                  <w:r>
                    <w:rPr>
                      <w:rFonts w:ascii="仿宋" w:hAnsi="仿宋"/>
                      <w:b/>
                      <w:bCs/>
                      <w:sz w:val="21"/>
                      <w:szCs w:val="21"/>
                    </w:rPr>
                    <w:t>单位</w:t>
                  </w:r>
                </w:p>
              </w:tc>
              <w:tc>
                <w:tcPr>
                  <w:tcW w:w="0" w:type="auto"/>
                  <w:vAlign w:val="center"/>
                </w:tcPr>
                <w:p w14:paraId="4E8B0A98">
                  <w:pPr>
                    <w:pStyle w:val="342"/>
                    <w:jc w:val="center"/>
                    <w:rPr>
                      <w:sz w:val="21"/>
                      <w:szCs w:val="21"/>
                    </w:rPr>
                  </w:pPr>
                  <w:r>
                    <w:rPr>
                      <w:rFonts w:ascii="仿宋" w:hAnsi="仿宋"/>
                      <w:b/>
                      <w:bCs/>
                      <w:sz w:val="21"/>
                      <w:szCs w:val="21"/>
                    </w:rPr>
                    <w:t>数值</w:t>
                  </w:r>
                </w:p>
              </w:tc>
              <w:tc>
                <w:tcPr>
                  <w:tcW w:w="0" w:type="auto"/>
                  <w:vAlign w:val="center"/>
                </w:tcPr>
                <w:p w14:paraId="4722503F">
                  <w:pPr>
                    <w:pStyle w:val="342"/>
                    <w:jc w:val="center"/>
                    <w:rPr>
                      <w:sz w:val="21"/>
                      <w:szCs w:val="21"/>
                    </w:rPr>
                  </w:pPr>
                  <w:r>
                    <w:rPr>
                      <w:rFonts w:ascii="仿宋" w:hAnsi="仿宋"/>
                      <w:b/>
                      <w:bCs/>
                      <w:sz w:val="21"/>
                      <w:szCs w:val="21"/>
                    </w:rPr>
                    <w:t>备注</w:t>
                  </w:r>
                </w:p>
              </w:tc>
            </w:tr>
            <w:tr w14:paraId="3DEBAC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070A753E">
                  <w:pPr>
                    <w:pStyle w:val="342"/>
                    <w:jc w:val="center"/>
                    <w:rPr>
                      <w:sz w:val="21"/>
                      <w:szCs w:val="21"/>
                    </w:rPr>
                  </w:pPr>
                  <w:r>
                    <w:rPr>
                      <w:rFonts w:hint="eastAsia"/>
                      <w:sz w:val="21"/>
                      <w:szCs w:val="21"/>
                    </w:rPr>
                    <w:t>1</w:t>
                  </w:r>
                </w:p>
              </w:tc>
              <w:tc>
                <w:tcPr>
                  <w:tcW w:w="1970" w:type="dxa"/>
                  <w:vAlign w:val="center"/>
                </w:tcPr>
                <w:p w14:paraId="374083DF">
                  <w:pPr>
                    <w:pStyle w:val="342"/>
                    <w:jc w:val="center"/>
                    <w:rPr>
                      <w:rFonts w:hint="eastAsia" w:ascii="仿宋" w:hAnsi="仿宋"/>
                      <w:sz w:val="21"/>
                      <w:szCs w:val="21"/>
                    </w:rPr>
                  </w:pPr>
                  <w:r>
                    <w:rPr>
                      <w:rFonts w:hint="eastAsia" w:ascii="仿宋" w:hAnsi="仿宋"/>
                      <w:sz w:val="21"/>
                      <w:szCs w:val="21"/>
                    </w:rPr>
                    <w:t>水</w:t>
                  </w:r>
                </w:p>
              </w:tc>
              <w:tc>
                <w:tcPr>
                  <w:tcW w:w="840" w:type="dxa"/>
                  <w:vAlign w:val="center"/>
                </w:tcPr>
                <w:p w14:paraId="410FCC44">
                  <w:pPr>
                    <w:pStyle w:val="342"/>
                    <w:jc w:val="center"/>
                    <w:rPr>
                      <w:sz w:val="21"/>
                      <w:szCs w:val="21"/>
                    </w:rPr>
                  </w:pPr>
                  <w:r>
                    <w:rPr>
                      <w:sz w:val="21"/>
                      <w:szCs w:val="21"/>
                    </w:rPr>
                    <w:t>m</w:t>
                  </w:r>
                  <w:r>
                    <w:rPr>
                      <w:sz w:val="21"/>
                      <w:szCs w:val="21"/>
                      <w:vertAlign w:val="superscript"/>
                    </w:rPr>
                    <w:t>3</w:t>
                  </w:r>
                  <w:r>
                    <w:rPr>
                      <w:sz w:val="21"/>
                      <w:szCs w:val="21"/>
                    </w:rPr>
                    <w:t>/a</w:t>
                  </w:r>
                </w:p>
              </w:tc>
              <w:tc>
                <w:tcPr>
                  <w:tcW w:w="0" w:type="auto"/>
                  <w:vAlign w:val="center"/>
                </w:tcPr>
                <w:p w14:paraId="161C26C5">
                  <w:pPr>
                    <w:pStyle w:val="342"/>
                    <w:jc w:val="center"/>
                    <w:rPr>
                      <w:sz w:val="21"/>
                      <w:szCs w:val="21"/>
                    </w:rPr>
                  </w:pPr>
                  <w:r>
                    <w:rPr>
                      <w:rFonts w:hint="eastAsia"/>
                      <w:sz w:val="21"/>
                      <w:szCs w:val="21"/>
                    </w:rPr>
                    <w:t>1000.64</w:t>
                  </w:r>
                </w:p>
              </w:tc>
              <w:tc>
                <w:tcPr>
                  <w:tcW w:w="0" w:type="auto"/>
                  <w:vAlign w:val="center"/>
                </w:tcPr>
                <w:p w14:paraId="510813C7">
                  <w:pPr>
                    <w:pStyle w:val="342"/>
                    <w:jc w:val="center"/>
                    <w:rPr>
                      <w:sz w:val="21"/>
                      <w:szCs w:val="21"/>
                    </w:rPr>
                  </w:pPr>
                </w:p>
              </w:tc>
            </w:tr>
            <w:tr w14:paraId="413E9E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4CBD37AC">
                  <w:pPr>
                    <w:pStyle w:val="342"/>
                    <w:jc w:val="center"/>
                    <w:rPr>
                      <w:sz w:val="21"/>
                      <w:szCs w:val="21"/>
                    </w:rPr>
                  </w:pPr>
                  <w:r>
                    <w:rPr>
                      <w:rFonts w:hint="eastAsia"/>
                      <w:sz w:val="21"/>
                      <w:szCs w:val="21"/>
                    </w:rPr>
                    <w:t>2</w:t>
                  </w:r>
                </w:p>
              </w:tc>
              <w:tc>
                <w:tcPr>
                  <w:tcW w:w="1970" w:type="dxa"/>
                  <w:vAlign w:val="center"/>
                </w:tcPr>
                <w:p w14:paraId="794C5DA8">
                  <w:pPr>
                    <w:pStyle w:val="342"/>
                    <w:jc w:val="center"/>
                    <w:rPr>
                      <w:rFonts w:hint="eastAsia" w:ascii="仿宋" w:hAnsi="仿宋"/>
                      <w:sz w:val="21"/>
                      <w:szCs w:val="21"/>
                    </w:rPr>
                  </w:pPr>
                  <w:r>
                    <w:rPr>
                      <w:rFonts w:hint="eastAsia" w:ascii="仿宋" w:hAnsi="仿宋"/>
                      <w:sz w:val="21"/>
                      <w:szCs w:val="21"/>
                    </w:rPr>
                    <w:t>气体样品</w:t>
                  </w:r>
                </w:p>
              </w:tc>
              <w:tc>
                <w:tcPr>
                  <w:tcW w:w="840" w:type="dxa"/>
                  <w:vAlign w:val="center"/>
                </w:tcPr>
                <w:p w14:paraId="5D1B12D6">
                  <w:pPr>
                    <w:pStyle w:val="342"/>
                    <w:jc w:val="center"/>
                    <w:rPr>
                      <w:rFonts w:hint="eastAsia" w:ascii="仿宋" w:hAnsi="仿宋"/>
                      <w:sz w:val="21"/>
                      <w:szCs w:val="21"/>
                    </w:rPr>
                  </w:pPr>
                  <w:r>
                    <w:rPr>
                      <w:rFonts w:hint="eastAsia"/>
                      <w:sz w:val="21"/>
                      <w:szCs w:val="21"/>
                    </w:rPr>
                    <w:t>kg/a</w:t>
                  </w:r>
                </w:p>
              </w:tc>
              <w:tc>
                <w:tcPr>
                  <w:tcW w:w="0" w:type="auto"/>
                  <w:vAlign w:val="center"/>
                </w:tcPr>
                <w:p w14:paraId="1E9D4E49">
                  <w:pPr>
                    <w:pStyle w:val="342"/>
                    <w:jc w:val="center"/>
                    <w:rPr>
                      <w:rFonts w:hint="eastAsia" w:ascii="仿宋" w:hAnsi="仿宋"/>
                      <w:sz w:val="21"/>
                      <w:szCs w:val="21"/>
                    </w:rPr>
                  </w:pPr>
                  <w:r>
                    <w:rPr>
                      <w:rFonts w:hint="eastAsia"/>
                      <w:sz w:val="21"/>
                      <w:szCs w:val="21"/>
                    </w:rPr>
                    <w:t>10</w:t>
                  </w:r>
                </w:p>
              </w:tc>
              <w:tc>
                <w:tcPr>
                  <w:tcW w:w="0" w:type="auto"/>
                  <w:vMerge w:val="restart"/>
                  <w:vAlign w:val="center"/>
                </w:tcPr>
                <w:p w14:paraId="048D7142">
                  <w:pPr>
                    <w:pStyle w:val="342"/>
                    <w:jc w:val="center"/>
                    <w:rPr>
                      <w:sz w:val="21"/>
                      <w:szCs w:val="21"/>
                    </w:rPr>
                  </w:pPr>
                  <w:r>
                    <w:rPr>
                      <w:rFonts w:hint="eastAsia"/>
                      <w:sz w:val="21"/>
                      <w:szCs w:val="21"/>
                    </w:rPr>
                    <w:t>40L钢瓶储存于气瓶室中</w:t>
                  </w:r>
                </w:p>
              </w:tc>
            </w:tr>
            <w:tr w14:paraId="7BCB73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5857E96C">
                  <w:pPr>
                    <w:pStyle w:val="342"/>
                    <w:jc w:val="center"/>
                    <w:rPr>
                      <w:sz w:val="21"/>
                      <w:szCs w:val="21"/>
                    </w:rPr>
                  </w:pPr>
                  <w:r>
                    <w:rPr>
                      <w:rFonts w:hint="eastAsia"/>
                      <w:sz w:val="21"/>
                      <w:szCs w:val="21"/>
                    </w:rPr>
                    <w:t>3</w:t>
                  </w:r>
                </w:p>
              </w:tc>
              <w:tc>
                <w:tcPr>
                  <w:tcW w:w="1970" w:type="dxa"/>
                  <w:vAlign w:val="center"/>
                </w:tcPr>
                <w:p w14:paraId="3FA2B664">
                  <w:pPr>
                    <w:pStyle w:val="342"/>
                    <w:jc w:val="center"/>
                    <w:rPr>
                      <w:rFonts w:hint="eastAsia" w:ascii="仿宋" w:hAnsi="仿宋"/>
                      <w:sz w:val="21"/>
                      <w:szCs w:val="21"/>
                    </w:rPr>
                  </w:pPr>
                  <w:r>
                    <w:rPr>
                      <w:rFonts w:hint="eastAsia" w:ascii="仿宋" w:hAnsi="仿宋"/>
                      <w:sz w:val="21"/>
                      <w:szCs w:val="21"/>
                    </w:rPr>
                    <w:t>二氧化碳</w:t>
                  </w:r>
                </w:p>
              </w:tc>
              <w:tc>
                <w:tcPr>
                  <w:tcW w:w="840" w:type="dxa"/>
                  <w:vAlign w:val="center"/>
                </w:tcPr>
                <w:p w14:paraId="603BF238">
                  <w:pPr>
                    <w:pStyle w:val="342"/>
                    <w:jc w:val="center"/>
                    <w:rPr>
                      <w:sz w:val="21"/>
                      <w:szCs w:val="21"/>
                    </w:rPr>
                  </w:pPr>
                  <w:r>
                    <w:rPr>
                      <w:rFonts w:hint="eastAsia"/>
                      <w:sz w:val="21"/>
                      <w:szCs w:val="21"/>
                    </w:rPr>
                    <w:t>kg/a</w:t>
                  </w:r>
                </w:p>
              </w:tc>
              <w:tc>
                <w:tcPr>
                  <w:tcW w:w="0" w:type="auto"/>
                  <w:vAlign w:val="center"/>
                </w:tcPr>
                <w:p w14:paraId="76C82AA7">
                  <w:pPr>
                    <w:pStyle w:val="342"/>
                    <w:jc w:val="center"/>
                    <w:rPr>
                      <w:sz w:val="21"/>
                      <w:szCs w:val="21"/>
                    </w:rPr>
                  </w:pPr>
                  <w:r>
                    <w:rPr>
                      <w:rFonts w:hint="eastAsia"/>
                      <w:sz w:val="21"/>
                      <w:szCs w:val="21"/>
                    </w:rPr>
                    <w:t>264.5</w:t>
                  </w:r>
                </w:p>
              </w:tc>
              <w:tc>
                <w:tcPr>
                  <w:tcW w:w="0" w:type="auto"/>
                  <w:vMerge w:val="continue"/>
                  <w:vAlign w:val="center"/>
                </w:tcPr>
                <w:p w14:paraId="7819407A">
                  <w:pPr>
                    <w:pStyle w:val="342"/>
                    <w:jc w:val="center"/>
                    <w:rPr>
                      <w:sz w:val="21"/>
                      <w:szCs w:val="21"/>
                    </w:rPr>
                  </w:pPr>
                </w:p>
              </w:tc>
            </w:tr>
            <w:tr w14:paraId="6FC138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7094C4C6">
                  <w:pPr>
                    <w:pStyle w:val="342"/>
                    <w:jc w:val="center"/>
                    <w:rPr>
                      <w:sz w:val="21"/>
                      <w:szCs w:val="21"/>
                    </w:rPr>
                  </w:pPr>
                  <w:r>
                    <w:rPr>
                      <w:rFonts w:hint="eastAsia"/>
                      <w:sz w:val="21"/>
                      <w:szCs w:val="21"/>
                    </w:rPr>
                    <w:t>4</w:t>
                  </w:r>
                </w:p>
              </w:tc>
              <w:tc>
                <w:tcPr>
                  <w:tcW w:w="1970" w:type="dxa"/>
                  <w:vAlign w:val="center"/>
                </w:tcPr>
                <w:p w14:paraId="244001F6">
                  <w:pPr>
                    <w:pStyle w:val="342"/>
                    <w:jc w:val="center"/>
                    <w:rPr>
                      <w:rFonts w:hint="eastAsia" w:ascii="仿宋" w:hAnsi="仿宋"/>
                      <w:sz w:val="21"/>
                      <w:szCs w:val="21"/>
                    </w:rPr>
                  </w:pPr>
                  <w:r>
                    <w:rPr>
                      <w:rFonts w:hint="eastAsia" w:ascii="仿宋" w:hAnsi="仿宋"/>
                      <w:sz w:val="21"/>
                      <w:szCs w:val="21"/>
                    </w:rPr>
                    <w:t>甲烷</w:t>
                  </w:r>
                </w:p>
              </w:tc>
              <w:tc>
                <w:tcPr>
                  <w:tcW w:w="840" w:type="dxa"/>
                  <w:vAlign w:val="center"/>
                </w:tcPr>
                <w:p w14:paraId="2E28D587">
                  <w:pPr>
                    <w:pStyle w:val="342"/>
                    <w:jc w:val="center"/>
                    <w:rPr>
                      <w:rFonts w:hint="eastAsia" w:ascii="仿宋" w:hAnsi="仿宋"/>
                      <w:sz w:val="21"/>
                      <w:szCs w:val="21"/>
                    </w:rPr>
                  </w:pPr>
                  <w:r>
                    <w:rPr>
                      <w:rFonts w:hint="eastAsia"/>
                      <w:sz w:val="21"/>
                      <w:szCs w:val="21"/>
                    </w:rPr>
                    <w:t>kg/a</w:t>
                  </w:r>
                </w:p>
              </w:tc>
              <w:tc>
                <w:tcPr>
                  <w:tcW w:w="0" w:type="auto"/>
                  <w:vAlign w:val="center"/>
                </w:tcPr>
                <w:p w14:paraId="54E5285B">
                  <w:pPr>
                    <w:pStyle w:val="342"/>
                    <w:jc w:val="center"/>
                    <w:rPr>
                      <w:rFonts w:hint="eastAsia" w:ascii="仿宋" w:hAnsi="仿宋"/>
                      <w:sz w:val="21"/>
                      <w:szCs w:val="21"/>
                    </w:rPr>
                  </w:pPr>
                  <w:r>
                    <w:rPr>
                      <w:rFonts w:hint="eastAsia"/>
                      <w:sz w:val="21"/>
                      <w:szCs w:val="21"/>
                    </w:rPr>
                    <w:t>264</w:t>
                  </w:r>
                </w:p>
              </w:tc>
              <w:tc>
                <w:tcPr>
                  <w:tcW w:w="0" w:type="auto"/>
                  <w:vMerge w:val="continue"/>
                  <w:vAlign w:val="center"/>
                </w:tcPr>
                <w:p w14:paraId="366C31DA">
                  <w:pPr>
                    <w:pStyle w:val="342"/>
                    <w:jc w:val="center"/>
                    <w:rPr>
                      <w:sz w:val="21"/>
                      <w:szCs w:val="21"/>
                    </w:rPr>
                  </w:pPr>
                </w:p>
              </w:tc>
            </w:tr>
            <w:tr w14:paraId="4E2B9D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2488BCE6">
                  <w:pPr>
                    <w:pStyle w:val="342"/>
                    <w:jc w:val="center"/>
                    <w:rPr>
                      <w:sz w:val="21"/>
                      <w:szCs w:val="21"/>
                    </w:rPr>
                  </w:pPr>
                  <w:r>
                    <w:rPr>
                      <w:rFonts w:hint="eastAsia"/>
                      <w:sz w:val="21"/>
                      <w:szCs w:val="21"/>
                    </w:rPr>
                    <w:t>5</w:t>
                  </w:r>
                </w:p>
              </w:tc>
              <w:tc>
                <w:tcPr>
                  <w:tcW w:w="1970" w:type="dxa"/>
                  <w:vAlign w:val="center"/>
                </w:tcPr>
                <w:p w14:paraId="5001E3D2">
                  <w:pPr>
                    <w:pStyle w:val="342"/>
                    <w:jc w:val="center"/>
                    <w:rPr>
                      <w:rFonts w:hint="eastAsia" w:ascii="仿宋" w:hAnsi="仿宋"/>
                      <w:sz w:val="21"/>
                      <w:szCs w:val="21"/>
                    </w:rPr>
                  </w:pPr>
                  <w:r>
                    <w:rPr>
                      <w:rFonts w:hint="eastAsia" w:ascii="仿宋" w:hAnsi="仿宋"/>
                      <w:sz w:val="21"/>
                      <w:szCs w:val="21"/>
                    </w:rPr>
                    <w:t>氮气</w:t>
                  </w:r>
                </w:p>
              </w:tc>
              <w:tc>
                <w:tcPr>
                  <w:tcW w:w="840" w:type="dxa"/>
                  <w:vAlign w:val="center"/>
                </w:tcPr>
                <w:p w14:paraId="2DD72CA3">
                  <w:pPr>
                    <w:pStyle w:val="342"/>
                    <w:jc w:val="center"/>
                    <w:rPr>
                      <w:rFonts w:hint="eastAsia" w:ascii="仿宋" w:hAnsi="仿宋"/>
                      <w:sz w:val="21"/>
                      <w:szCs w:val="21"/>
                    </w:rPr>
                  </w:pPr>
                  <w:r>
                    <w:rPr>
                      <w:rFonts w:hint="eastAsia"/>
                      <w:sz w:val="21"/>
                      <w:szCs w:val="21"/>
                    </w:rPr>
                    <w:t>kg/a</w:t>
                  </w:r>
                </w:p>
              </w:tc>
              <w:tc>
                <w:tcPr>
                  <w:tcW w:w="0" w:type="auto"/>
                  <w:vAlign w:val="center"/>
                </w:tcPr>
                <w:p w14:paraId="1409166F">
                  <w:pPr>
                    <w:pStyle w:val="342"/>
                    <w:jc w:val="center"/>
                    <w:rPr>
                      <w:rFonts w:hint="eastAsia" w:ascii="仿宋" w:hAnsi="仿宋"/>
                      <w:sz w:val="21"/>
                      <w:szCs w:val="21"/>
                    </w:rPr>
                  </w:pPr>
                  <w:r>
                    <w:rPr>
                      <w:rFonts w:hint="eastAsia" w:ascii="宋体" w:hAnsi="宋体" w:cs="宋体"/>
                      <w:color w:val="000000"/>
                      <w:sz w:val="21"/>
                      <w:szCs w:val="21"/>
                      <w:lang w:bidi="ar"/>
                    </w:rPr>
                    <w:t>264</w:t>
                  </w:r>
                </w:p>
              </w:tc>
              <w:tc>
                <w:tcPr>
                  <w:tcW w:w="0" w:type="auto"/>
                  <w:vMerge w:val="continue"/>
                  <w:vAlign w:val="center"/>
                </w:tcPr>
                <w:p w14:paraId="4DE7BC32">
                  <w:pPr>
                    <w:pStyle w:val="342"/>
                    <w:jc w:val="center"/>
                    <w:rPr>
                      <w:sz w:val="21"/>
                      <w:szCs w:val="21"/>
                    </w:rPr>
                  </w:pPr>
                </w:p>
              </w:tc>
            </w:tr>
            <w:tr w14:paraId="771340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0D57CDB9">
                  <w:pPr>
                    <w:pStyle w:val="342"/>
                    <w:jc w:val="center"/>
                    <w:rPr>
                      <w:sz w:val="21"/>
                      <w:szCs w:val="21"/>
                    </w:rPr>
                  </w:pPr>
                  <w:r>
                    <w:rPr>
                      <w:rFonts w:hint="eastAsia"/>
                      <w:sz w:val="21"/>
                      <w:szCs w:val="21"/>
                    </w:rPr>
                    <w:t>6</w:t>
                  </w:r>
                </w:p>
              </w:tc>
              <w:tc>
                <w:tcPr>
                  <w:tcW w:w="1970" w:type="dxa"/>
                  <w:vAlign w:val="center"/>
                </w:tcPr>
                <w:p w14:paraId="22B739A9">
                  <w:pPr>
                    <w:pStyle w:val="342"/>
                    <w:jc w:val="center"/>
                    <w:rPr>
                      <w:rFonts w:hint="eastAsia" w:ascii="宋体" w:hAnsi="宋体" w:cs="宋体"/>
                      <w:color w:val="000000"/>
                      <w:sz w:val="21"/>
                      <w:szCs w:val="21"/>
                      <w:lang w:bidi="ar"/>
                    </w:rPr>
                  </w:pPr>
                  <w:r>
                    <w:rPr>
                      <w:rFonts w:hint="eastAsia" w:ascii="仿宋" w:hAnsi="仿宋"/>
                      <w:sz w:val="21"/>
                      <w:szCs w:val="21"/>
                    </w:rPr>
                    <w:t>氨基酸</w:t>
                  </w:r>
                </w:p>
              </w:tc>
              <w:tc>
                <w:tcPr>
                  <w:tcW w:w="840" w:type="dxa"/>
                  <w:vAlign w:val="center"/>
                </w:tcPr>
                <w:p w14:paraId="2B01DF3F">
                  <w:pPr>
                    <w:pStyle w:val="342"/>
                    <w:jc w:val="center"/>
                    <w:rPr>
                      <w:rFonts w:hint="eastAsia" w:ascii="宋体" w:hAnsi="宋体" w:cs="宋体"/>
                      <w:color w:val="000000"/>
                      <w:sz w:val="21"/>
                      <w:szCs w:val="21"/>
                      <w:lang w:bidi="ar"/>
                    </w:rPr>
                  </w:pPr>
                  <w:r>
                    <w:rPr>
                      <w:rFonts w:hint="eastAsia"/>
                      <w:sz w:val="21"/>
                      <w:szCs w:val="21"/>
                    </w:rPr>
                    <w:t>kg/a</w:t>
                  </w:r>
                </w:p>
              </w:tc>
              <w:tc>
                <w:tcPr>
                  <w:tcW w:w="0" w:type="auto"/>
                  <w:vAlign w:val="center"/>
                </w:tcPr>
                <w:p w14:paraId="2878C0AA">
                  <w:pPr>
                    <w:pStyle w:val="342"/>
                    <w:jc w:val="center"/>
                    <w:rPr>
                      <w:rFonts w:hint="eastAsia" w:ascii="宋体" w:hAnsi="宋体" w:cs="宋体"/>
                      <w:color w:val="000000"/>
                      <w:sz w:val="21"/>
                      <w:szCs w:val="21"/>
                      <w:lang w:bidi="ar"/>
                    </w:rPr>
                  </w:pPr>
                  <w:r>
                    <w:rPr>
                      <w:rFonts w:hint="eastAsia" w:ascii="仿宋" w:hAnsi="仿宋"/>
                      <w:sz w:val="21"/>
                      <w:szCs w:val="21"/>
                    </w:rPr>
                    <w:t>1</w:t>
                  </w:r>
                </w:p>
              </w:tc>
              <w:tc>
                <w:tcPr>
                  <w:tcW w:w="0" w:type="auto"/>
                  <w:vAlign w:val="center"/>
                </w:tcPr>
                <w:p w14:paraId="43F3B27D">
                  <w:pPr>
                    <w:pStyle w:val="342"/>
                    <w:jc w:val="center"/>
                    <w:rPr>
                      <w:sz w:val="21"/>
                      <w:szCs w:val="21"/>
                    </w:rPr>
                  </w:pPr>
                  <w:r>
                    <w:rPr>
                      <w:rFonts w:hint="eastAsia"/>
                      <w:sz w:val="21"/>
                      <w:szCs w:val="21"/>
                    </w:rPr>
                    <w:t>在系统内循环</w:t>
                  </w:r>
                </w:p>
              </w:tc>
            </w:tr>
            <w:tr w14:paraId="2B9912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32E33398">
                  <w:pPr>
                    <w:pStyle w:val="342"/>
                    <w:jc w:val="center"/>
                    <w:rPr>
                      <w:sz w:val="21"/>
                      <w:szCs w:val="21"/>
                    </w:rPr>
                  </w:pPr>
                  <w:r>
                    <w:rPr>
                      <w:rFonts w:hint="eastAsia"/>
                      <w:sz w:val="21"/>
                      <w:szCs w:val="21"/>
                    </w:rPr>
                    <w:t>7</w:t>
                  </w:r>
                </w:p>
              </w:tc>
              <w:tc>
                <w:tcPr>
                  <w:tcW w:w="1970" w:type="dxa"/>
                  <w:vAlign w:val="center"/>
                </w:tcPr>
                <w:p w14:paraId="61B0561B">
                  <w:pPr>
                    <w:pStyle w:val="342"/>
                    <w:jc w:val="center"/>
                    <w:rPr>
                      <w:rFonts w:hint="eastAsia" w:ascii="仿宋" w:hAnsi="仿宋"/>
                      <w:sz w:val="21"/>
                      <w:szCs w:val="21"/>
                    </w:rPr>
                  </w:pPr>
                  <w:r>
                    <w:rPr>
                      <w:rFonts w:hint="eastAsia" w:ascii="仿宋" w:hAnsi="仿宋"/>
                      <w:sz w:val="21"/>
                      <w:szCs w:val="21"/>
                    </w:rPr>
                    <w:t>矸石</w:t>
                  </w:r>
                </w:p>
              </w:tc>
              <w:tc>
                <w:tcPr>
                  <w:tcW w:w="840" w:type="dxa"/>
                  <w:vAlign w:val="center"/>
                </w:tcPr>
                <w:p w14:paraId="6740D14C">
                  <w:pPr>
                    <w:pStyle w:val="342"/>
                    <w:jc w:val="center"/>
                    <w:rPr>
                      <w:rFonts w:hint="eastAsia" w:ascii="仿宋" w:hAnsi="仿宋"/>
                      <w:sz w:val="21"/>
                      <w:szCs w:val="21"/>
                    </w:rPr>
                  </w:pPr>
                  <w:r>
                    <w:rPr>
                      <w:rFonts w:hint="eastAsia"/>
                      <w:sz w:val="21"/>
                      <w:szCs w:val="21"/>
                    </w:rPr>
                    <w:t>kg/a</w:t>
                  </w:r>
                </w:p>
              </w:tc>
              <w:tc>
                <w:tcPr>
                  <w:tcW w:w="0" w:type="auto"/>
                  <w:vAlign w:val="center"/>
                </w:tcPr>
                <w:p w14:paraId="35B0B905">
                  <w:pPr>
                    <w:pStyle w:val="342"/>
                    <w:jc w:val="center"/>
                    <w:rPr>
                      <w:rFonts w:hint="eastAsia" w:ascii="仿宋" w:hAnsi="仿宋"/>
                      <w:sz w:val="21"/>
                      <w:szCs w:val="21"/>
                    </w:rPr>
                  </w:pPr>
                  <w:r>
                    <w:rPr>
                      <w:rFonts w:hint="eastAsia"/>
                      <w:sz w:val="21"/>
                      <w:szCs w:val="21"/>
                    </w:rPr>
                    <w:t>20</w:t>
                  </w:r>
                </w:p>
              </w:tc>
              <w:tc>
                <w:tcPr>
                  <w:tcW w:w="0" w:type="auto"/>
                  <w:vAlign w:val="center"/>
                </w:tcPr>
                <w:p w14:paraId="6FD72450">
                  <w:pPr>
                    <w:pStyle w:val="342"/>
                    <w:jc w:val="center"/>
                    <w:rPr>
                      <w:sz w:val="21"/>
                      <w:szCs w:val="21"/>
                    </w:rPr>
                  </w:pPr>
                </w:p>
              </w:tc>
            </w:tr>
            <w:tr w14:paraId="15BE2A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2A6ECD12">
                  <w:pPr>
                    <w:pStyle w:val="342"/>
                    <w:jc w:val="center"/>
                    <w:rPr>
                      <w:sz w:val="21"/>
                      <w:szCs w:val="21"/>
                    </w:rPr>
                  </w:pPr>
                  <w:r>
                    <w:rPr>
                      <w:rFonts w:hint="eastAsia"/>
                      <w:sz w:val="21"/>
                      <w:szCs w:val="21"/>
                    </w:rPr>
                    <w:t>8</w:t>
                  </w:r>
                </w:p>
              </w:tc>
              <w:tc>
                <w:tcPr>
                  <w:tcW w:w="1970" w:type="dxa"/>
                  <w:vAlign w:val="center"/>
                </w:tcPr>
                <w:p w14:paraId="0309BD03">
                  <w:pPr>
                    <w:pStyle w:val="342"/>
                    <w:jc w:val="center"/>
                    <w:rPr>
                      <w:rFonts w:hint="eastAsia" w:ascii="宋体" w:hAnsi="宋体" w:cs="宋体"/>
                      <w:color w:val="000000"/>
                      <w:sz w:val="21"/>
                      <w:szCs w:val="21"/>
                      <w:lang w:bidi="ar"/>
                    </w:rPr>
                  </w:pPr>
                  <w:r>
                    <w:rPr>
                      <w:rFonts w:hint="eastAsia" w:ascii="宋体" w:hAnsi="宋体" w:cs="宋体"/>
                      <w:color w:val="000000"/>
                      <w:sz w:val="21"/>
                      <w:szCs w:val="21"/>
                      <w:lang w:bidi="ar"/>
                    </w:rPr>
                    <w:t>粉煤灰</w:t>
                  </w:r>
                </w:p>
              </w:tc>
              <w:tc>
                <w:tcPr>
                  <w:tcW w:w="840" w:type="dxa"/>
                  <w:vAlign w:val="center"/>
                </w:tcPr>
                <w:p w14:paraId="6BDCD963">
                  <w:pPr>
                    <w:pStyle w:val="342"/>
                    <w:jc w:val="center"/>
                    <w:rPr>
                      <w:rFonts w:hint="eastAsia" w:ascii="宋体" w:hAnsi="宋体" w:cs="宋体"/>
                      <w:color w:val="000000"/>
                      <w:sz w:val="21"/>
                      <w:szCs w:val="21"/>
                      <w:lang w:bidi="ar"/>
                    </w:rPr>
                  </w:pPr>
                  <w:r>
                    <w:rPr>
                      <w:rFonts w:hint="eastAsia"/>
                      <w:sz w:val="21"/>
                      <w:szCs w:val="21"/>
                    </w:rPr>
                    <w:t>kg/a</w:t>
                  </w:r>
                </w:p>
              </w:tc>
              <w:tc>
                <w:tcPr>
                  <w:tcW w:w="0" w:type="auto"/>
                  <w:vAlign w:val="center"/>
                </w:tcPr>
                <w:p w14:paraId="17460132">
                  <w:pPr>
                    <w:pStyle w:val="342"/>
                    <w:jc w:val="center"/>
                    <w:rPr>
                      <w:rFonts w:hint="eastAsia" w:ascii="宋体" w:hAnsi="宋体" w:cs="宋体"/>
                      <w:color w:val="000000"/>
                      <w:sz w:val="21"/>
                      <w:szCs w:val="21"/>
                      <w:lang w:bidi="ar"/>
                    </w:rPr>
                  </w:pPr>
                  <w:r>
                    <w:rPr>
                      <w:rFonts w:hint="eastAsia"/>
                      <w:sz w:val="21"/>
                      <w:szCs w:val="21"/>
                    </w:rPr>
                    <w:t>400</w:t>
                  </w:r>
                </w:p>
              </w:tc>
              <w:tc>
                <w:tcPr>
                  <w:tcW w:w="0" w:type="auto"/>
                  <w:vAlign w:val="center"/>
                </w:tcPr>
                <w:p w14:paraId="0FD266CB">
                  <w:pPr>
                    <w:pStyle w:val="342"/>
                    <w:jc w:val="center"/>
                    <w:rPr>
                      <w:sz w:val="21"/>
                      <w:szCs w:val="21"/>
                    </w:rPr>
                  </w:pPr>
                </w:p>
              </w:tc>
            </w:tr>
            <w:tr w14:paraId="6BD5BD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3B723A09">
                  <w:pPr>
                    <w:pStyle w:val="342"/>
                    <w:jc w:val="center"/>
                    <w:rPr>
                      <w:sz w:val="21"/>
                      <w:szCs w:val="21"/>
                    </w:rPr>
                  </w:pPr>
                  <w:r>
                    <w:rPr>
                      <w:rFonts w:hint="eastAsia"/>
                      <w:sz w:val="21"/>
                      <w:szCs w:val="21"/>
                    </w:rPr>
                    <w:t>9</w:t>
                  </w:r>
                </w:p>
              </w:tc>
              <w:tc>
                <w:tcPr>
                  <w:tcW w:w="1970" w:type="dxa"/>
                  <w:vAlign w:val="center"/>
                </w:tcPr>
                <w:p w14:paraId="75A822C8">
                  <w:pPr>
                    <w:pStyle w:val="342"/>
                    <w:jc w:val="center"/>
                    <w:rPr>
                      <w:rFonts w:hint="eastAsia" w:ascii="仿宋" w:hAnsi="仿宋"/>
                      <w:sz w:val="21"/>
                      <w:szCs w:val="21"/>
                    </w:rPr>
                  </w:pPr>
                  <w:r>
                    <w:rPr>
                      <w:rFonts w:hint="eastAsia" w:ascii="仿宋" w:hAnsi="仿宋"/>
                      <w:sz w:val="21"/>
                      <w:szCs w:val="21"/>
                    </w:rPr>
                    <w:t>金属制品</w:t>
                  </w:r>
                </w:p>
              </w:tc>
              <w:tc>
                <w:tcPr>
                  <w:tcW w:w="840" w:type="dxa"/>
                  <w:vAlign w:val="center"/>
                </w:tcPr>
                <w:p w14:paraId="3A0DDCAE">
                  <w:pPr>
                    <w:pStyle w:val="342"/>
                    <w:jc w:val="center"/>
                    <w:rPr>
                      <w:rFonts w:hint="eastAsia" w:ascii="仿宋" w:hAnsi="仿宋"/>
                      <w:sz w:val="21"/>
                      <w:szCs w:val="21"/>
                    </w:rPr>
                  </w:pPr>
                  <w:r>
                    <w:rPr>
                      <w:rFonts w:hint="eastAsia"/>
                      <w:sz w:val="21"/>
                      <w:szCs w:val="21"/>
                    </w:rPr>
                    <w:t>kg/a</w:t>
                  </w:r>
                </w:p>
              </w:tc>
              <w:tc>
                <w:tcPr>
                  <w:tcW w:w="0" w:type="auto"/>
                  <w:vAlign w:val="center"/>
                </w:tcPr>
                <w:p w14:paraId="241EBF22">
                  <w:pPr>
                    <w:pStyle w:val="342"/>
                    <w:jc w:val="center"/>
                    <w:rPr>
                      <w:rFonts w:hint="eastAsia" w:ascii="仿宋" w:hAnsi="仿宋"/>
                      <w:sz w:val="21"/>
                      <w:szCs w:val="21"/>
                    </w:rPr>
                  </w:pPr>
                  <w:r>
                    <w:rPr>
                      <w:rFonts w:hint="eastAsia"/>
                      <w:sz w:val="21"/>
                      <w:szCs w:val="21"/>
                    </w:rPr>
                    <w:t>400</w:t>
                  </w:r>
                </w:p>
              </w:tc>
              <w:tc>
                <w:tcPr>
                  <w:tcW w:w="0" w:type="auto"/>
                  <w:vAlign w:val="center"/>
                </w:tcPr>
                <w:p w14:paraId="2EFE4625">
                  <w:pPr>
                    <w:pStyle w:val="342"/>
                    <w:jc w:val="center"/>
                    <w:rPr>
                      <w:sz w:val="21"/>
                      <w:szCs w:val="21"/>
                    </w:rPr>
                  </w:pPr>
                </w:p>
              </w:tc>
            </w:tr>
            <w:tr w14:paraId="31C74C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4B647740">
                  <w:pPr>
                    <w:pStyle w:val="342"/>
                    <w:jc w:val="center"/>
                    <w:rPr>
                      <w:sz w:val="21"/>
                      <w:szCs w:val="21"/>
                    </w:rPr>
                  </w:pPr>
                  <w:r>
                    <w:rPr>
                      <w:rFonts w:hint="eastAsia"/>
                      <w:sz w:val="21"/>
                      <w:szCs w:val="21"/>
                    </w:rPr>
                    <w:t>10</w:t>
                  </w:r>
                </w:p>
              </w:tc>
              <w:tc>
                <w:tcPr>
                  <w:tcW w:w="1970" w:type="dxa"/>
                  <w:vAlign w:val="center"/>
                </w:tcPr>
                <w:p w14:paraId="3AD63252">
                  <w:pPr>
                    <w:pStyle w:val="342"/>
                    <w:jc w:val="center"/>
                    <w:rPr>
                      <w:rFonts w:hint="eastAsia" w:ascii="宋体" w:hAnsi="宋体" w:cs="宋体"/>
                      <w:color w:val="000000"/>
                      <w:sz w:val="21"/>
                      <w:szCs w:val="21"/>
                      <w:lang w:bidi="ar"/>
                    </w:rPr>
                  </w:pPr>
                  <w:r>
                    <w:rPr>
                      <w:rFonts w:hint="eastAsia" w:ascii="宋体" w:hAnsi="宋体" w:cs="宋体"/>
                      <w:color w:val="000000"/>
                      <w:sz w:val="21"/>
                      <w:szCs w:val="21"/>
                      <w:lang w:bidi="ar"/>
                    </w:rPr>
                    <w:t>岩石</w:t>
                  </w:r>
                </w:p>
              </w:tc>
              <w:tc>
                <w:tcPr>
                  <w:tcW w:w="840" w:type="dxa"/>
                  <w:vAlign w:val="center"/>
                </w:tcPr>
                <w:p w14:paraId="307B5E41">
                  <w:pPr>
                    <w:pStyle w:val="342"/>
                    <w:jc w:val="center"/>
                    <w:rPr>
                      <w:rFonts w:hint="eastAsia" w:ascii="宋体" w:hAnsi="宋体" w:cs="宋体"/>
                      <w:color w:val="000000"/>
                      <w:sz w:val="21"/>
                      <w:szCs w:val="21"/>
                      <w:lang w:bidi="ar"/>
                    </w:rPr>
                  </w:pPr>
                  <w:r>
                    <w:rPr>
                      <w:rFonts w:hint="eastAsia"/>
                      <w:sz w:val="21"/>
                      <w:szCs w:val="21"/>
                    </w:rPr>
                    <w:t>kg/a</w:t>
                  </w:r>
                </w:p>
              </w:tc>
              <w:tc>
                <w:tcPr>
                  <w:tcW w:w="0" w:type="auto"/>
                  <w:vAlign w:val="center"/>
                </w:tcPr>
                <w:p w14:paraId="2622BEB9">
                  <w:pPr>
                    <w:pStyle w:val="342"/>
                    <w:jc w:val="center"/>
                    <w:rPr>
                      <w:rFonts w:hint="eastAsia" w:ascii="宋体" w:hAnsi="宋体" w:cs="宋体"/>
                      <w:color w:val="000000"/>
                      <w:sz w:val="21"/>
                      <w:szCs w:val="21"/>
                      <w:lang w:bidi="ar"/>
                    </w:rPr>
                  </w:pPr>
                  <w:r>
                    <w:rPr>
                      <w:rFonts w:hint="eastAsia"/>
                      <w:sz w:val="21"/>
                      <w:szCs w:val="21"/>
                    </w:rPr>
                    <w:t>350</w:t>
                  </w:r>
                </w:p>
              </w:tc>
              <w:tc>
                <w:tcPr>
                  <w:tcW w:w="0" w:type="auto"/>
                  <w:vAlign w:val="center"/>
                </w:tcPr>
                <w:p w14:paraId="5522C408">
                  <w:pPr>
                    <w:pStyle w:val="342"/>
                    <w:jc w:val="center"/>
                    <w:rPr>
                      <w:sz w:val="21"/>
                      <w:szCs w:val="21"/>
                    </w:rPr>
                  </w:pPr>
                </w:p>
              </w:tc>
            </w:tr>
            <w:tr w14:paraId="0CB650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7C56DDB2">
                  <w:pPr>
                    <w:pStyle w:val="342"/>
                    <w:jc w:val="center"/>
                    <w:rPr>
                      <w:sz w:val="21"/>
                      <w:szCs w:val="21"/>
                    </w:rPr>
                  </w:pPr>
                  <w:r>
                    <w:rPr>
                      <w:rFonts w:hint="eastAsia"/>
                      <w:sz w:val="21"/>
                      <w:szCs w:val="21"/>
                    </w:rPr>
                    <w:t>11</w:t>
                  </w:r>
                </w:p>
              </w:tc>
              <w:tc>
                <w:tcPr>
                  <w:tcW w:w="1970" w:type="dxa"/>
                  <w:vAlign w:val="center"/>
                </w:tcPr>
                <w:p w14:paraId="2B83FA97">
                  <w:pPr>
                    <w:pStyle w:val="342"/>
                    <w:jc w:val="center"/>
                    <w:rPr>
                      <w:rFonts w:hint="eastAsia" w:ascii="宋体" w:hAnsi="宋体" w:cs="宋体"/>
                      <w:color w:val="000000"/>
                      <w:sz w:val="21"/>
                      <w:szCs w:val="21"/>
                      <w:lang w:bidi="ar"/>
                    </w:rPr>
                  </w:pPr>
                  <w:r>
                    <w:rPr>
                      <w:rFonts w:hint="eastAsia" w:ascii="仿宋" w:hAnsi="仿宋"/>
                      <w:sz w:val="21"/>
                      <w:szCs w:val="21"/>
                    </w:rPr>
                    <w:t>混凝土</w:t>
                  </w:r>
                </w:p>
              </w:tc>
              <w:tc>
                <w:tcPr>
                  <w:tcW w:w="840" w:type="dxa"/>
                  <w:vAlign w:val="center"/>
                </w:tcPr>
                <w:p w14:paraId="01312F54">
                  <w:pPr>
                    <w:pStyle w:val="342"/>
                    <w:jc w:val="center"/>
                    <w:rPr>
                      <w:sz w:val="21"/>
                      <w:szCs w:val="21"/>
                    </w:rPr>
                  </w:pPr>
                  <w:r>
                    <w:rPr>
                      <w:rFonts w:hint="eastAsia"/>
                      <w:sz w:val="21"/>
                      <w:szCs w:val="21"/>
                    </w:rPr>
                    <w:t>kg/a</w:t>
                  </w:r>
                </w:p>
              </w:tc>
              <w:tc>
                <w:tcPr>
                  <w:tcW w:w="0" w:type="auto"/>
                  <w:vAlign w:val="center"/>
                </w:tcPr>
                <w:p w14:paraId="56F14D08">
                  <w:pPr>
                    <w:pStyle w:val="342"/>
                    <w:jc w:val="center"/>
                    <w:rPr>
                      <w:sz w:val="21"/>
                      <w:szCs w:val="21"/>
                    </w:rPr>
                  </w:pPr>
                  <w:r>
                    <w:rPr>
                      <w:rFonts w:hint="eastAsia"/>
                      <w:sz w:val="21"/>
                      <w:szCs w:val="21"/>
                    </w:rPr>
                    <w:t>450</w:t>
                  </w:r>
                </w:p>
              </w:tc>
              <w:tc>
                <w:tcPr>
                  <w:tcW w:w="0" w:type="auto"/>
                  <w:vAlign w:val="center"/>
                </w:tcPr>
                <w:p w14:paraId="0ACD9ABF">
                  <w:pPr>
                    <w:pStyle w:val="342"/>
                    <w:jc w:val="center"/>
                    <w:rPr>
                      <w:sz w:val="21"/>
                      <w:szCs w:val="21"/>
                    </w:rPr>
                  </w:pPr>
                </w:p>
              </w:tc>
            </w:tr>
            <w:tr w14:paraId="5B337B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1ABBD92E">
                  <w:pPr>
                    <w:pStyle w:val="342"/>
                    <w:jc w:val="center"/>
                    <w:rPr>
                      <w:sz w:val="21"/>
                      <w:szCs w:val="21"/>
                    </w:rPr>
                  </w:pPr>
                  <w:r>
                    <w:rPr>
                      <w:rFonts w:hint="eastAsia"/>
                      <w:sz w:val="21"/>
                      <w:szCs w:val="21"/>
                    </w:rPr>
                    <w:t>12</w:t>
                  </w:r>
                </w:p>
              </w:tc>
              <w:tc>
                <w:tcPr>
                  <w:tcW w:w="1970" w:type="dxa"/>
                  <w:vAlign w:val="center"/>
                </w:tcPr>
                <w:p w14:paraId="3387816B">
                  <w:pPr>
                    <w:pStyle w:val="342"/>
                    <w:jc w:val="center"/>
                    <w:rPr>
                      <w:rFonts w:hint="eastAsia" w:ascii="宋体" w:hAnsi="宋体" w:cs="宋体"/>
                      <w:color w:val="000000"/>
                      <w:sz w:val="21"/>
                      <w:szCs w:val="21"/>
                      <w:lang w:bidi="ar"/>
                    </w:rPr>
                  </w:pPr>
                  <w:r>
                    <w:rPr>
                      <w:rFonts w:hint="eastAsia" w:ascii="宋体" w:hAnsi="宋体" w:cs="宋体"/>
                      <w:color w:val="000000"/>
                      <w:sz w:val="21"/>
                      <w:szCs w:val="21"/>
                      <w:lang w:bidi="ar"/>
                    </w:rPr>
                    <w:t>硝酸</w:t>
                  </w:r>
                </w:p>
              </w:tc>
              <w:tc>
                <w:tcPr>
                  <w:tcW w:w="840" w:type="dxa"/>
                  <w:vAlign w:val="center"/>
                </w:tcPr>
                <w:p w14:paraId="707CB930">
                  <w:pPr>
                    <w:pStyle w:val="342"/>
                    <w:jc w:val="center"/>
                    <w:rPr>
                      <w:sz w:val="21"/>
                      <w:szCs w:val="21"/>
                    </w:rPr>
                  </w:pPr>
                  <w:r>
                    <w:rPr>
                      <w:rFonts w:hint="eastAsia"/>
                      <w:sz w:val="21"/>
                      <w:szCs w:val="21"/>
                    </w:rPr>
                    <w:t>ml/a</w:t>
                  </w:r>
                </w:p>
              </w:tc>
              <w:tc>
                <w:tcPr>
                  <w:tcW w:w="0" w:type="auto"/>
                  <w:vAlign w:val="center"/>
                </w:tcPr>
                <w:p w14:paraId="7BD96609">
                  <w:pPr>
                    <w:pStyle w:val="342"/>
                    <w:jc w:val="center"/>
                    <w:rPr>
                      <w:sz w:val="21"/>
                      <w:szCs w:val="21"/>
                    </w:rPr>
                  </w:pPr>
                  <w:r>
                    <w:rPr>
                      <w:rFonts w:hint="eastAsia"/>
                      <w:sz w:val="21"/>
                      <w:szCs w:val="21"/>
                    </w:rPr>
                    <w:t>3000</w:t>
                  </w:r>
                </w:p>
              </w:tc>
              <w:tc>
                <w:tcPr>
                  <w:tcW w:w="0" w:type="auto"/>
                  <w:vAlign w:val="center"/>
                </w:tcPr>
                <w:p w14:paraId="782915BA">
                  <w:pPr>
                    <w:pStyle w:val="342"/>
                    <w:jc w:val="center"/>
                    <w:rPr>
                      <w:sz w:val="21"/>
                      <w:szCs w:val="21"/>
                    </w:rPr>
                  </w:pPr>
                  <w:r>
                    <w:rPr>
                      <w:rFonts w:hint="eastAsia" w:ascii="宋体" w:hAnsi="宋体"/>
                    </w:rPr>
                    <w:t>存放在实验室用棕色玻璃瓶，耐酸碱（PP）试剂柜中</w:t>
                  </w:r>
                </w:p>
              </w:tc>
            </w:tr>
            <w:tr w14:paraId="0E79A2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61F647DB">
                  <w:pPr>
                    <w:pStyle w:val="342"/>
                    <w:jc w:val="center"/>
                    <w:rPr>
                      <w:sz w:val="21"/>
                      <w:szCs w:val="21"/>
                    </w:rPr>
                  </w:pPr>
                  <w:r>
                    <w:rPr>
                      <w:rFonts w:hint="eastAsia"/>
                      <w:sz w:val="21"/>
                      <w:szCs w:val="21"/>
                    </w:rPr>
                    <w:t>13</w:t>
                  </w:r>
                </w:p>
              </w:tc>
              <w:tc>
                <w:tcPr>
                  <w:tcW w:w="1970" w:type="dxa"/>
                  <w:vAlign w:val="center"/>
                </w:tcPr>
                <w:p w14:paraId="402F8D2D">
                  <w:pPr>
                    <w:pStyle w:val="342"/>
                    <w:jc w:val="center"/>
                    <w:rPr>
                      <w:rFonts w:hint="eastAsia" w:ascii="宋体" w:hAnsi="宋体" w:cs="宋体"/>
                      <w:color w:val="000000"/>
                      <w:sz w:val="21"/>
                      <w:szCs w:val="21"/>
                      <w:lang w:bidi="ar"/>
                    </w:rPr>
                  </w:pPr>
                  <w:r>
                    <w:rPr>
                      <w:rFonts w:hint="eastAsia" w:ascii="宋体" w:hAnsi="宋体" w:cs="宋体"/>
                      <w:color w:val="000000"/>
                      <w:sz w:val="21"/>
                      <w:szCs w:val="21"/>
                      <w:lang w:bidi="ar"/>
                    </w:rPr>
                    <w:t>氢氧化钠</w:t>
                  </w:r>
                </w:p>
              </w:tc>
              <w:tc>
                <w:tcPr>
                  <w:tcW w:w="840" w:type="dxa"/>
                  <w:vAlign w:val="center"/>
                </w:tcPr>
                <w:p w14:paraId="7B47D168">
                  <w:pPr>
                    <w:pStyle w:val="342"/>
                    <w:jc w:val="center"/>
                    <w:rPr>
                      <w:sz w:val="21"/>
                      <w:szCs w:val="21"/>
                    </w:rPr>
                  </w:pPr>
                  <w:r>
                    <w:rPr>
                      <w:rFonts w:hint="eastAsia"/>
                      <w:sz w:val="21"/>
                      <w:szCs w:val="21"/>
                    </w:rPr>
                    <w:t>ml/a</w:t>
                  </w:r>
                </w:p>
              </w:tc>
              <w:tc>
                <w:tcPr>
                  <w:tcW w:w="0" w:type="auto"/>
                  <w:vAlign w:val="center"/>
                </w:tcPr>
                <w:p w14:paraId="0D398FBA">
                  <w:pPr>
                    <w:pStyle w:val="342"/>
                    <w:jc w:val="center"/>
                    <w:rPr>
                      <w:sz w:val="21"/>
                      <w:szCs w:val="21"/>
                    </w:rPr>
                  </w:pPr>
                  <w:r>
                    <w:rPr>
                      <w:rFonts w:hint="eastAsia"/>
                      <w:sz w:val="21"/>
                      <w:szCs w:val="21"/>
                    </w:rPr>
                    <w:t>3000</w:t>
                  </w:r>
                </w:p>
              </w:tc>
              <w:tc>
                <w:tcPr>
                  <w:tcW w:w="0" w:type="auto"/>
                  <w:vAlign w:val="center"/>
                </w:tcPr>
                <w:p w14:paraId="744B794E">
                  <w:pPr>
                    <w:pStyle w:val="342"/>
                    <w:jc w:val="center"/>
                    <w:rPr>
                      <w:sz w:val="21"/>
                      <w:szCs w:val="21"/>
                    </w:rPr>
                  </w:pPr>
                  <w:r>
                    <w:rPr>
                      <w:rFonts w:hint="eastAsia" w:ascii="宋体" w:hAnsi="宋体"/>
                    </w:rPr>
                    <w:t>存放在实验室用瓶（聚乙烯），耐酸碱（PP）试剂柜中</w:t>
                  </w:r>
                </w:p>
              </w:tc>
            </w:tr>
            <w:tr w14:paraId="32CDA9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21005294">
                  <w:pPr>
                    <w:pStyle w:val="342"/>
                    <w:jc w:val="center"/>
                    <w:rPr>
                      <w:sz w:val="21"/>
                      <w:szCs w:val="21"/>
                    </w:rPr>
                  </w:pPr>
                  <w:r>
                    <w:rPr>
                      <w:rFonts w:hint="eastAsia"/>
                      <w:sz w:val="21"/>
                      <w:szCs w:val="21"/>
                    </w:rPr>
                    <w:t>14</w:t>
                  </w:r>
                </w:p>
              </w:tc>
              <w:tc>
                <w:tcPr>
                  <w:tcW w:w="1970" w:type="dxa"/>
                  <w:vAlign w:val="center"/>
                </w:tcPr>
                <w:p w14:paraId="246CBBF4">
                  <w:pPr>
                    <w:pStyle w:val="342"/>
                    <w:jc w:val="center"/>
                    <w:rPr>
                      <w:rFonts w:hint="eastAsia" w:ascii="宋体" w:hAnsi="宋体" w:cs="宋体"/>
                      <w:color w:val="000000"/>
                      <w:sz w:val="21"/>
                      <w:szCs w:val="21"/>
                      <w:lang w:bidi="ar"/>
                    </w:rPr>
                  </w:pPr>
                  <w:r>
                    <w:rPr>
                      <w:rFonts w:hint="eastAsia" w:ascii="宋体" w:hAnsi="宋体" w:cs="宋体"/>
                      <w:color w:val="000000"/>
                      <w:sz w:val="21"/>
                      <w:szCs w:val="21"/>
                      <w:lang w:bidi="ar"/>
                    </w:rPr>
                    <w:t>二甲基胺硼烷</w:t>
                  </w:r>
                  <w:r>
                    <w:rPr>
                      <w:color w:val="000000"/>
                      <w:sz w:val="21"/>
                      <w:szCs w:val="21"/>
                      <w:lang w:bidi="ar"/>
                    </w:rPr>
                    <w:t>（DMBA）</w:t>
                  </w:r>
                </w:p>
              </w:tc>
              <w:tc>
                <w:tcPr>
                  <w:tcW w:w="840" w:type="dxa"/>
                  <w:vAlign w:val="center"/>
                </w:tcPr>
                <w:p w14:paraId="7A733E5A">
                  <w:pPr>
                    <w:pStyle w:val="342"/>
                    <w:jc w:val="center"/>
                    <w:rPr>
                      <w:sz w:val="21"/>
                      <w:szCs w:val="21"/>
                    </w:rPr>
                  </w:pPr>
                  <w:r>
                    <w:rPr>
                      <w:rFonts w:hint="eastAsia"/>
                      <w:sz w:val="21"/>
                      <w:szCs w:val="21"/>
                    </w:rPr>
                    <w:t>kg/a</w:t>
                  </w:r>
                </w:p>
              </w:tc>
              <w:tc>
                <w:tcPr>
                  <w:tcW w:w="0" w:type="auto"/>
                  <w:vAlign w:val="center"/>
                </w:tcPr>
                <w:p w14:paraId="322C042C">
                  <w:pPr>
                    <w:pStyle w:val="342"/>
                    <w:jc w:val="center"/>
                    <w:rPr>
                      <w:sz w:val="21"/>
                      <w:szCs w:val="21"/>
                    </w:rPr>
                  </w:pPr>
                  <w:r>
                    <w:rPr>
                      <w:rFonts w:hint="eastAsia"/>
                      <w:sz w:val="21"/>
                      <w:szCs w:val="21"/>
                    </w:rPr>
                    <w:t>0.5</w:t>
                  </w:r>
                </w:p>
              </w:tc>
              <w:tc>
                <w:tcPr>
                  <w:tcW w:w="0" w:type="auto"/>
                  <w:vAlign w:val="center"/>
                </w:tcPr>
                <w:p w14:paraId="5DA8E107">
                  <w:pPr>
                    <w:pStyle w:val="342"/>
                    <w:jc w:val="center"/>
                    <w:rPr>
                      <w:sz w:val="21"/>
                      <w:szCs w:val="21"/>
                    </w:rPr>
                  </w:pPr>
                  <w:r>
                    <w:rPr>
                      <w:rFonts w:hint="eastAsia" w:ascii="宋体" w:hAnsi="宋体"/>
                    </w:rPr>
                    <w:t>密封封装，单独存放在一个试剂柜中（隔绝氧化剂）</w:t>
                  </w:r>
                </w:p>
              </w:tc>
            </w:tr>
            <w:bookmarkEnd w:id="9"/>
          </w:tbl>
          <w:p w14:paraId="117962CE">
            <w:pPr>
              <w:pStyle w:val="127"/>
              <w:spacing w:line="360" w:lineRule="auto"/>
              <w:jc w:val="both"/>
              <w:rPr>
                <w:color w:val="auto"/>
                <w:sz w:val="24"/>
                <w:szCs w:val="24"/>
              </w:rPr>
            </w:pPr>
            <w:r>
              <w:rPr>
                <w:rFonts w:hint="eastAsia"/>
                <w:color w:val="auto"/>
                <w:sz w:val="24"/>
                <w:szCs w:val="24"/>
              </w:rPr>
              <w:t>6、水平衡分析</w:t>
            </w:r>
          </w:p>
          <w:p w14:paraId="11574117">
            <w:pPr>
              <w:pStyle w:val="127"/>
              <w:spacing w:line="360" w:lineRule="auto"/>
              <w:ind w:firstLine="480" w:firstLineChars="200"/>
              <w:jc w:val="both"/>
              <w:rPr>
                <w:b w:val="0"/>
                <w:bCs/>
                <w:color w:val="auto"/>
                <w:sz w:val="24"/>
                <w:szCs w:val="24"/>
              </w:rPr>
            </w:pPr>
            <w:r>
              <w:rPr>
                <w:rFonts w:hint="eastAsia"/>
                <w:b w:val="0"/>
                <w:bCs/>
                <w:color w:val="auto"/>
                <w:sz w:val="24"/>
                <w:szCs w:val="24"/>
              </w:rPr>
              <w:t>1、给水</w:t>
            </w:r>
          </w:p>
          <w:p w14:paraId="33A3281E">
            <w:pPr>
              <w:pStyle w:val="127"/>
              <w:spacing w:line="360" w:lineRule="auto"/>
              <w:ind w:firstLine="480" w:firstLineChars="200"/>
              <w:jc w:val="both"/>
              <w:rPr>
                <w:b w:val="0"/>
                <w:bCs/>
                <w:color w:val="auto"/>
                <w:sz w:val="24"/>
                <w:szCs w:val="24"/>
              </w:rPr>
            </w:pPr>
            <w:r>
              <w:rPr>
                <w:rFonts w:hint="eastAsia"/>
                <w:b w:val="0"/>
                <w:bCs/>
                <w:color w:val="auto"/>
                <w:sz w:val="24"/>
                <w:szCs w:val="24"/>
              </w:rPr>
              <w:t>本项目用水包括实验用水和生活用水，由市政自来水管网供给。</w:t>
            </w:r>
          </w:p>
          <w:p w14:paraId="75936176">
            <w:pPr>
              <w:pStyle w:val="127"/>
              <w:spacing w:line="360" w:lineRule="auto"/>
              <w:ind w:firstLine="480" w:firstLineChars="200"/>
              <w:jc w:val="both"/>
              <w:rPr>
                <w:b w:val="0"/>
                <w:bCs/>
                <w:color w:val="auto"/>
                <w:sz w:val="24"/>
                <w:szCs w:val="24"/>
              </w:rPr>
            </w:pPr>
            <w:r>
              <w:rPr>
                <w:rFonts w:hint="eastAsia"/>
                <w:b w:val="0"/>
                <w:bCs/>
                <w:color w:val="auto"/>
                <w:sz w:val="24"/>
                <w:szCs w:val="24"/>
              </w:rPr>
              <w:t>（1）实验用水年用水量1000.64m</w:t>
            </w:r>
            <w:r>
              <w:rPr>
                <w:rFonts w:hint="eastAsia"/>
                <w:b w:val="0"/>
                <w:bCs/>
                <w:color w:val="auto"/>
                <w:sz w:val="24"/>
                <w:szCs w:val="24"/>
                <w:vertAlign w:val="superscript"/>
              </w:rPr>
              <w:t>3</w:t>
            </w:r>
            <w:r>
              <w:rPr>
                <w:rFonts w:hint="eastAsia"/>
                <w:b w:val="0"/>
                <w:bCs/>
                <w:color w:val="auto"/>
                <w:sz w:val="24"/>
                <w:szCs w:val="24"/>
              </w:rPr>
              <w:t>/a。</w:t>
            </w:r>
          </w:p>
          <w:p w14:paraId="031393C6">
            <w:pPr>
              <w:pStyle w:val="127"/>
              <w:spacing w:line="360" w:lineRule="auto"/>
              <w:ind w:firstLine="480" w:firstLineChars="200"/>
              <w:jc w:val="both"/>
              <w:rPr>
                <w:b w:val="0"/>
                <w:bCs/>
                <w:color w:val="auto"/>
                <w:sz w:val="24"/>
                <w:szCs w:val="24"/>
              </w:rPr>
            </w:pPr>
            <w:r>
              <w:rPr>
                <w:rFonts w:hint="eastAsia"/>
                <w:b w:val="0"/>
                <w:bCs/>
                <w:color w:val="auto"/>
                <w:sz w:val="24"/>
                <w:szCs w:val="24"/>
              </w:rPr>
              <w:t>（2）生活用水：根据《内蒙古自治区行业用水定额标准》（DB15/T385-2020）中表3城市适合生活用水定额表9400商贸办公写字楼，本次评价按50L/人·d计，本项目劳动定员20人，年工作日264天，则项目年生活用水量为264m</w:t>
            </w:r>
            <w:r>
              <w:rPr>
                <w:rFonts w:hint="eastAsia"/>
                <w:b w:val="0"/>
                <w:bCs/>
                <w:color w:val="auto"/>
                <w:sz w:val="24"/>
                <w:szCs w:val="24"/>
                <w:vertAlign w:val="superscript"/>
              </w:rPr>
              <w:t>3</w:t>
            </w:r>
            <w:r>
              <w:rPr>
                <w:rFonts w:hint="eastAsia"/>
                <w:b w:val="0"/>
                <w:bCs/>
                <w:color w:val="auto"/>
                <w:sz w:val="24"/>
                <w:szCs w:val="24"/>
              </w:rPr>
              <w:t>/a。</w:t>
            </w:r>
          </w:p>
          <w:p w14:paraId="29DE79FC">
            <w:pPr>
              <w:pStyle w:val="127"/>
              <w:spacing w:line="360" w:lineRule="auto"/>
              <w:ind w:firstLine="480" w:firstLineChars="200"/>
              <w:jc w:val="both"/>
              <w:rPr>
                <w:b w:val="0"/>
                <w:bCs/>
                <w:color w:val="auto"/>
                <w:sz w:val="24"/>
                <w:szCs w:val="24"/>
              </w:rPr>
            </w:pPr>
            <w:r>
              <w:rPr>
                <w:rFonts w:hint="eastAsia"/>
                <w:b w:val="0"/>
                <w:bCs/>
                <w:color w:val="auto"/>
                <w:sz w:val="24"/>
                <w:szCs w:val="24"/>
              </w:rPr>
              <w:t>（4）制备去离子水年用水量176.8 m</w:t>
            </w:r>
            <w:r>
              <w:rPr>
                <w:rFonts w:hint="eastAsia"/>
                <w:b w:val="0"/>
                <w:bCs/>
                <w:color w:val="auto"/>
                <w:sz w:val="24"/>
                <w:szCs w:val="24"/>
                <w:vertAlign w:val="superscript"/>
              </w:rPr>
              <w:t>3</w:t>
            </w:r>
            <w:r>
              <w:rPr>
                <w:rFonts w:hint="eastAsia"/>
                <w:b w:val="0"/>
                <w:bCs/>
                <w:color w:val="auto"/>
                <w:sz w:val="24"/>
                <w:szCs w:val="24"/>
              </w:rPr>
              <w:t>/a。</w:t>
            </w:r>
          </w:p>
          <w:p w14:paraId="43F41033">
            <w:pPr>
              <w:pStyle w:val="127"/>
              <w:spacing w:line="360" w:lineRule="auto"/>
              <w:ind w:firstLine="480" w:firstLineChars="200"/>
              <w:jc w:val="both"/>
              <w:rPr>
                <w:b w:val="0"/>
                <w:bCs/>
                <w:color w:val="auto"/>
                <w:sz w:val="24"/>
                <w:szCs w:val="24"/>
              </w:rPr>
            </w:pPr>
            <w:r>
              <w:rPr>
                <w:rFonts w:hint="eastAsia"/>
                <w:b w:val="0"/>
                <w:bCs/>
                <w:color w:val="auto"/>
                <w:sz w:val="24"/>
                <w:szCs w:val="24"/>
              </w:rPr>
              <w:t>2、排水</w:t>
            </w:r>
          </w:p>
          <w:p w14:paraId="41A3085A">
            <w:pPr>
              <w:pStyle w:val="127"/>
              <w:spacing w:line="360" w:lineRule="auto"/>
              <w:ind w:firstLine="480" w:firstLineChars="200"/>
              <w:jc w:val="both"/>
              <w:rPr>
                <w:b w:val="0"/>
                <w:bCs/>
                <w:color w:val="auto"/>
                <w:sz w:val="24"/>
                <w:szCs w:val="24"/>
              </w:rPr>
            </w:pPr>
            <w:r>
              <w:rPr>
                <w:rFonts w:hint="eastAsia"/>
                <w:b w:val="0"/>
                <w:bCs/>
                <w:color w:val="auto"/>
                <w:sz w:val="24"/>
                <w:szCs w:val="24"/>
              </w:rPr>
              <w:t>（1）实验用水损耗1000.64m</w:t>
            </w:r>
            <w:r>
              <w:rPr>
                <w:rFonts w:hint="eastAsia"/>
                <w:b w:val="0"/>
                <w:bCs/>
                <w:color w:val="auto"/>
                <w:sz w:val="24"/>
                <w:szCs w:val="24"/>
                <w:vertAlign w:val="superscript"/>
              </w:rPr>
              <w:t>3</w:t>
            </w:r>
            <w:r>
              <w:rPr>
                <w:rFonts w:hint="eastAsia"/>
                <w:b w:val="0"/>
                <w:bCs/>
                <w:color w:val="auto"/>
                <w:sz w:val="24"/>
                <w:szCs w:val="24"/>
              </w:rPr>
              <w:t>/a。</w:t>
            </w:r>
          </w:p>
          <w:p w14:paraId="6E24AF86">
            <w:pPr>
              <w:pStyle w:val="127"/>
              <w:spacing w:line="360" w:lineRule="auto"/>
              <w:ind w:firstLine="480" w:firstLineChars="200"/>
              <w:jc w:val="both"/>
              <w:rPr>
                <w:b w:val="0"/>
                <w:bCs/>
                <w:color w:val="auto"/>
                <w:sz w:val="24"/>
                <w:szCs w:val="24"/>
              </w:rPr>
            </w:pPr>
            <w:r>
              <w:rPr>
                <w:rFonts w:hint="eastAsia"/>
                <w:b w:val="0"/>
                <w:bCs/>
                <w:color w:val="auto"/>
                <w:sz w:val="24"/>
                <w:szCs w:val="24"/>
              </w:rPr>
              <w:t>（3）生活用水：生活污水排放系数取0.8，则产生量为211.2m</w:t>
            </w:r>
            <w:r>
              <w:rPr>
                <w:rFonts w:hint="eastAsia"/>
                <w:b w:val="0"/>
                <w:bCs/>
                <w:color w:val="auto"/>
                <w:sz w:val="24"/>
                <w:szCs w:val="24"/>
                <w:vertAlign w:val="superscript"/>
              </w:rPr>
              <w:t>3</w:t>
            </w:r>
            <w:r>
              <w:rPr>
                <w:rFonts w:hint="eastAsia"/>
                <w:b w:val="0"/>
                <w:bCs/>
                <w:color w:val="auto"/>
                <w:sz w:val="24"/>
                <w:szCs w:val="24"/>
              </w:rPr>
              <w:t>/a，经化粪池处理后排入污水管网排入市政污水管网。</w:t>
            </w:r>
          </w:p>
          <w:p w14:paraId="6D504E3A">
            <w:pPr>
              <w:pStyle w:val="127"/>
              <w:spacing w:line="360" w:lineRule="auto"/>
              <w:ind w:firstLine="480" w:firstLineChars="200"/>
              <w:jc w:val="both"/>
              <w:rPr>
                <w:b w:val="0"/>
                <w:bCs/>
                <w:color w:val="auto"/>
                <w:sz w:val="24"/>
                <w:szCs w:val="24"/>
              </w:rPr>
            </w:pPr>
            <w:r>
              <w:rPr>
                <w:rFonts w:hint="eastAsia"/>
                <w:b w:val="0"/>
                <w:bCs/>
                <w:color w:val="auto"/>
                <w:sz w:val="24"/>
                <w:szCs w:val="24"/>
              </w:rPr>
              <w:t>（4）去离子水制备仪的纯水制备率以75%计，则产生浓水44.2 m</w:t>
            </w:r>
            <w:r>
              <w:rPr>
                <w:rFonts w:hint="eastAsia"/>
                <w:b w:val="0"/>
                <w:bCs/>
                <w:color w:val="auto"/>
                <w:sz w:val="24"/>
                <w:szCs w:val="24"/>
                <w:vertAlign w:val="superscript"/>
              </w:rPr>
              <w:t>3</w:t>
            </w:r>
            <w:r>
              <w:rPr>
                <w:rFonts w:hint="eastAsia"/>
                <w:b w:val="0"/>
                <w:bCs/>
                <w:color w:val="auto"/>
                <w:sz w:val="24"/>
                <w:szCs w:val="24"/>
              </w:rPr>
              <w:t>/a，属于清净下水，直接排入污水管网。去离子水132.6m</w:t>
            </w:r>
            <w:r>
              <w:rPr>
                <w:rFonts w:hint="eastAsia"/>
                <w:b w:val="0"/>
                <w:bCs/>
                <w:color w:val="auto"/>
                <w:sz w:val="24"/>
                <w:szCs w:val="24"/>
                <w:vertAlign w:val="superscript"/>
              </w:rPr>
              <w:t>3</w:t>
            </w:r>
            <w:r>
              <w:rPr>
                <w:rFonts w:hint="eastAsia"/>
                <w:b w:val="0"/>
                <w:bCs/>
                <w:color w:val="auto"/>
                <w:sz w:val="24"/>
                <w:szCs w:val="24"/>
              </w:rPr>
              <w:t>/a，其中132m</w:t>
            </w:r>
            <w:r>
              <w:rPr>
                <w:rFonts w:hint="eastAsia"/>
                <w:b w:val="0"/>
                <w:bCs/>
                <w:color w:val="auto"/>
                <w:sz w:val="24"/>
                <w:szCs w:val="24"/>
                <w:vertAlign w:val="superscript"/>
              </w:rPr>
              <w:t>3</w:t>
            </w:r>
            <w:r>
              <w:rPr>
                <w:rFonts w:hint="eastAsia"/>
                <w:b w:val="0"/>
                <w:bCs/>
                <w:color w:val="auto"/>
                <w:sz w:val="24"/>
                <w:szCs w:val="24"/>
              </w:rPr>
              <w:t>/a作为实验器皿清洗用水，产生废水量132m</w:t>
            </w:r>
            <w:r>
              <w:rPr>
                <w:rFonts w:hint="eastAsia"/>
                <w:b w:val="0"/>
                <w:bCs/>
                <w:color w:val="auto"/>
                <w:sz w:val="24"/>
                <w:szCs w:val="24"/>
                <w:vertAlign w:val="superscript"/>
              </w:rPr>
              <w:t>3</w:t>
            </w:r>
            <w:r>
              <w:rPr>
                <w:rFonts w:hint="eastAsia"/>
                <w:b w:val="0"/>
                <w:bCs/>
                <w:color w:val="auto"/>
                <w:sz w:val="24"/>
                <w:szCs w:val="24"/>
              </w:rPr>
              <w:t>/a排入酸碱中和池处理合格后排入市政污水管网；0.6m</w:t>
            </w:r>
            <w:r>
              <w:rPr>
                <w:rFonts w:hint="eastAsia"/>
                <w:b w:val="0"/>
                <w:bCs/>
                <w:color w:val="auto"/>
                <w:sz w:val="24"/>
                <w:szCs w:val="24"/>
                <w:vertAlign w:val="superscript"/>
              </w:rPr>
              <w:t>3</w:t>
            </w:r>
            <w:r>
              <w:rPr>
                <w:rFonts w:hint="eastAsia"/>
                <w:b w:val="0"/>
                <w:bCs/>
                <w:color w:val="auto"/>
                <w:sz w:val="24"/>
                <w:szCs w:val="24"/>
              </w:rPr>
              <w:t>/a用于配置实验溶液，作为危废处理。</w:t>
            </w:r>
          </w:p>
          <w:p w14:paraId="78D08560">
            <w:pPr>
              <w:pStyle w:val="127"/>
              <w:spacing w:line="360" w:lineRule="auto"/>
              <w:rPr>
                <w:b w:val="0"/>
                <w:bCs/>
                <w:color w:val="auto"/>
                <w:sz w:val="24"/>
                <w:szCs w:val="24"/>
              </w:rPr>
            </w:pPr>
            <w:r>
              <w:rPr>
                <w:b w:val="0"/>
                <w:bCs/>
                <w:color w:val="auto"/>
                <w:sz w:val="24"/>
                <w:szCs w:val="24"/>
              </w:rPr>
              <w:drawing>
                <wp:inline distT="0" distB="0" distL="0" distR="0">
                  <wp:extent cx="5125720" cy="2805430"/>
                  <wp:effectExtent l="0" t="0" r="0" b="0"/>
                  <wp:docPr id="6125424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42451"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4533" cy="2810460"/>
                          </a:xfrm>
                          <a:prstGeom prst="rect">
                            <a:avLst/>
                          </a:prstGeom>
                          <a:noFill/>
                        </pic:spPr>
                      </pic:pic>
                    </a:graphicData>
                  </a:graphic>
                </wp:inline>
              </w:drawing>
            </w:r>
          </w:p>
          <w:p w14:paraId="0BCF69EA">
            <w:pPr>
              <w:pStyle w:val="127"/>
              <w:spacing w:line="360" w:lineRule="auto"/>
              <w:rPr>
                <w:color w:val="auto"/>
              </w:rPr>
            </w:pPr>
            <w:r>
              <w:rPr>
                <w:rFonts w:hint="eastAsia"/>
                <w:color w:val="auto"/>
              </w:rPr>
              <w:t>图2-1 水平衡图（m</w:t>
            </w:r>
            <w:r>
              <w:rPr>
                <w:rFonts w:hint="eastAsia"/>
                <w:color w:val="auto"/>
                <w:vertAlign w:val="superscript"/>
              </w:rPr>
              <w:t>3</w:t>
            </w:r>
            <w:r>
              <w:rPr>
                <w:rFonts w:hint="eastAsia"/>
                <w:color w:val="auto"/>
              </w:rPr>
              <w:t>/a）</w:t>
            </w:r>
          </w:p>
          <w:p w14:paraId="45486F99">
            <w:pPr>
              <w:pStyle w:val="127"/>
              <w:spacing w:line="360" w:lineRule="auto"/>
              <w:jc w:val="both"/>
              <w:rPr>
                <w:color w:val="auto"/>
                <w:sz w:val="24"/>
                <w:szCs w:val="24"/>
              </w:rPr>
            </w:pPr>
            <w:r>
              <w:rPr>
                <w:rFonts w:hint="eastAsia"/>
                <w:color w:val="auto"/>
                <w:sz w:val="24"/>
                <w:szCs w:val="24"/>
              </w:rPr>
              <w:t>7、</w:t>
            </w:r>
            <w:r>
              <w:rPr>
                <w:rFonts w:hint="eastAsia"/>
                <w:sz w:val="24"/>
                <w:szCs w:val="24"/>
              </w:rPr>
              <w:t>劳动定员及工作制度</w:t>
            </w:r>
          </w:p>
          <w:p w14:paraId="6923D2A2">
            <w:pPr>
              <w:pStyle w:val="394"/>
              <w:ind w:firstLine="480"/>
            </w:pPr>
            <w:r>
              <w:rPr>
                <w:rFonts w:hint="eastAsia"/>
              </w:rPr>
              <w:t>本项目劳动定员20人，年工作日264天，每日工作8小时。</w:t>
            </w:r>
          </w:p>
          <w:p w14:paraId="25FF505F">
            <w:pPr>
              <w:pStyle w:val="127"/>
              <w:spacing w:line="360" w:lineRule="auto"/>
              <w:jc w:val="both"/>
              <w:rPr>
                <w:color w:val="auto"/>
                <w:sz w:val="24"/>
                <w:szCs w:val="24"/>
              </w:rPr>
            </w:pPr>
            <w:r>
              <w:rPr>
                <w:rFonts w:hint="eastAsia"/>
                <w:color w:val="auto"/>
                <w:sz w:val="24"/>
                <w:szCs w:val="24"/>
              </w:rPr>
              <w:t>8、</w:t>
            </w:r>
            <w:r>
              <w:rPr>
                <w:rFonts w:hint="eastAsia"/>
                <w:sz w:val="24"/>
                <w:szCs w:val="24"/>
              </w:rPr>
              <w:t>厂区平面布置</w:t>
            </w:r>
          </w:p>
          <w:p w14:paraId="732B0E97">
            <w:pPr>
              <w:pStyle w:val="394"/>
              <w:ind w:firstLine="480"/>
              <w:rPr>
                <w:bCs/>
                <w:color w:val="000000"/>
              </w:rPr>
            </w:pPr>
            <w:r>
              <w:rPr>
                <w:rFonts w:hint="eastAsia"/>
                <w:bCs/>
                <w:color w:val="000000"/>
              </w:rPr>
              <w:t>本项目改造面积2888.5m</w:t>
            </w:r>
            <w:r>
              <w:rPr>
                <w:rFonts w:hint="eastAsia"/>
                <w:bCs/>
                <w:color w:val="000000"/>
                <w:vertAlign w:val="superscript"/>
              </w:rPr>
              <w:t>2</w:t>
            </w:r>
            <w:r>
              <w:rPr>
                <w:rFonts w:hint="eastAsia"/>
                <w:bCs/>
                <w:color w:val="000000"/>
              </w:rPr>
              <w:t>，门厅位于平面中心位置，通过门厅东侧的电梯或步梯进入本楼层，设置11个不同使用功能的实验室，并配套建设展示区及公用设施用房，</w:t>
            </w:r>
            <w:r>
              <w:rPr>
                <w:bCs/>
                <w:color w:val="000000"/>
              </w:rPr>
              <w:t>平面布置图见附图</w:t>
            </w:r>
            <w:r>
              <w:rPr>
                <w:rFonts w:hint="eastAsia"/>
                <w:bCs/>
                <w:color w:val="000000"/>
              </w:rPr>
              <w:t>3</w:t>
            </w:r>
            <w:r>
              <w:rPr>
                <w:bCs/>
                <w:color w:val="000000"/>
              </w:rPr>
              <w:t>。</w:t>
            </w:r>
          </w:p>
        </w:tc>
      </w:tr>
      <w:tr w14:paraId="76834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654D5756">
            <w:pPr>
              <w:pStyle w:val="44"/>
              <w:adjustRightInd w:val="0"/>
              <w:snapToGrid w:val="0"/>
              <w:spacing w:before="0" w:beforeAutospacing="0" w:after="0" w:afterAutospacing="0"/>
              <w:jc w:val="center"/>
              <w:rPr>
                <w:rFonts w:hint="eastAsia" w:cs="宋体"/>
                <w:szCs w:val="24"/>
              </w:rPr>
            </w:pPr>
            <w:r>
              <w:rPr>
                <w:rFonts w:hint="eastAsia" w:cs="宋体"/>
                <w:szCs w:val="24"/>
              </w:rPr>
              <w:t xml:space="preserve"> 工艺流程和产排污环节</w:t>
            </w:r>
          </w:p>
        </w:tc>
        <w:tc>
          <w:tcPr>
            <w:tcW w:w="7983" w:type="dxa"/>
          </w:tcPr>
          <w:p w14:paraId="631C5CCD">
            <w:pPr>
              <w:pStyle w:val="77"/>
            </w:pPr>
            <w:r>
              <w:rPr>
                <w:rFonts w:hint="eastAsia"/>
              </w:rPr>
              <w:t>1、工艺流程</w:t>
            </w:r>
          </w:p>
          <w:p w14:paraId="56B79919">
            <w:pPr>
              <w:pStyle w:val="77"/>
              <w:ind w:firstLine="482" w:firstLineChars="200"/>
            </w:pPr>
            <w:r>
              <w:rPr>
                <w:rFonts w:hint="eastAsia"/>
              </w:rPr>
              <w:t>1.1</w:t>
            </w:r>
            <w:bookmarkStart w:id="10" w:name="_Hlk172794219"/>
            <w:r>
              <w:rPr>
                <w:rFonts w:hint="eastAsia"/>
              </w:rPr>
              <w:t>二氧化碳空气源冷热一体化实验</w:t>
            </w:r>
            <w:bookmarkEnd w:id="10"/>
          </w:p>
          <w:p w14:paraId="3AF8A7B5">
            <w:pPr>
              <w:pStyle w:val="76"/>
              <w:ind w:firstLine="482"/>
              <w:rPr>
                <w:b/>
                <w:bCs/>
              </w:rPr>
            </w:pPr>
            <w:r>
              <w:rPr>
                <w:rFonts w:hint="eastAsia"/>
                <w:b/>
                <w:bCs/>
              </w:rPr>
              <w:t>实验流程说明</w:t>
            </w:r>
          </w:p>
          <w:p w14:paraId="704693BB">
            <w:pPr>
              <w:pStyle w:val="76"/>
              <w:ind w:firstLine="480"/>
            </w:pPr>
            <w:r>
              <w:rPr>
                <w:rFonts w:hint="eastAsia"/>
              </w:rPr>
              <w:t>本实验内容是用二氧化碳空气源冷热一体化设备制取55-90℃热水和-5-0℃冷水，实验所需要原辅材料</w:t>
            </w:r>
            <w:r>
              <w:rPr>
                <w:rFonts w:hint="eastAsia"/>
                <w:lang w:eastAsia="zh-CN"/>
              </w:rPr>
              <w:t>为</w:t>
            </w:r>
            <w:r>
              <w:rPr>
                <w:rFonts w:hint="eastAsia"/>
              </w:rPr>
              <w:t>自来水。室外设备放置在大厦南侧停车场东侧地下通道旁附近，室内热水展示设备放置在大厦地下室指定实验区域，中间管线连接，以达到在不同室外环境温度下制取高温热水及检测相应实验数据要求。此实验产生的热水和冷水循环使用，不产生污染物。</w:t>
            </w:r>
          </w:p>
          <w:p w14:paraId="01F18EDF">
            <w:pPr>
              <w:pStyle w:val="76"/>
              <w:ind w:firstLine="0" w:firstLineChars="0"/>
              <w:jc w:val="center"/>
              <w:rPr>
                <w:b/>
                <w:bCs/>
              </w:rPr>
            </w:pPr>
            <w:r>
              <w:rPr>
                <w:b/>
                <w:bCs/>
              </w:rPr>
              <w:drawing>
                <wp:inline distT="0" distB="0" distL="0" distR="0">
                  <wp:extent cx="5087620" cy="671830"/>
                  <wp:effectExtent l="0" t="0" r="0" b="0"/>
                  <wp:docPr id="18371792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9286"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816" cy="677943"/>
                          </a:xfrm>
                          <a:prstGeom prst="rect">
                            <a:avLst/>
                          </a:prstGeom>
                          <a:noFill/>
                        </pic:spPr>
                      </pic:pic>
                    </a:graphicData>
                  </a:graphic>
                </wp:inline>
              </w:drawing>
            </w:r>
          </w:p>
          <w:p w14:paraId="6DF857A2">
            <w:pPr>
              <w:pStyle w:val="76"/>
              <w:ind w:firstLine="0" w:firstLineChars="0"/>
              <w:jc w:val="center"/>
              <w:rPr>
                <w:b/>
                <w:bCs/>
                <w:sz w:val="21"/>
                <w:szCs w:val="21"/>
              </w:rPr>
            </w:pPr>
            <w:r>
              <w:rPr>
                <w:rFonts w:hint="eastAsia"/>
                <w:b/>
                <w:bCs/>
                <w:sz w:val="21"/>
                <w:szCs w:val="21"/>
              </w:rPr>
              <w:t>图2-2二氧化碳空气源冷热一体化实验流程示意图</w:t>
            </w:r>
          </w:p>
          <w:p w14:paraId="4AFC54FD">
            <w:pPr>
              <w:pStyle w:val="76"/>
              <w:ind w:firstLine="482"/>
              <w:rPr>
                <w:b/>
                <w:bCs/>
              </w:rPr>
            </w:pPr>
            <w:r>
              <w:rPr>
                <w:rFonts w:hint="eastAsia"/>
                <w:b/>
                <w:bCs/>
              </w:rPr>
              <w:t>1.2 CCUS中试实验室——CO</w:t>
            </w:r>
            <w:r>
              <w:rPr>
                <w:rFonts w:hint="eastAsia"/>
                <w:b/>
                <w:bCs/>
                <w:vertAlign w:val="subscript"/>
              </w:rPr>
              <w:t>2</w:t>
            </w:r>
            <w:r>
              <w:rPr>
                <w:rFonts w:hint="eastAsia"/>
                <w:b/>
                <w:bCs/>
              </w:rPr>
              <w:t>捕集实验</w:t>
            </w:r>
          </w:p>
          <w:p w14:paraId="6A33591A">
            <w:pPr>
              <w:pStyle w:val="76"/>
              <w:ind w:firstLine="482"/>
              <w:rPr>
                <w:b/>
                <w:bCs/>
              </w:rPr>
            </w:pPr>
            <w:r>
              <w:rPr>
                <w:rFonts w:hint="eastAsia"/>
                <w:b/>
                <w:bCs/>
              </w:rPr>
              <w:t>实验流程说明</w:t>
            </w:r>
          </w:p>
          <w:p w14:paraId="4EEE363A">
            <w:pPr>
              <w:spacing w:line="360" w:lineRule="auto"/>
              <w:ind w:firstLine="480" w:firstLineChars="200"/>
              <w:rPr>
                <w:rFonts w:cs="仿宋" w:eastAsiaTheme="minorEastAsia"/>
                <w:sz w:val="24"/>
              </w:rPr>
            </w:pPr>
            <w:r>
              <w:rPr>
                <w:rFonts w:hint="eastAsia" w:cs="仿宋" w:eastAsiaTheme="minorEastAsia"/>
                <w:sz w:val="24"/>
              </w:rPr>
              <w:t>（1）烟气进入冷却塔降温至约40℃再由下部进入到吸收塔内，吸收塔上部喷淋CO</w:t>
            </w:r>
            <w:r>
              <w:rPr>
                <w:rFonts w:hint="eastAsia" w:cs="仿宋" w:eastAsiaTheme="minorEastAsia"/>
                <w:sz w:val="24"/>
                <w:vertAlign w:val="subscript"/>
              </w:rPr>
              <w:t>2</w:t>
            </w:r>
            <w:r>
              <w:rPr>
                <w:rFonts w:hint="eastAsia" w:cs="仿宋" w:eastAsiaTheme="minorEastAsia"/>
                <w:sz w:val="24"/>
              </w:rPr>
              <w:t>吸收剂（有机胺溶液），烟气中CO</w:t>
            </w:r>
            <w:r>
              <w:rPr>
                <w:rFonts w:hint="eastAsia" w:cs="仿宋" w:eastAsiaTheme="minorEastAsia"/>
                <w:sz w:val="24"/>
                <w:vertAlign w:val="subscript"/>
              </w:rPr>
              <w:t>2</w:t>
            </w:r>
            <w:r>
              <w:rPr>
                <w:rFonts w:hint="eastAsia" w:cs="仿宋" w:eastAsiaTheme="minorEastAsia"/>
                <w:sz w:val="24"/>
              </w:rPr>
              <w:t>与吸收剂接触被吸收。有机胺化学试剂的使用量为5-8kg纯物质/次，年用量约500g，有机胺作为吸收剂不产生污染物，替换后的废有机胺溶液作为危险废物处理。</w:t>
            </w:r>
          </w:p>
          <w:p w14:paraId="23A32B9C">
            <w:pPr>
              <w:spacing w:line="360" w:lineRule="auto"/>
              <w:ind w:firstLine="480" w:firstLineChars="200"/>
              <w:rPr>
                <w:rFonts w:cs="仿宋" w:eastAsiaTheme="minorEastAsia"/>
                <w:sz w:val="24"/>
              </w:rPr>
            </w:pPr>
            <w:r>
              <w:rPr>
                <w:rFonts w:hint="eastAsia" w:cs="仿宋" w:eastAsiaTheme="minorEastAsia"/>
                <w:sz w:val="24"/>
              </w:rPr>
              <w:t>（2）吸收了CO</w:t>
            </w:r>
            <w:r>
              <w:rPr>
                <w:rFonts w:hint="eastAsia" w:cs="仿宋" w:eastAsiaTheme="minorEastAsia"/>
                <w:sz w:val="24"/>
                <w:vertAlign w:val="subscript"/>
              </w:rPr>
              <w:t>2</w:t>
            </w:r>
            <w:r>
              <w:rPr>
                <w:rFonts w:hint="eastAsia" w:cs="仿宋" w:eastAsiaTheme="minorEastAsia"/>
                <w:sz w:val="24"/>
              </w:rPr>
              <w:t>的吸收剂称为富液，富液流经一个换热器预热至约90摄氏度，由上部进入解吸塔内，再沸器产生的蒸汽通入解吸塔内，加热富液，使CO</w:t>
            </w:r>
            <w:r>
              <w:rPr>
                <w:rFonts w:hint="eastAsia" w:cs="仿宋" w:eastAsiaTheme="minorEastAsia"/>
                <w:sz w:val="24"/>
                <w:vertAlign w:val="subscript"/>
              </w:rPr>
              <w:t>2</w:t>
            </w:r>
            <w:r>
              <w:rPr>
                <w:rFonts w:hint="eastAsia" w:cs="仿宋" w:eastAsiaTheme="minorEastAsia"/>
                <w:sz w:val="24"/>
              </w:rPr>
              <w:t>释放出来。</w:t>
            </w:r>
          </w:p>
          <w:p w14:paraId="45CCBFA9">
            <w:pPr>
              <w:spacing w:line="360" w:lineRule="auto"/>
              <w:ind w:firstLine="480" w:firstLineChars="200"/>
              <w:rPr>
                <w:rFonts w:cs="仿宋" w:eastAsiaTheme="minorEastAsia"/>
                <w:sz w:val="24"/>
              </w:rPr>
            </w:pPr>
            <w:r>
              <w:rPr>
                <w:rFonts w:hint="eastAsia" w:cs="仿宋" w:eastAsiaTheme="minorEastAsia"/>
                <w:sz w:val="24"/>
              </w:rPr>
              <w:t>（3）释放出的CO</w:t>
            </w:r>
            <w:r>
              <w:rPr>
                <w:rFonts w:hint="eastAsia" w:cs="仿宋" w:eastAsiaTheme="minorEastAsia"/>
                <w:sz w:val="24"/>
                <w:vertAlign w:val="subscript"/>
              </w:rPr>
              <w:t>2</w:t>
            </w:r>
            <w:r>
              <w:rPr>
                <w:rFonts w:hint="eastAsia" w:cs="仿宋" w:eastAsiaTheme="minorEastAsia"/>
                <w:sz w:val="24"/>
              </w:rPr>
              <w:t>经过冷凝压缩被收集起来，重新进入配置烟气系统，循环利用。</w:t>
            </w:r>
          </w:p>
          <w:p w14:paraId="5AE194E1">
            <w:pPr>
              <w:spacing w:line="360" w:lineRule="auto"/>
              <w:ind w:firstLine="480" w:firstLineChars="200"/>
              <w:rPr>
                <w:rFonts w:cs="仿宋" w:eastAsiaTheme="minorEastAsia"/>
                <w:sz w:val="24"/>
              </w:rPr>
            </w:pPr>
            <w:r>
              <w:rPr>
                <w:rFonts w:hint="eastAsia" w:cs="仿宋" w:eastAsiaTheme="minorEastAsia"/>
                <w:sz w:val="24"/>
              </w:rPr>
              <w:t>（4）释放掉CO</w:t>
            </w:r>
            <w:r>
              <w:rPr>
                <w:rFonts w:hint="eastAsia" w:cs="仿宋" w:eastAsiaTheme="minorEastAsia"/>
                <w:sz w:val="24"/>
                <w:vertAlign w:val="subscript"/>
              </w:rPr>
              <w:t>2</w:t>
            </w:r>
            <w:r>
              <w:rPr>
                <w:rFonts w:hint="eastAsia" w:cs="仿宋" w:eastAsiaTheme="minorEastAsia"/>
                <w:sz w:val="24"/>
              </w:rPr>
              <w:t>的富液成为贫液，贫液由解吸塔底部流出，经过换热器预冷重新喷淋进入吸收塔，形成循环。</w:t>
            </w:r>
          </w:p>
          <w:p w14:paraId="53447387">
            <w:pPr>
              <w:pStyle w:val="76"/>
              <w:ind w:firstLine="0" w:firstLineChars="0"/>
              <w:jc w:val="center"/>
            </w:pPr>
            <w:r>
              <w:drawing>
                <wp:inline distT="0" distB="0" distL="0" distR="0">
                  <wp:extent cx="5210175" cy="2052955"/>
                  <wp:effectExtent l="0" t="0" r="0" b="4445"/>
                  <wp:docPr id="19770920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2038"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23710" cy="2058144"/>
                          </a:xfrm>
                          <a:prstGeom prst="rect">
                            <a:avLst/>
                          </a:prstGeom>
                          <a:noFill/>
                        </pic:spPr>
                      </pic:pic>
                    </a:graphicData>
                  </a:graphic>
                </wp:inline>
              </w:drawing>
            </w:r>
          </w:p>
          <w:p w14:paraId="5292AE14">
            <w:pPr>
              <w:pStyle w:val="76"/>
              <w:ind w:firstLine="0" w:firstLineChars="0"/>
              <w:jc w:val="center"/>
              <w:rPr>
                <w:b/>
                <w:bCs/>
                <w:sz w:val="21"/>
                <w:szCs w:val="21"/>
              </w:rPr>
            </w:pPr>
            <w:r>
              <w:rPr>
                <w:rFonts w:hint="eastAsia"/>
                <w:b/>
                <w:bCs/>
                <w:sz w:val="21"/>
                <w:szCs w:val="21"/>
              </w:rPr>
              <w:t>图2-3 CO</w:t>
            </w:r>
            <w:r>
              <w:rPr>
                <w:rFonts w:hint="eastAsia"/>
                <w:b/>
                <w:bCs/>
                <w:sz w:val="21"/>
                <w:szCs w:val="21"/>
                <w:vertAlign w:val="subscript"/>
              </w:rPr>
              <w:t>2</w:t>
            </w:r>
            <w:r>
              <w:rPr>
                <w:rFonts w:hint="eastAsia"/>
                <w:b/>
                <w:bCs/>
                <w:sz w:val="21"/>
                <w:szCs w:val="21"/>
              </w:rPr>
              <w:t>捕集实验流程示意图</w:t>
            </w:r>
          </w:p>
          <w:p w14:paraId="70E1C4A6">
            <w:pPr>
              <w:pStyle w:val="77"/>
              <w:ind w:firstLine="482" w:firstLineChars="200"/>
            </w:pPr>
            <w:r>
              <w:rPr>
                <w:rFonts w:hint="eastAsia"/>
              </w:rPr>
              <w:t>1.3</w:t>
            </w:r>
            <w:r>
              <w:rPr>
                <w:rFonts w:cs="仿宋" w:eastAsiaTheme="minorEastAsia"/>
                <w:bCs/>
              </w:rPr>
              <w:t xml:space="preserve"> </w:t>
            </w:r>
            <w:r>
              <w:rPr>
                <w:rFonts w:hint="eastAsia" w:cs="仿宋" w:eastAsiaTheme="minorEastAsia"/>
                <w:bCs/>
              </w:rPr>
              <w:t>CCUS中试实验室——</w:t>
            </w:r>
            <w:r>
              <w:rPr>
                <w:rFonts w:cs="仿宋" w:eastAsiaTheme="minorEastAsia"/>
                <w:bCs/>
              </w:rPr>
              <w:t>CO</w:t>
            </w:r>
            <w:r>
              <w:rPr>
                <w:rFonts w:cs="仿宋" w:eastAsiaTheme="minorEastAsia"/>
                <w:bCs/>
                <w:vertAlign w:val="subscript"/>
              </w:rPr>
              <w:t>2</w:t>
            </w:r>
            <w:r>
              <w:rPr>
                <w:rFonts w:hint="eastAsia" w:cs="仿宋" w:eastAsiaTheme="minorEastAsia"/>
                <w:bCs/>
              </w:rPr>
              <w:t>矿化实验</w:t>
            </w:r>
          </w:p>
          <w:p w14:paraId="24EA4D57">
            <w:pPr>
              <w:pStyle w:val="76"/>
              <w:ind w:firstLine="482"/>
              <w:rPr>
                <w:b/>
                <w:bCs/>
              </w:rPr>
            </w:pPr>
            <w:r>
              <w:rPr>
                <w:rFonts w:hint="eastAsia"/>
                <w:b/>
                <w:bCs/>
              </w:rPr>
              <w:t>实验流程说明</w:t>
            </w:r>
          </w:p>
          <w:p w14:paraId="4BA5CDC2">
            <w:pPr>
              <w:pStyle w:val="76"/>
              <w:ind w:firstLine="480"/>
            </w:pPr>
            <w:r>
              <w:rPr>
                <w:rFonts w:hint="eastAsia"/>
              </w:rPr>
              <w:t>（1）从火电厂收集粉煤灰样品，装入浸出反应器中，加入一定浓度的水、氨基酸浸出液搅拌，氨基酸作为催化剂在系统内循环使用。</w:t>
            </w:r>
          </w:p>
          <w:p w14:paraId="32D36C6F">
            <w:pPr>
              <w:pStyle w:val="76"/>
              <w:ind w:firstLine="480"/>
            </w:pPr>
            <w:r>
              <w:rPr>
                <w:rFonts w:hint="eastAsia"/>
              </w:rPr>
              <w:t>（2）混合液泵入沉淀浓缩池，滤液通入CO</w:t>
            </w:r>
            <w:r>
              <w:rPr>
                <w:rFonts w:hint="eastAsia"/>
                <w:vertAlign w:val="subscript"/>
              </w:rPr>
              <w:t>2</w:t>
            </w:r>
            <w:r>
              <w:rPr>
                <w:rFonts w:hint="eastAsia"/>
              </w:rPr>
              <w:t>搅拌反应。反应方程式如下：</w:t>
            </w:r>
          </w:p>
          <w:p w14:paraId="77A656CE">
            <w:pPr>
              <w:pStyle w:val="76"/>
              <w:ind w:firstLine="0" w:firstLineChars="0"/>
              <w:jc w:val="center"/>
            </w:pPr>
            <w:r>
              <w:rPr>
                <w:rFonts w:hint="eastAsia"/>
              </w:rPr>
              <w:t>Ca</w:t>
            </w:r>
            <w:r>
              <w:rPr>
                <w:rFonts w:hint="eastAsia"/>
                <w:vertAlign w:val="superscript"/>
              </w:rPr>
              <w:t>2+</w:t>
            </w:r>
            <w:r>
              <w:rPr>
                <w:rFonts w:hint="eastAsia"/>
              </w:rPr>
              <w:t>+CO</w:t>
            </w:r>
            <w:r>
              <w:rPr>
                <w:rFonts w:hint="eastAsia"/>
                <w:vertAlign w:val="subscript"/>
              </w:rPr>
              <w:t>2</w:t>
            </w:r>
            <w:r>
              <w:rPr>
                <w:rFonts w:hint="eastAsia"/>
              </w:rPr>
              <w:t>+2OH</w:t>
            </w:r>
            <w:r>
              <w:rPr>
                <w:rFonts w:hint="eastAsia"/>
                <w:vertAlign w:val="superscript"/>
              </w:rPr>
              <w:t>-</w:t>
            </w:r>
            <w:r>
              <w:rPr>
                <w:rFonts w:hint="eastAsia"/>
              </w:rPr>
              <w:t>=CaCO</w:t>
            </w:r>
            <w:r>
              <w:rPr>
                <w:rFonts w:hint="eastAsia"/>
                <w:vertAlign w:val="subscript"/>
              </w:rPr>
              <w:t>3</w:t>
            </w:r>
            <w:r>
              <w:rPr>
                <w:rFonts w:hint="eastAsia"/>
              </w:rPr>
              <w:t>↓+H</w:t>
            </w:r>
            <w:r>
              <w:rPr>
                <w:rFonts w:hint="eastAsia"/>
                <w:vertAlign w:val="subscript"/>
              </w:rPr>
              <w:t>2</w:t>
            </w:r>
            <w:r>
              <w:rPr>
                <w:rFonts w:hint="eastAsia"/>
              </w:rPr>
              <w:t>O</w:t>
            </w:r>
          </w:p>
          <w:p w14:paraId="73F3B9CF">
            <w:pPr>
              <w:pStyle w:val="76"/>
              <w:ind w:firstLine="480"/>
            </w:pPr>
            <w:r>
              <w:rPr>
                <w:rFonts w:hint="eastAsia"/>
              </w:rPr>
              <w:t>（3）反应后得到碳酸钙粗品，使用烘干箱干燥，手动研磨，得到纳米碳酸钙制品保存在实验室，产生的水回用。此实验不产生污染物。</w:t>
            </w:r>
          </w:p>
          <w:p w14:paraId="2041FDBB">
            <w:pPr>
              <w:pStyle w:val="76"/>
              <w:ind w:firstLine="0" w:firstLineChars="0"/>
              <w:jc w:val="center"/>
              <w:rPr>
                <w:b/>
                <w:bCs/>
              </w:rPr>
            </w:pPr>
            <w:r>
              <w:rPr>
                <w:b/>
                <w:bCs/>
              </w:rPr>
              <w:drawing>
                <wp:inline distT="0" distB="0" distL="0" distR="0">
                  <wp:extent cx="1958975" cy="2750820"/>
                  <wp:effectExtent l="0" t="0" r="3175" b="0"/>
                  <wp:docPr id="1680086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8679"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68935" cy="2764323"/>
                          </a:xfrm>
                          <a:prstGeom prst="rect">
                            <a:avLst/>
                          </a:prstGeom>
                          <a:noFill/>
                        </pic:spPr>
                      </pic:pic>
                    </a:graphicData>
                  </a:graphic>
                </wp:inline>
              </w:drawing>
            </w:r>
          </w:p>
          <w:p w14:paraId="1EAFB84A">
            <w:pPr>
              <w:pStyle w:val="76"/>
              <w:ind w:firstLine="0" w:firstLineChars="0"/>
              <w:jc w:val="center"/>
              <w:rPr>
                <w:b/>
                <w:bCs/>
                <w:sz w:val="21"/>
                <w:szCs w:val="21"/>
              </w:rPr>
            </w:pPr>
            <w:r>
              <w:rPr>
                <w:rFonts w:hint="eastAsia"/>
                <w:b/>
                <w:bCs/>
                <w:sz w:val="21"/>
                <w:szCs w:val="21"/>
              </w:rPr>
              <w:t>图2-4</w:t>
            </w:r>
            <w:r>
              <w:rPr>
                <w:rFonts w:cs="仿宋" w:eastAsiaTheme="minorEastAsia"/>
                <w:b/>
                <w:bCs/>
              </w:rPr>
              <w:t xml:space="preserve"> CO</w:t>
            </w:r>
            <w:r>
              <w:rPr>
                <w:rFonts w:cs="仿宋" w:eastAsiaTheme="minorEastAsia"/>
                <w:b/>
                <w:bCs/>
                <w:vertAlign w:val="subscript"/>
              </w:rPr>
              <w:t>2</w:t>
            </w:r>
            <w:r>
              <w:rPr>
                <w:rFonts w:hint="eastAsia" w:cs="仿宋" w:eastAsiaTheme="minorEastAsia"/>
                <w:b/>
                <w:bCs/>
              </w:rPr>
              <w:t>矿化实验</w:t>
            </w:r>
            <w:r>
              <w:rPr>
                <w:rFonts w:hint="eastAsia"/>
                <w:b/>
                <w:bCs/>
                <w:sz w:val="21"/>
                <w:szCs w:val="21"/>
              </w:rPr>
              <w:t>流程示意图</w:t>
            </w:r>
          </w:p>
          <w:p w14:paraId="623CBCE4">
            <w:pPr>
              <w:pStyle w:val="77"/>
              <w:ind w:firstLine="482" w:firstLineChars="200"/>
            </w:pPr>
            <w:r>
              <w:rPr>
                <w:rFonts w:hint="eastAsia"/>
              </w:rPr>
              <w:t>1.4 CCUS CO</w:t>
            </w:r>
            <w:r>
              <w:rPr>
                <w:rFonts w:hint="eastAsia"/>
                <w:vertAlign w:val="subscript"/>
              </w:rPr>
              <w:t>2</w:t>
            </w:r>
            <w:r>
              <w:rPr>
                <w:rFonts w:hint="eastAsia"/>
              </w:rPr>
              <w:t>地址利用与封存实验室——</w:t>
            </w:r>
            <w:r>
              <w:rPr>
                <w:rFonts w:hint="eastAsia" w:cs="仿宋" w:eastAsiaTheme="minorEastAsia"/>
                <w:bCs/>
              </w:rPr>
              <w:t>CO</w:t>
            </w:r>
            <w:r>
              <w:rPr>
                <w:rFonts w:hint="eastAsia" w:cs="仿宋" w:eastAsiaTheme="minorEastAsia"/>
                <w:bCs/>
                <w:vertAlign w:val="subscript"/>
              </w:rPr>
              <w:t>2</w:t>
            </w:r>
            <w:r>
              <w:rPr>
                <w:rFonts w:hint="eastAsia" w:cs="仿宋" w:eastAsiaTheme="minorEastAsia"/>
                <w:bCs/>
              </w:rPr>
              <w:t>驱替实验</w:t>
            </w:r>
          </w:p>
          <w:p w14:paraId="1D28E605">
            <w:pPr>
              <w:pStyle w:val="76"/>
              <w:ind w:firstLine="482"/>
              <w:rPr>
                <w:b/>
                <w:bCs/>
              </w:rPr>
            </w:pPr>
            <w:r>
              <w:rPr>
                <w:rFonts w:hint="eastAsia"/>
                <w:b/>
                <w:bCs/>
              </w:rPr>
              <w:t>实验流程说明</w:t>
            </w:r>
          </w:p>
          <w:p w14:paraId="450D16F2">
            <w:pPr>
              <w:pStyle w:val="76"/>
              <w:ind w:firstLine="480"/>
            </w:pPr>
            <w:r>
              <w:rPr>
                <w:rFonts w:hint="eastAsia"/>
              </w:rPr>
              <w:t>（1）将岩心样品烘干，装入岩心驱替系统中，抽真空24h，饱和模拟盐水，采用模拟天然气驱替岩心中的盐水，建立束缚水，最终建立原始气藏状态，压力为35 MPa，岩心中束缚水饱和度为37.3%。</w:t>
            </w:r>
          </w:p>
          <w:p w14:paraId="2236268B">
            <w:pPr>
              <w:pStyle w:val="76"/>
              <w:ind w:firstLine="480"/>
            </w:pPr>
            <w:r>
              <w:rPr>
                <w:rFonts w:hint="eastAsia"/>
              </w:rPr>
              <w:t>（2）进行降压衰竭实验，相同降压间隔，最终压力降至8MPa，记录出口端各级降压开采获得的天然气量，计算衰竭开采的最终采收率。</w:t>
            </w:r>
          </w:p>
          <w:p w14:paraId="12717A2A">
            <w:pPr>
              <w:pStyle w:val="77"/>
              <w:ind w:firstLine="480" w:firstLineChars="200"/>
              <w:rPr>
                <w:b w:val="0"/>
                <w:bCs/>
              </w:rPr>
            </w:pPr>
            <w:r>
              <w:rPr>
                <w:rFonts w:hint="eastAsia"/>
                <w:b w:val="0"/>
                <w:bCs/>
              </w:rPr>
              <w:t>（3）采用CO</w:t>
            </w:r>
            <w:r>
              <w:rPr>
                <w:rFonts w:hint="eastAsia"/>
                <w:b w:val="0"/>
                <w:bCs/>
                <w:vertAlign w:val="subscript"/>
              </w:rPr>
              <w:t>2</w:t>
            </w:r>
            <w:r>
              <w:rPr>
                <w:rFonts w:hint="eastAsia"/>
                <w:b w:val="0"/>
                <w:bCs/>
              </w:rPr>
              <w:t>驱替天然气，注入端压力为11 MPa，出口端回压为8 MPa，驱替压差为3MPa。实时记录出口端的天然气和CO</w:t>
            </w:r>
            <w:r>
              <w:rPr>
                <w:rFonts w:hint="eastAsia"/>
                <w:b w:val="0"/>
                <w:bCs/>
                <w:vertAlign w:val="subscript"/>
              </w:rPr>
              <w:t>2</w:t>
            </w:r>
            <w:r>
              <w:rPr>
                <w:rFonts w:hint="eastAsia"/>
                <w:b w:val="0"/>
                <w:bCs/>
              </w:rPr>
              <w:t>产气量，直至</w:t>
            </w:r>
            <w:r>
              <w:rPr>
                <w:rFonts w:hint="eastAsia"/>
                <w:b w:val="0"/>
                <w:bCs/>
                <w:lang w:eastAsia="zh-CN"/>
              </w:rPr>
              <w:t>注入</w:t>
            </w:r>
            <w:r>
              <w:rPr>
                <w:rFonts w:hint="eastAsia"/>
                <w:b w:val="0"/>
                <w:bCs/>
              </w:rPr>
              <w:t>量大于1PV为止，计算CO</w:t>
            </w:r>
            <w:r>
              <w:rPr>
                <w:rFonts w:hint="eastAsia"/>
                <w:b w:val="0"/>
                <w:bCs/>
                <w:vertAlign w:val="subscript"/>
              </w:rPr>
              <w:t>2</w:t>
            </w:r>
            <w:r>
              <w:rPr>
                <w:rFonts w:hint="eastAsia"/>
                <w:b w:val="0"/>
                <w:bCs/>
              </w:rPr>
              <w:t>驱天然气的驱替效率。此步骤会残留少量二氧化碳和甲烷气体。</w:t>
            </w:r>
          </w:p>
          <w:p w14:paraId="4F27619A">
            <w:pPr>
              <w:pStyle w:val="76"/>
              <w:ind w:firstLine="0" w:firstLineChars="0"/>
              <w:jc w:val="center"/>
              <w:rPr>
                <w:b/>
                <w:bCs/>
              </w:rPr>
            </w:pPr>
            <w:r>
              <w:rPr>
                <w:b/>
                <w:bCs/>
              </w:rPr>
              <w:drawing>
                <wp:inline distT="0" distB="0" distL="0" distR="0">
                  <wp:extent cx="5166360" cy="819785"/>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92008" cy="824050"/>
                          </a:xfrm>
                          <a:prstGeom prst="rect">
                            <a:avLst/>
                          </a:prstGeom>
                          <a:noFill/>
                        </pic:spPr>
                      </pic:pic>
                    </a:graphicData>
                  </a:graphic>
                </wp:inline>
              </w:drawing>
            </w:r>
          </w:p>
          <w:p w14:paraId="34D82491">
            <w:pPr>
              <w:pStyle w:val="76"/>
              <w:ind w:firstLine="0" w:firstLineChars="0"/>
              <w:jc w:val="center"/>
              <w:rPr>
                <w:b/>
                <w:bCs/>
                <w:sz w:val="21"/>
                <w:szCs w:val="21"/>
              </w:rPr>
            </w:pPr>
            <w:r>
              <w:rPr>
                <w:rFonts w:hint="eastAsia"/>
                <w:b/>
                <w:bCs/>
                <w:sz w:val="21"/>
                <w:szCs w:val="21"/>
              </w:rPr>
              <w:t>图2-5 CO</w:t>
            </w:r>
            <w:r>
              <w:rPr>
                <w:rFonts w:hint="eastAsia"/>
                <w:b/>
                <w:bCs/>
                <w:sz w:val="21"/>
                <w:szCs w:val="21"/>
                <w:vertAlign w:val="subscript"/>
              </w:rPr>
              <w:t>2</w:t>
            </w:r>
            <w:r>
              <w:rPr>
                <w:rFonts w:hint="eastAsia"/>
                <w:b/>
                <w:bCs/>
                <w:sz w:val="21"/>
                <w:szCs w:val="21"/>
              </w:rPr>
              <w:t>驱替实验流程示意图</w:t>
            </w:r>
          </w:p>
          <w:p w14:paraId="2D5D92DB">
            <w:pPr>
              <w:pStyle w:val="77"/>
              <w:ind w:firstLine="482" w:firstLineChars="200"/>
            </w:pPr>
            <w:r>
              <w:rPr>
                <w:rFonts w:hint="eastAsia"/>
              </w:rPr>
              <w:t>1.5氢气、氦气测试分析实验</w:t>
            </w:r>
          </w:p>
          <w:p w14:paraId="37129D0F">
            <w:pPr>
              <w:pStyle w:val="76"/>
              <w:ind w:firstLine="482"/>
              <w:rPr>
                <w:b/>
                <w:bCs/>
              </w:rPr>
            </w:pPr>
            <w:r>
              <w:rPr>
                <w:rFonts w:hint="eastAsia"/>
                <w:b/>
                <w:bCs/>
              </w:rPr>
              <w:t>实验流程说明</w:t>
            </w:r>
          </w:p>
          <w:p w14:paraId="6020189F">
            <w:pPr>
              <w:pStyle w:val="76"/>
              <w:ind w:firstLine="480"/>
            </w:pPr>
            <w:r>
              <w:rPr>
                <w:rFonts w:hint="eastAsia" w:ascii="宋体" w:hAnsi="宋体" w:cs="宋体"/>
              </w:rPr>
              <w:t>本实验通过先进的气相色谱仪可以对野外采集的气体样品进行气体组分的精确测定，具体包括</w:t>
            </w:r>
            <w:r>
              <w:rPr>
                <w:rFonts w:ascii="宋体" w:hAnsi="宋体" w:cs="宋体"/>
              </w:rPr>
              <w:t>气体中甲烷、</w:t>
            </w:r>
            <w:r>
              <w:rPr>
                <w:rFonts w:hint="eastAsia" w:ascii="宋体" w:hAnsi="宋体" w:cs="宋体"/>
              </w:rPr>
              <w:t>氦气、氢气</w:t>
            </w:r>
            <w:r>
              <w:rPr>
                <w:rFonts w:ascii="宋体" w:hAnsi="宋体" w:cs="宋体"/>
              </w:rPr>
              <w:t>和二氧化碳</w:t>
            </w:r>
            <w:r>
              <w:rPr>
                <w:rFonts w:hint="eastAsia" w:ascii="宋体" w:hAnsi="宋体" w:cs="宋体"/>
              </w:rPr>
              <w:t>等组分</w:t>
            </w:r>
            <w:r>
              <w:rPr>
                <w:rFonts w:ascii="宋体" w:hAnsi="宋体" w:cs="宋体"/>
              </w:rPr>
              <w:t>浓度</w:t>
            </w:r>
            <w:r>
              <w:rPr>
                <w:rFonts w:hint="eastAsia" w:ascii="宋体" w:hAnsi="宋体" w:cs="宋体"/>
              </w:rPr>
              <w:t>的</w:t>
            </w:r>
            <w:r>
              <w:rPr>
                <w:rFonts w:ascii="宋体" w:hAnsi="宋体" w:cs="宋体"/>
              </w:rPr>
              <w:t>测定</w:t>
            </w:r>
            <w:r>
              <w:rPr>
                <w:rFonts w:hint="eastAsia" w:ascii="宋体" w:hAnsi="宋体" w:cs="宋体"/>
              </w:rPr>
              <w:t>。单次实验所需气体样品</w:t>
            </w:r>
            <w:r>
              <w:t>200ml以</w:t>
            </w:r>
            <w:r>
              <w:rPr>
                <w:rFonts w:hint="eastAsia" w:ascii="宋体" w:hAnsi="宋体" w:cs="宋体"/>
              </w:rPr>
              <w:t>内，</w:t>
            </w:r>
            <w:r>
              <w:rPr>
                <w:rFonts w:hint="eastAsia"/>
              </w:rPr>
              <w:t>钢瓶贮存会有极少量二氧化碳和甲烷</w:t>
            </w:r>
            <w:r>
              <w:rPr>
                <w:rFonts w:hint="eastAsia"/>
                <w:lang w:eastAsia="zh-CN"/>
              </w:rPr>
              <w:t>气体逸出</w:t>
            </w:r>
            <w:r>
              <w:rPr>
                <w:rFonts w:hint="eastAsia"/>
              </w:rPr>
              <w:t>。</w:t>
            </w:r>
          </w:p>
          <w:p w14:paraId="79D7B159">
            <w:pPr>
              <w:pStyle w:val="76"/>
              <w:ind w:firstLine="0" w:firstLineChars="0"/>
              <w:jc w:val="center"/>
              <w:rPr>
                <w:b/>
                <w:bCs/>
              </w:rPr>
            </w:pPr>
            <w:r>
              <w:rPr>
                <w:b/>
                <w:bCs/>
              </w:rPr>
              <w:drawing>
                <wp:inline distT="0" distB="0" distL="0" distR="0">
                  <wp:extent cx="5024120" cy="1494790"/>
                  <wp:effectExtent l="0" t="0" r="5080" b="0"/>
                  <wp:docPr id="13722716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7169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54973" cy="1504019"/>
                          </a:xfrm>
                          <a:prstGeom prst="rect">
                            <a:avLst/>
                          </a:prstGeom>
                          <a:noFill/>
                        </pic:spPr>
                      </pic:pic>
                    </a:graphicData>
                  </a:graphic>
                </wp:inline>
              </w:drawing>
            </w:r>
          </w:p>
          <w:p w14:paraId="62BBA2B5">
            <w:pPr>
              <w:pStyle w:val="76"/>
              <w:ind w:firstLine="0" w:firstLineChars="0"/>
              <w:jc w:val="center"/>
              <w:rPr>
                <w:b/>
                <w:bCs/>
                <w:sz w:val="21"/>
                <w:szCs w:val="21"/>
              </w:rPr>
            </w:pPr>
            <w:r>
              <w:rPr>
                <w:rFonts w:hint="eastAsia"/>
                <w:b/>
                <w:bCs/>
                <w:sz w:val="21"/>
                <w:szCs w:val="21"/>
              </w:rPr>
              <w:t>图2-6气体组分测试实验流程示意图</w:t>
            </w:r>
          </w:p>
          <w:p w14:paraId="56C5BA39">
            <w:pPr>
              <w:pStyle w:val="77"/>
              <w:ind w:firstLine="482" w:firstLineChars="200"/>
            </w:pPr>
            <w:r>
              <w:rPr>
                <w:rFonts w:hint="eastAsia"/>
              </w:rPr>
              <w:t>1.6 储能关键金属实验室--ICP测试样品的预处理和质谱分析</w:t>
            </w:r>
          </w:p>
          <w:p w14:paraId="7A8600A8">
            <w:pPr>
              <w:pStyle w:val="76"/>
              <w:ind w:firstLine="482"/>
              <w:rPr>
                <w:b/>
                <w:bCs/>
              </w:rPr>
            </w:pPr>
            <w:r>
              <w:rPr>
                <w:rFonts w:hint="eastAsia"/>
                <w:b/>
                <w:bCs/>
              </w:rPr>
              <w:t>实验流程说明</w:t>
            </w:r>
          </w:p>
          <w:p w14:paraId="01D43914">
            <w:pPr>
              <w:pStyle w:val="76"/>
              <w:ind w:firstLine="480"/>
            </w:pPr>
            <w:r>
              <w:rPr>
                <w:rFonts w:hint="eastAsia"/>
              </w:rPr>
              <w:t>（1）样品处理</w:t>
            </w:r>
          </w:p>
          <w:p w14:paraId="459E541C">
            <w:pPr>
              <w:pStyle w:val="76"/>
              <w:ind w:firstLine="480"/>
            </w:pPr>
            <w:r>
              <w:rPr>
                <w:rFonts w:hint="eastAsia"/>
              </w:rPr>
              <w:t>1）将矸石研磨成粉末，并通过200目筛网，以确保样品的细度；然后将样品放入样品瓶中，加入适量稀释剂（如硝酸或氢氧化钠溶液），搅拌均匀，待测。单次实验所需母液在1000ppm以内，矸石样品储存量根据实际需求。</w:t>
            </w:r>
          </w:p>
          <w:p w14:paraId="660D9794">
            <w:pPr>
              <w:pStyle w:val="76"/>
              <w:ind w:firstLine="480"/>
            </w:pPr>
            <w:r>
              <w:rPr>
                <w:rFonts w:hint="eastAsia"/>
              </w:rPr>
              <w:t>2）冷却后用去离子水定容。去离子水由去离子水设备仪制得，会产生W1浓水，设备需要定期更换S2废离子交换树脂、废反渗透膜。</w:t>
            </w:r>
          </w:p>
          <w:p w14:paraId="327CFEB4">
            <w:pPr>
              <w:pStyle w:val="76"/>
              <w:ind w:firstLine="480"/>
            </w:pPr>
            <w:r>
              <w:rPr>
                <w:rFonts w:hint="eastAsia"/>
              </w:rPr>
              <w:t>（2）仪器操作</w:t>
            </w:r>
          </w:p>
          <w:p w14:paraId="0044157D">
            <w:pPr>
              <w:pStyle w:val="76"/>
              <w:ind w:firstLine="480"/>
            </w:pPr>
            <w:r>
              <w:rPr>
                <w:rFonts w:hint="eastAsia"/>
              </w:rPr>
              <w:t>打开ICP-MS主机和计算机，启动控制软件，将处理好的样品放入自动进样器或手动进样器，设置参数，等离子体点火，调节离子，质谱分析。</w:t>
            </w:r>
          </w:p>
          <w:p w14:paraId="4EF90492">
            <w:pPr>
              <w:pStyle w:val="76"/>
              <w:ind w:firstLine="480"/>
            </w:pPr>
            <w:r>
              <w:rPr>
                <w:rFonts w:hint="eastAsia"/>
              </w:rPr>
              <w:t>（3）数据采集</w:t>
            </w:r>
          </w:p>
          <w:p w14:paraId="42313CAB">
            <w:pPr>
              <w:pStyle w:val="76"/>
              <w:ind w:firstLine="480"/>
            </w:pPr>
            <w:r>
              <w:rPr>
                <w:rFonts w:hint="eastAsia"/>
              </w:rPr>
              <w:t>将质谱仪检测到的离子信号传输至计算机，通过相关软件进行数据采集、处理和存储。</w:t>
            </w:r>
          </w:p>
          <w:p w14:paraId="75F135FF">
            <w:pPr>
              <w:pStyle w:val="76"/>
              <w:ind w:firstLine="480"/>
            </w:pPr>
            <w:r>
              <w:rPr>
                <w:rFonts w:hint="eastAsia"/>
              </w:rPr>
              <w:t>（4）关闭仪器</w:t>
            </w:r>
          </w:p>
          <w:p w14:paraId="41B17B96">
            <w:pPr>
              <w:pStyle w:val="76"/>
              <w:ind w:firstLine="480"/>
            </w:pPr>
            <w:r>
              <w:rPr>
                <w:rFonts w:hint="eastAsia"/>
              </w:rPr>
              <w:t>此实验会产生S3实验废液。</w:t>
            </w:r>
          </w:p>
          <w:p w14:paraId="50DEFE63">
            <w:pPr>
              <w:pStyle w:val="76"/>
              <w:ind w:firstLine="0" w:firstLineChars="0"/>
              <w:jc w:val="center"/>
              <w:rPr>
                <w:b/>
                <w:bCs/>
              </w:rPr>
            </w:pPr>
            <w:r>
              <w:rPr>
                <w:b/>
                <w:bCs/>
              </w:rPr>
              <w:drawing>
                <wp:inline distT="0" distB="0" distL="0" distR="0">
                  <wp:extent cx="5158105" cy="3362325"/>
                  <wp:effectExtent l="0" t="0" r="0" b="0"/>
                  <wp:docPr id="1624942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4231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74190" cy="3372504"/>
                          </a:xfrm>
                          <a:prstGeom prst="rect">
                            <a:avLst/>
                          </a:prstGeom>
                          <a:noFill/>
                        </pic:spPr>
                      </pic:pic>
                    </a:graphicData>
                  </a:graphic>
                </wp:inline>
              </w:drawing>
            </w:r>
          </w:p>
          <w:p w14:paraId="41BEFB91">
            <w:pPr>
              <w:pStyle w:val="76"/>
              <w:ind w:firstLine="0" w:firstLineChars="0"/>
              <w:jc w:val="center"/>
              <w:rPr>
                <w:b/>
                <w:bCs/>
                <w:sz w:val="21"/>
                <w:szCs w:val="21"/>
              </w:rPr>
            </w:pPr>
            <w:r>
              <w:rPr>
                <w:rFonts w:hint="eastAsia"/>
                <w:b/>
                <w:bCs/>
                <w:sz w:val="21"/>
                <w:szCs w:val="21"/>
              </w:rPr>
              <w:t>图2-7 ICP测试样品预处理实验流程示意图</w:t>
            </w:r>
          </w:p>
          <w:p w14:paraId="5DF62485">
            <w:pPr>
              <w:pStyle w:val="77"/>
              <w:ind w:firstLine="482" w:firstLineChars="200"/>
            </w:pPr>
            <w:r>
              <w:rPr>
                <w:rFonts w:hint="eastAsia"/>
              </w:rPr>
              <w:t>1.</w:t>
            </w:r>
            <w:bookmarkStart w:id="11" w:name="_Hlk172794536"/>
            <w:r>
              <w:rPr>
                <w:rFonts w:hint="eastAsia"/>
              </w:rPr>
              <w:t>7岩石力学实验室</w:t>
            </w:r>
            <w:bookmarkEnd w:id="11"/>
          </w:p>
          <w:p w14:paraId="7E1DC05C">
            <w:pPr>
              <w:pStyle w:val="76"/>
              <w:ind w:firstLine="482"/>
              <w:rPr>
                <w:b/>
              </w:rPr>
            </w:pPr>
            <w:r>
              <w:rPr>
                <w:rFonts w:hint="eastAsia"/>
                <w:b/>
              </w:rPr>
              <w:t>1.7.1三轴压应力实验</w:t>
            </w:r>
          </w:p>
          <w:p w14:paraId="14F4D1B9">
            <w:pPr>
              <w:pStyle w:val="76"/>
              <w:ind w:firstLine="482"/>
              <w:rPr>
                <w:b/>
                <w:bCs/>
              </w:rPr>
            </w:pPr>
            <w:r>
              <w:rPr>
                <w:rFonts w:hint="eastAsia"/>
                <w:b/>
                <w:bCs/>
              </w:rPr>
              <w:t>实验流程说明</w:t>
            </w:r>
          </w:p>
          <w:p w14:paraId="0F1E66F3">
            <w:pPr>
              <w:spacing w:line="360" w:lineRule="auto"/>
              <w:ind w:firstLine="480" w:firstLineChars="200"/>
              <w:rPr>
                <w:rFonts w:hint="eastAsia" w:ascii="宋体" w:hAnsi="宋体" w:cs="宋体"/>
                <w:sz w:val="24"/>
              </w:rPr>
            </w:pPr>
            <w:r>
              <w:rPr>
                <w:rFonts w:hint="eastAsia" w:ascii="宋体" w:hAnsi="宋体" w:cs="宋体"/>
                <w:sz w:val="24"/>
              </w:rPr>
              <w:t>（1）切取土样：先用钢丝锯或切土刀切取稍大于规定尺寸的土柱，放在切土架上，用</w:t>
            </w:r>
            <w:r>
              <w:fldChar w:fldCharType="begin"/>
            </w:r>
            <w:r>
              <w:instrText xml:space="preserve"> HYPERLINK "https://baike.baidu.com/item/%E9%92%A2%E4%B8%9D%E9%94%AF/0?fromModule=lemma_inlink" \t "https://baike.baidu.com/item/%E4%B8%89%E8%BD%B4%E5%8E%8B%E7%BC%A9%E8%AF%95%E9%AA%8C/_blank" </w:instrText>
            </w:r>
            <w:r>
              <w:fldChar w:fldCharType="separate"/>
            </w:r>
            <w:r>
              <w:rPr>
                <w:rFonts w:hint="eastAsia" w:ascii="宋体" w:hAnsi="宋体" w:cs="宋体"/>
                <w:sz w:val="24"/>
              </w:rPr>
              <w:t>钢丝锯</w:t>
            </w:r>
            <w:r>
              <w:rPr>
                <w:rFonts w:hint="eastAsia" w:ascii="宋体" w:hAnsi="宋体" w:cs="宋体"/>
                <w:sz w:val="24"/>
              </w:rPr>
              <w:fldChar w:fldCharType="end"/>
            </w:r>
            <w:r>
              <w:rPr>
                <w:rFonts w:hint="eastAsia" w:ascii="宋体" w:hAnsi="宋体" w:cs="宋体"/>
                <w:sz w:val="24"/>
              </w:rPr>
              <w:t>或切土刀紧靠侧板，由上往下细心</w:t>
            </w:r>
            <w:r>
              <w:rPr>
                <w:rFonts w:hint="eastAsia" w:ascii="宋体" w:hAnsi="宋体" w:cs="宋体"/>
                <w:sz w:val="24"/>
                <w:lang w:eastAsia="zh-CN"/>
              </w:rPr>
              <w:t>切削</w:t>
            </w:r>
            <w:r>
              <w:rPr>
                <w:rFonts w:hint="eastAsia" w:ascii="宋体" w:hAnsi="宋体" w:cs="宋体"/>
                <w:sz w:val="24"/>
              </w:rPr>
              <w:t>，边切削边转动圆盘，按规定的高度将两端削平、称量，并取余土测定试样的含水率。单次实验矸</w:t>
            </w:r>
            <w:r>
              <w:rPr>
                <w:rFonts w:ascii="宋体" w:hAnsi="宋体" w:cs="宋体"/>
                <w:sz w:val="24"/>
              </w:rPr>
              <w:t>石用量50g</w:t>
            </w:r>
            <w:r>
              <w:rPr>
                <w:rFonts w:hint="eastAsia" w:ascii="宋体" w:hAnsi="宋体" w:cs="宋体"/>
                <w:sz w:val="24"/>
              </w:rPr>
              <w:t>。</w:t>
            </w:r>
          </w:p>
          <w:p w14:paraId="1C60295C">
            <w:pPr>
              <w:spacing w:line="360" w:lineRule="auto"/>
              <w:ind w:firstLine="480" w:firstLineChars="200"/>
              <w:rPr>
                <w:sz w:val="24"/>
              </w:rPr>
            </w:pPr>
            <w:r>
              <w:rPr>
                <w:rFonts w:hint="eastAsia" w:ascii="宋体" w:hAnsi="宋体" w:cs="宋体"/>
                <w:sz w:val="24"/>
              </w:rPr>
              <w:t>（2）试样饱和：试样有抽气饱和、水头饱和及反压力饱和三种方法，最常用的是抽气饱和，即将试样装入饱和器内，放入真空缸内，与</w:t>
            </w:r>
            <w:r>
              <w:fldChar w:fldCharType="begin"/>
            </w:r>
            <w:r>
              <w:instrText xml:space="preserve"> HYPERLINK "https://baike.baidu.com/item/%E6%8A%BD%E6%B0%94%E6%9C%BA/0?fromModule=lemma_inlink" \t "https://baike.baidu.com/item/%E4%B8%89%E8%BD%B4%E5%8E%8B%E7%BC%A9%E8%AF%95%E9%AA%8C/_blank" </w:instrText>
            </w:r>
            <w:r>
              <w:fldChar w:fldCharType="separate"/>
            </w:r>
            <w:r>
              <w:rPr>
                <w:rFonts w:hint="eastAsia" w:ascii="宋体" w:hAnsi="宋体" w:cs="宋体"/>
                <w:sz w:val="24"/>
              </w:rPr>
              <w:t>抽气机</w:t>
            </w:r>
            <w:r>
              <w:rPr>
                <w:rFonts w:hint="eastAsia" w:ascii="宋体" w:hAnsi="宋体" w:cs="宋体"/>
                <w:sz w:val="24"/>
              </w:rPr>
              <w:fldChar w:fldCharType="end"/>
            </w:r>
            <w:r>
              <w:rPr>
                <w:rFonts w:hint="eastAsia" w:ascii="宋体" w:hAnsi="宋体" w:cs="宋体"/>
                <w:sz w:val="24"/>
              </w:rPr>
              <w:t>接通，开动抽气机，连续真空</w:t>
            </w:r>
            <w:r>
              <w:rPr>
                <w:sz w:val="24"/>
              </w:rPr>
              <w:t>抽气2～4h，然后停止抽气，静置12h左右即可。</w:t>
            </w:r>
          </w:p>
          <w:p w14:paraId="301F60ED">
            <w:pPr>
              <w:spacing w:line="360" w:lineRule="auto"/>
              <w:ind w:firstLine="480" w:firstLineChars="200"/>
              <w:rPr>
                <w:sz w:val="24"/>
              </w:rPr>
            </w:pPr>
            <w:r>
              <w:rPr>
                <w:sz w:val="24"/>
              </w:rPr>
              <w:t>（3）试样安装：将压力室底座的透水石与管路系统以及孔隙水测定装置充水并放上一张</w:t>
            </w:r>
            <w:r>
              <w:fldChar w:fldCharType="begin"/>
            </w:r>
            <w:r>
              <w:instrText xml:space="preserve"> HYPERLINK "https://baike.baidu.com/item/%E6%BB%A4%E7%BA%B8/0?fromModule=lemma_inlink" \t "https://baike.baidu.com/item/%E4%B8%89%E8%BD%B4%E5%8E%8B%E7%BC%A9%E8%AF%95%E9%AA%8C/_blank" </w:instrText>
            </w:r>
            <w:r>
              <w:fldChar w:fldCharType="separate"/>
            </w:r>
            <w:r>
              <w:rPr>
                <w:sz w:val="24"/>
              </w:rPr>
              <w:t>滤纸</w:t>
            </w:r>
            <w:r>
              <w:rPr>
                <w:sz w:val="24"/>
              </w:rPr>
              <w:fldChar w:fldCharType="end"/>
            </w:r>
            <w:r>
              <w:rPr>
                <w:sz w:val="24"/>
              </w:rPr>
              <w:t>，然后再将套上乳胶膜的试样放在</w:t>
            </w:r>
            <w:r>
              <w:fldChar w:fldCharType="begin"/>
            </w:r>
            <w:r>
              <w:instrText xml:space="preserve"> HYPERLINK "https://baike.baidu.com/item/%E5%8E%8B%E5%8A%9B%E5%AE%A4/0?fromModule=lemma_inlink" \t "https://baike.baidu.com/item/%E4%B8%89%E8%BD%B4%E5%8E%8B%E7%BC%A9%E8%AF%95%E9%AA%8C/_blank" </w:instrText>
            </w:r>
            <w:r>
              <w:fldChar w:fldCharType="separate"/>
            </w:r>
            <w:r>
              <w:rPr>
                <w:sz w:val="24"/>
              </w:rPr>
              <w:t>压力室</w:t>
            </w:r>
            <w:r>
              <w:rPr>
                <w:sz w:val="24"/>
              </w:rPr>
              <w:fldChar w:fldCharType="end"/>
            </w:r>
            <w:r>
              <w:rPr>
                <w:sz w:val="24"/>
              </w:rPr>
              <w:t>的底座上，最后装上压力筒，并拧紧密封螺帽，同时使传压活塞与土样帽接触。</w:t>
            </w:r>
          </w:p>
          <w:p w14:paraId="3ED627E8">
            <w:pPr>
              <w:spacing w:line="360" w:lineRule="auto"/>
              <w:ind w:firstLine="480" w:firstLineChars="200"/>
              <w:rPr>
                <w:sz w:val="24"/>
              </w:rPr>
            </w:pPr>
            <w:r>
              <w:rPr>
                <w:sz w:val="24"/>
              </w:rPr>
              <w:t>（4）施加周围压力：分别按100kPa、200kPa、300kPa、400kPa施加周围压力。</w:t>
            </w:r>
          </w:p>
          <w:p w14:paraId="38C5D7E2">
            <w:pPr>
              <w:spacing w:line="360" w:lineRule="auto"/>
              <w:ind w:firstLine="480" w:firstLineChars="200"/>
              <w:rPr>
                <w:rFonts w:hint="eastAsia" w:ascii="宋体" w:hAnsi="宋体" w:cs="宋体"/>
                <w:sz w:val="24"/>
              </w:rPr>
            </w:pPr>
            <w:r>
              <w:rPr>
                <w:sz w:val="24"/>
              </w:rPr>
              <w:t>（5）测</w:t>
            </w:r>
            <w:r>
              <w:fldChar w:fldCharType="begin"/>
            </w:r>
            <w:r>
              <w:instrText xml:space="preserve"> HYPERLINK "https://baike.baidu.com/item/%E5%AD%94%E9%9A%99%E6%B0%B4%E5%8E%8B%E5%8A%9B/6842079?fromModule=lemma_inlink" \t "https://baike.baidu.com/item/%E4%B8%89%E8%BD%B4%E5%8E%8B%E7%BC%A9%E8%AF%95%E9%AA%8C/_blank" </w:instrText>
            </w:r>
            <w:r>
              <w:fldChar w:fldCharType="separate"/>
            </w:r>
            <w:r>
              <w:rPr>
                <w:sz w:val="24"/>
              </w:rPr>
              <w:t>孔隙水压力</w:t>
            </w:r>
            <w:r>
              <w:rPr>
                <w:sz w:val="24"/>
              </w:rPr>
              <w:fldChar w:fldCharType="end"/>
            </w:r>
            <w:r>
              <w:rPr>
                <w:rFonts w:hint="eastAsia" w:ascii="宋体" w:hAnsi="宋体" w:cs="宋体"/>
                <w:sz w:val="24"/>
              </w:rPr>
              <w:t>：在不排水条件下测定试样的孔隙水压力。</w:t>
            </w:r>
          </w:p>
          <w:p w14:paraId="18F7C276">
            <w:pPr>
              <w:spacing w:line="360" w:lineRule="auto"/>
              <w:ind w:firstLine="480" w:firstLineChars="200"/>
              <w:rPr>
                <w:rFonts w:hint="eastAsia" w:ascii="宋体" w:hAnsi="宋体" w:cs="宋体"/>
                <w:sz w:val="24"/>
              </w:rPr>
            </w:pPr>
            <w:r>
              <w:rPr>
                <w:rFonts w:hint="eastAsia" w:ascii="宋体" w:hAnsi="宋体" w:cs="宋体"/>
                <w:sz w:val="24"/>
              </w:rPr>
              <w:t>（6）调整测力计：移动量测轴向变形的位移计和轴向压力测力计的初始“零点”读数。</w:t>
            </w:r>
          </w:p>
          <w:p w14:paraId="73EBD5AC">
            <w:pPr>
              <w:spacing w:line="360" w:lineRule="auto"/>
              <w:ind w:firstLine="480" w:firstLineChars="200"/>
              <w:rPr>
                <w:rFonts w:hint="eastAsia" w:ascii="宋体" w:hAnsi="宋体" w:cs="宋体"/>
                <w:sz w:val="24"/>
              </w:rPr>
            </w:pPr>
            <w:r>
              <w:rPr>
                <w:rFonts w:hint="eastAsia" w:ascii="宋体" w:hAnsi="宋体" w:cs="宋体"/>
                <w:sz w:val="24"/>
              </w:rPr>
              <w:t>（7）施加轴向压力：启动电动机，合上</w:t>
            </w:r>
            <w:r>
              <w:fldChar w:fldCharType="begin"/>
            </w:r>
            <w:r>
              <w:instrText xml:space="preserve"> HYPERLINK "https://baike.baidu.com/item/%E7%A6%BB%E5%90%88%E5%99%A8/0?fromModule=lemma_inlink" \t "https://baike.baidu.com/item/%E4%B8%89%E8%BD%B4%E5%8E%8B%E7%BC%A9%E8%AF%95%E9%AA%8C/_blank" </w:instrText>
            </w:r>
            <w:r>
              <w:fldChar w:fldCharType="separate"/>
            </w:r>
            <w:r>
              <w:rPr>
                <w:rFonts w:hint="eastAsia" w:ascii="宋体" w:hAnsi="宋体" w:cs="宋体"/>
                <w:sz w:val="24"/>
              </w:rPr>
              <w:t>离合器</w:t>
            </w:r>
            <w:r>
              <w:rPr>
                <w:rFonts w:hint="eastAsia" w:ascii="宋体" w:hAnsi="宋体" w:cs="宋体"/>
                <w:sz w:val="24"/>
              </w:rPr>
              <w:fldChar w:fldCharType="end"/>
            </w:r>
            <w:r>
              <w:rPr>
                <w:rFonts w:hint="eastAsia" w:ascii="宋体" w:hAnsi="宋体" w:cs="宋体"/>
                <w:sz w:val="24"/>
              </w:rPr>
              <w:t>，开始剪切。</w:t>
            </w:r>
            <w:r>
              <w:fldChar w:fldCharType="begin"/>
            </w:r>
            <w:r>
              <w:instrText xml:space="preserve"> HYPERLINK "https://baike.baidu.com/item/%E5%89%AA%E5%88%87%E5%BA%94%E5%8F%98%E9%80%9F%E7%8E%87/22308928?fromModule=lemma_inlink" \t "https://baike.baidu.com/item/%E4%B8%89%E8%BD%B4%E5%8E%8B%E7%BC%A9%E8%AF%95%E9%AA%8C/_blank" </w:instrText>
            </w:r>
            <w:r>
              <w:fldChar w:fldCharType="separate"/>
            </w:r>
            <w:r>
              <w:rPr>
                <w:rFonts w:hint="eastAsia" w:ascii="宋体" w:hAnsi="宋体" w:cs="宋体"/>
                <w:sz w:val="24"/>
              </w:rPr>
              <w:t>剪切应变速率</w:t>
            </w:r>
            <w:r>
              <w:rPr>
                <w:rFonts w:hint="eastAsia" w:ascii="宋体" w:hAnsi="宋体" w:cs="宋体"/>
                <w:sz w:val="24"/>
              </w:rPr>
              <w:fldChar w:fldCharType="end"/>
            </w:r>
            <w:r>
              <w:rPr>
                <w:rFonts w:hint="eastAsia" w:ascii="宋体" w:hAnsi="宋体" w:cs="宋体"/>
                <w:sz w:val="24"/>
              </w:rPr>
              <w:t>取每</w:t>
            </w:r>
            <w:r>
              <w:rPr>
                <w:sz w:val="24"/>
              </w:rPr>
              <w:t>分钟0.5%～1.0%，当试样每产生轴向应变为0.3%～0.4%时，</w:t>
            </w:r>
            <w:r>
              <w:rPr>
                <w:rFonts w:hint="eastAsia" w:ascii="宋体" w:hAnsi="宋体" w:cs="宋体"/>
                <w:sz w:val="24"/>
              </w:rPr>
              <w:t>测记一次测力计读数、孔隙水压力和轴向变形读数，直至轴向应变为20%时为止。</w:t>
            </w:r>
          </w:p>
          <w:p w14:paraId="39711927">
            <w:pPr>
              <w:spacing w:line="360" w:lineRule="auto"/>
              <w:ind w:firstLine="480" w:firstLineChars="200"/>
              <w:rPr>
                <w:rFonts w:hint="eastAsia" w:ascii="宋体" w:hAnsi="宋体" w:cs="宋体"/>
                <w:sz w:val="24"/>
              </w:rPr>
            </w:pPr>
            <w:r>
              <w:rPr>
                <w:rFonts w:hint="eastAsia" w:ascii="宋体" w:hAnsi="宋体" w:cs="宋体"/>
                <w:sz w:val="24"/>
              </w:rPr>
              <w:t>（8）试验结束：停机并卸除周围压力，然后拆除试样，描述试样破坏时的形状。此实验会产生废矸石。</w:t>
            </w:r>
          </w:p>
          <w:p w14:paraId="032CCA70">
            <w:pPr>
              <w:pStyle w:val="76"/>
              <w:ind w:firstLine="0" w:firstLineChars="0"/>
              <w:rPr>
                <w:b/>
                <w:bCs/>
              </w:rPr>
            </w:pPr>
            <w:r>
              <w:rPr>
                <w:b/>
                <w:bCs/>
              </w:rPr>
              <w:drawing>
                <wp:inline distT="0" distB="0" distL="0" distR="0">
                  <wp:extent cx="5227955" cy="792480"/>
                  <wp:effectExtent l="0" t="0" r="0" b="7620"/>
                  <wp:docPr id="18619005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00586"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49188" cy="796201"/>
                          </a:xfrm>
                          <a:prstGeom prst="rect">
                            <a:avLst/>
                          </a:prstGeom>
                          <a:noFill/>
                        </pic:spPr>
                      </pic:pic>
                    </a:graphicData>
                  </a:graphic>
                </wp:inline>
              </w:drawing>
            </w:r>
          </w:p>
          <w:p w14:paraId="30A3E3A2">
            <w:pPr>
              <w:pStyle w:val="76"/>
              <w:ind w:firstLine="0" w:firstLineChars="0"/>
              <w:jc w:val="center"/>
              <w:rPr>
                <w:b/>
                <w:bCs/>
                <w:sz w:val="21"/>
                <w:szCs w:val="21"/>
              </w:rPr>
            </w:pPr>
            <w:r>
              <w:rPr>
                <w:rFonts w:hint="eastAsia"/>
                <w:b/>
                <w:bCs/>
                <w:sz w:val="21"/>
                <w:szCs w:val="21"/>
              </w:rPr>
              <w:t>图2-7三轴压应力实验流程示意图</w:t>
            </w:r>
          </w:p>
          <w:p w14:paraId="189B107D">
            <w:pPr>
              <w:spacing w:line="360" w:lineRule="auto"/>
              <w:ind w:firstLine="482" w:firstLineChars="200"/>
              <w:rPr>
                <w:rFonts w:hint="eastAsia" w:ascii="宋体" w:hAnsi="宋体" w:cs="宋体"/>
                <w:b/>
                <w:bCs/>
                <w:sz w:val="24"/>
              </w:rPr>
            </w:pPr>
            <w:r>
              <w:rPr>
                <w:rFonts w:hint="eastAsia" w:cs="仿宋" w:eastAsiaTheme="minorEastAsia"/>
                <w:b/>
                <w:bCs/>
                <w:sz w:val="24"/>
              </w:rPr>
              <w:t xml:space="preserve">1.7.2 </w:t>
            </w:r>
            <w:r>
              <w:rPr>
                <w:rFonts w:hint="eastAsia" w:ascii="宋体" w:hAnsi="宋体" w:cs="宋体"/>
                <w:b/>
                <w:bCs/>
                <w:sz w:val="24"/>
              </w:rPr>
              <w:t>渗透率测量实验</w:t>
            </w:r>
          </w:p>
          <w:p w14:paraId="29A9D31F">
            <w:pPr>
              <w:pStyle w:val="76"/>
              <w:ind w:firstLine="482"/>
              <w:rPr>
                <w:b/>
                <w:bCs/>
              </w:rPr>
            </w:pPr>
            <w:r>
              <w:rPr>
                <w:rFonts w:hint="eastAsia"/>
                <w:b/>
                <w:bCs/>
              </w:rPr>
              <w:t>实验流程说明</w:t>
            </w:r>
          </w:p>
          <w:p w14:paraId="73150534">
            <w:pPr>
              <w:spacing w:line="360" w:lineRule="auto"/>
              <w:ind w:firstLine="480" w:firstLineChars="200"/>
              <w:rPr>
                <w:rFonts w:hint="eastAsia" w:ascii="宋体" w:hAnsi="宋体" w:cs="宋体"/>
                <w:sz w:val="24"/>
              </w:rPr>
            </w:pPr>
            <w:r>
              <w:rPr>
                <w:rFonts w:hint="eastAsia" w:ascii="宋体" w:hAnsi="宋体" w:cs="宋体"/>
                <w:sz w:val="24"/>
              </w:rPr>
              <w:t>（1）用游标卡尺测量岩</w:t>
            </w:r>
            <w:r>
              <w:rPr>
                <w:sz w:val="24"/>
              </w:rPr>
              <w:t>样的直径和长度</w:t>
            </w:r>
            <w:r>
              <w:rPr>
                <w:rFonts w:hint="eastAsia"/>
                <w:sz w:val="24"/>
              </w:rPr>
              <w:t>，</w:t>
            </w:r>
            <w:r>
              <w:rPr>
                <w:rFonts w:hint="eastAsia" w:ascii="宋体" w:hAnsi="宋体" w:cs="宋体"/>
                <w:sz w:val="24"/>
              </w:rPr>
              <w:t>单次实验矸</w:t>
            </w:r>
            <w:r>
              <w:rPr>
                <w:rFonts w:ascii="宋体" w:hAnsi="宋体" w:cs="宋体"/>
                <w:sz w:val="24"/>
              </w:rPr>
              <w:t>石用量50g</w:t>
            </w:r>
            <w:r>
              <w:rPr>
                <w:rFonts w:hint="eastAsia" w:ascii="宋体" w:hAnsi="宋体" w:cs="宋体"/>
                <w:sz w:val="24"/>
              </w:rPr>
              <w:t>。</w:t>
            </w:r>
          </w:p>
          <w:p w14:paraId="08759DE5">
            <w:pPr>
              <w:spacing w:line="360" w:lineRule="auto"/>
              <w:ind w:firstLine="480" w:firstLineChars="200"/>
              <w:rPr>
                <w:rFonts w:hint="eastAsia" w:ascii="宋体" w:hAnsi="宋体" w:cs="宋体"/>
                <w:sz w:val="24"/>
              </w:rPr>
            </w:pPr>
            <w:r>
              <w:rPr>
                <w:rFonts w:hint="eastAsia" w:ascii="宋体" w:hAnsi="宋体" w:cs="宋体"/>
                <w:sz w:val="24"/>
              </w:rPr>
              <w:t>（2）将岩样饱和盐水后装入岩芯夹持器。</w:t>
            </w:r>
          </w:p>
          <w:p w14:paraId="2337135D">
            <w:pPr>
              <w:spacing w:line="360" w:lineRule="auto"/>
              <w:ind w:firstLine="480" w:firstLineChars="200"/>
              <w:rPr>
                <w:rFonts w:hint="eastAsia" w:ascii="宋体" w:hAnsi="宋体" w:cs="宋体"/>
                <w:sz w:val="24"/>
              </w:rPr>
            </w:pPr>
            <w:r>
              <w:rPr>
                <w:rFonts w:hint="eastAsia" w:ascii="宋体" w:hAnsi="宋体" w:cs="宋体"/>
                <w:sz w:val="24"/>
              </w:rPr>
              <w:t>（3）打开手摇泵通向岩芯夹持器环空的开关，加环压。</w:t>
            </w:r>
          </w:p>
          <w:p w14:paraId="12EEA0F8">
            <w:pPr>
              <w:spacing w:line="360" w:lineRule="auto"/>
              <w:ind w:firstLine="480" w:firstLineChars="200"/>
              <w:rPr>
                <w:rFonts w:hint="eastAsia" w:ascii="宋体" w:hAnsi="宋体" w:cs="宋体"/>
                <w:sz w:val="24"/>
              </w:rPr>
            </w:pPr>
            <w:r>
              <w:rPr>
                <w:rFonts w:hint="eastAsia" w:ascii="宋体" w:hAnsi="宋体" w:cs="宋体"/>
                <w:sz w:val="24"/>
              </w:rPr>
              <w:t>（4）打开平流泵电源，预热五分钟后，设置流量，测定在所设置的流量时岩芯入口端的压力，并用量杯和秒表测其出口端流量；待压力表数据趋于稳定，出口流速稳定时，记录此时的压力和流量。</w:t>
            </w:r>
          </w:p>
          <w:p w14:paraId="67A1F6D3">
            <w:pPr>
              <w:spacing w:line="360" w:lineRule="auto"/>
              <w:ind w:firstLine="480" w:firstLineChars="200"/>
              <w:rPr>
                <w:rFonts w:hint="eastAsia" w:ascii="宋体" w:hAnsi="宋体" w:cs="宋体"/>
                <w:sz w:val="24"/>
              </w:rPr>
            </w:pPr>
            <w:r>
              <w:rPr>
                <w:rFonts w:hint="eastAsia" w:ascii="宋体" w:hAnsi="宋体" w:cs="宋体"/>
                <w:sz w:val="24"/>
              </w:rPr>
              <w:t>（5）改变流量，重复步</w:t>
            </w:r>
            <w:r>
              <w:rPr>
                <w:sz w:val="24"/>
              </w:rPr>
              <w:t>骤4</w:t>
            </w:r>
            <w:r>
              <w:rPr>
                <w:rFonts w:hint="eastAsia"/>
                <w:sz w:val="24"/>
              </w:rPr>
              <w:t>，</w:t>
            </w:r>
            <w:r>
              <w:rPr>
                <w:sz w:val="24"/>
              </w:rPr>
              <w:t>计算岩石</w:t>
            </w:r>
            <w:r>
              <w:rPr>
                <w:rFonts w:hint="eastAsia" w:ascii="宋体" w:hAnsi="宋体" w:cs="宋体"/>
                <w:sz w:val="24"/>
              </w:rPr>
              <w:t>渗透率。</w:t>
            </w:r>
          </w:p>
          <w:p w14:paraId="4B86E75A">
            <w:pPr>
              <w:spacing w:line="360" w:lineRule="auto"/>
              <w:ind w:firstLine="480" w:firstLineChars="200"/>
              <w:rPr>
                <w:rFonts w:hint="eastAsia" w:ascii="宋体" w:hAnsi="宋体" w:cs="宋体"/>
                <w:sz w:val="24"/>
              </w:rPr>
            </w:pPr>
            <w:r>
              <w:rPr>
                <w:rFonts w:hint="eastAsia" w:ascii="宋体" w:hAnsi="宋体" w:cs="宋体"/>
                <w:sz w:val="24"/>
              </w:rPr>
              <w:t>（6）实验数据记录完后，卸掉环压，关闭平流泵，取出岩样。此实验会产生废矸石。</w:t>
            </w:r>
          </w:p>
          <w:p w14:paraId="1B044564">
            <w:pPr>
              <w:pStyle w:val="76"/>
              <w:ind w:firstLine="0" w:firstLineChars="0"/>
              <w:jc w:val="center"/>
              <w:rPr>
                <w:b/>
                <w:bCs/>
                <w:sz w:val="21"/>
                <w:szCs w:val="21"/>
              </w:rPr>
            </w:pPr>
            <w:r>
              <w:rPr>
                <w:b/>
                <w:bCs/>
                <w:sz w:val="21"/>
                <w:szCs w:val="21"/>
              </w:rPr>
              <w:drawing>
                <wp:inline distT="0" distB="0" distL="0" distR="0">
                  <wp:extent cx="5149215" cy="280670"/>
                  <wp:effectExtent l="0" t="0" r="0" b="5080"/>
                  <wp:docPr id="8047419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41981"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83937" cy="304620"/>
                          </a:xfrm>
                          <a:prstGeom prst="rect">
                            <a:avLst/>
                          </a:prstGeom>
                          <a:noFill/>
                        </pic:spPr>
                      </pic:pic>
                    </a:graphicData>
                  </a:graphic>
                </wp:inline>
              </w:drawing>
            </w:r>
          </w:p>
          <w:p w14:paraId="50FEC3F9">
            <w:pPr>
              <w:pStyle w:val="76"/>
              <w:ind w:firstLine="0" w:firstLineChars="0"/>
              <w:jc w:val="center"/>
              <w:rPr>
                <w:b/>
                <w:bCs/>
                <w:sz w:val="21"/>
                <w:szCs w:val="21"/>
              </w:rPr>
            </w:pPr>
            <w:r>
              <w:rPr>
                <w:rFonts w:hint="eastAsia"/>
                <w:b/>
                <w:bCs/>
                <w:sz w:val="21"/>
                <w:szCs w:val="21"/>
              </w:rPr>
              <w:t>图2-8渗透率测量实验流程示意图</w:t>
            </w:r>
          </w:p>
          <w:p w14:paraId="3D513D24">
            <w:pPr>
              <w:spacing w:line="360" w:lineRule="auto"/>
              <w:ind w:firstLine="482" w:firstLineChars="200"/>
              <w:rPr>
                <w:rFonts w:hint="eastAsia" w:ascii="宋体" w:hAnsi="宋体" w:cs="宋体"/>
                <w:b/>
                <w:bCs/>
                <w:sz w:val="24"/>
              </w:rPr>
            </w:pPr>
            <w:r>
              <w:rPr>
                <w:b/>
                <w:bCs/>
                <w:sz w:val="24"/>
              </w:rPr>
              <w:t>1.</w:t>
            </w:r>
            <w:r>
              <w:rPr>
                <w:rFonts w:hint="eastAsia"/>
                <w:b/>
                <w:bCs/>
                <w:sz w:val="24"/>
              </w:rPr>
              <w:t>7</w:t>
            </w:r>
            <w:r>
              <w:rPr>
                <w:b/>
                <w:bCs/>
                <w:sz w:val="24"/>
              </w:rPr>
              <w:t>.3</w:t>
            </w:r>
            <w:r>
              <w:rPr>
                <w:rFonts w:hint="eastAsia" w:ascii="宋体" w:hAnsi="宋体" w:cs="宋体"/>
                <w:b/>
                <w:bCs/>
                <w:sz w:val="24"/>
              </w:rPr>
              <w:t xml:space="preserve"> 岩石热物性实验</w:t>
            </w:r>
          </w:p>
          <w:p w14:paraId="2E2076DA">
            <w:pPr>
              <w:pStyle w:val="76"/>
              <w:ind w:firstLine="482"/>
              <w:rPr>
                <w:b/>
                <w:bCs/>
              </w:rPr>
            </w:pPr>
            <w:r>
              <w:rPr>
                <w:rFonts w:hint="eastAsia"/>
                <w:b/>
                <w:bCs/>
              </w:rPr>
              <w:t>实验流程说明</w:t>
            </w:r>
          </w:p>
          <w:p w14:paraId="2E7C4810">
            <w:pPr>
              <w:pStyle w:val="77"/>
              <w:ind w:firstLine="480" w:firstLineChars="200"/>
              <w:rPr>
                <w:b w:val="0"/>
                <w:bCs/>
              </w:rPr>
            </w:pPr>
            <w:r>
              <w:rPr>
                <w:b w:val="0"/>
                <w:bCs/>
              </w:rPr>
              <w:t>热导率测试实验原理为瞬态线热源法， 样品表面预先打磨平整光滑</w:t>
            </w:r>
            <w:r>
              <w:rPr>
                <w:rFonts w:hint="eastAsia"/>
                <w:b w:val="0"/>
                <w:bCs/>
              </w:rPr>
              <w:t>，单次实验矸石用量50g。</w:t>
            </w:r>
            <w:r>
              <w:rPr>
                <w:b w:val="0"/>
                <w:bCs/>
              </w:rPr>
              <w:t>测试过程中，分别记录 25℃、50℃、70℃、90℃、110℃和130℃稳定状态下白云岩的热导率值。</w:t>
            </w:r>
            <w:r>
              <w:rPr>
                <w:rFonts w:hint="eastAsia"/>
                <w:b w:val="0"/>
                <w:bCs/>
              </w:rPr>
              <w:t>此实验会产生废矸石。</w:t>
            </w:r>
          </w:p>
          <w:p w14:paraId="50A031C6">
            <w:pPr>
              <w:spacing w:line="360" w:lineRule="auto"/>
              <w:jc w:val="center"/>
              <w:rPr>
                <w:rFonts w:hint="eastAsia" w:ascii="宋体" w:hAnsi="宋体" w:cs="宋体"/>
                <w:sz w:val="24"/>
              </w:rPr>
            </w:pPr>
            <w:r>
              <w:rPr>
                <w:rFonts w:hint="eastAsia" w:ascii="宋体" w:hAnsi="宋体" w:cs="宋体"/>
                <w:sz w:val="24"/>
              </w:rPr>
              <w:drawing>
                <wp:inline distT="0" distB="0" distL="0" distR="0">
                  <wp:extent cx="4688840" cy="320675"/>
                  <wp:effectExtent l="0" t="0" r="0" b="3175"/>
                  <wp:docPr id="51716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651" name="图片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25032" cy="330251"/>
                          </a:xfrm>
                          <a:prstGeom prst="rect">
                            <a:avLst/>
                          </a:prstGeom>
                          <a:noFill/>
                        </pic:spPr>
                      </pic:pic>
                    </a:graphicData>
                  </a:graphic>
                </wp:inline>
              </w:drawing>
            </w:r>
          </w:p>
          <w:p w14:paraId="55731EA9">
            <w:pPr>
              <w:spacing w:line="360" w:lineRule="auto"/>
              <w:jc w:val="center"/>
              <w:rPr>
                <w:rFonts w:hint="eastAsia" w:ascii="宋体" w:hAnsi="宋体" w:cs="宋体"/>
                <w:sz w:val="24"/>
              </w:rPr>
            </w:pPr>
            <w:r>
              <w:rPr>
                <w:rFonts w:hint="eastAsia"/>
                <w:b/>
                <w:bCs/>
                <w:szCs w:val="21"/>
              </w:rPr>
              <w:t>图2-9岩石热物性实验流程示意图</w:t>
            </w:r>
          </w:p>
          <w:p w14:paraId="73099205">
            <w:pPr>
              <w:spacing w:line="360" w:lineRule="auto"/>
              <w:ind w:firstLine="482" w:firstLineChars="200"/>
              <w:rPr>
                <w:rFonts w:hint="eastAsia" w:ascii="宋体" w:hAnsi="宋体" w:cs="宋体"/>
                <w:b/>
                <w:bCs/>
                <w:sz w:val="24"/>
              </w:rPr>
            </w:pPr>
            <w:r>
              <w:rPr>
                <w:b/>
                <w:bCs/>
                <w:sz w:val="24"/>
              </w:rPr>
              <w:t>1.</w:t>
            </w:r>
            <w:r>
              <w:rPr>
                <w:rFonts w:hint="eastAsia"/>
                <w:b/>
                <w:bCs/>
                <w:sz w:val="24"/>
              </w:rPr>
              <w:t>7</w:t>
            </w:r>
            <w:r>
              <w:rPr>
                <w:b/>
                <w:bCs/>
                <w:sz w:val="24"/>
              </w:rPr>
              <w:t>.</w:t>
            </w:r>
            <w:r>
              <w:rPr>
                <w:rFonts w:hint="eastAsia"/>
                <w:b/>
                <w:bCs/>
                <w:sz w:val="24"/>
              </w:rPr>
              <w:t>4</w:t>
            </w:r>
            <w:r>
              <w:rPr>
                <w:rFonts w:hint="eastAsia" w:ascii="宋体" w:hAnsi="宋体" w:cs="宋体"/>
                <w:b/>
                <w:bCs/>
                <w:sz w:val="24"/>
              </w:rPr>
              <w:t xml:space="preserve"> 公共理化实验</w:t>
            </w:r>
          </w:p>
          <w:p w14:paraId="5F778EB4">
            <w:pPr>
              <w:pStyle w:val="76"/>
              <w:ind w:firstLine="482"/>
              <w:rPr>
                <w:b/>
                <w:bCs/>
              </w:rPr>
            </w:pPr>
            <w:r>
              <w:rPr>
                <w:rFonts w:hint="eastAsia"/>
                <w:b/>
                <w:bCs/>
              </w:rPr>
              <w:t>实验流程说明</w:t>
            </w:r>
          </w:p>
          <w:p w14:paraId="08AA791E">
            <w:pPr>
              <w:pStyle w:val="77"/>
              <w:ind w:firstLine="480" w:firstLineChars="200"/>
              <w:rPr>
                <w:b w:val="0"/>
                <w:bCs/>
              </w:rPr>
            </w:pPr>
            <w:r>
              <w:rPr>
                <w:rFonts w:hint="eastAsia"/>
                <w:b w:val="0"/>
                <w:bCs/>
              </w:rPr>
              <w:t>（1）碎样机制样：将大块固体样品进行表面清洁，放入封闭式碎样机，根据制备样品需求对样品进行切割或者研磨。单次实验矸石1kg以内。</w:t>
            </w:r>
          </w:p>
          <w:p w14:paraId="0EF532B1">
            <w:pPr>
              <w:pStyle w:val="77"/>
              <w:ind w:firstLine="480" w:firstLineChars="200"/>
              <w:rPr>
                <w:b w:val="0"/>
                <w:bCs/>
              </w:rPr>
            </w:pPr>
            <w:r>
              <w:rPr>
                <w:rFonts w:hint="eastAsia"/>
                <w:b w:val="0"/>
                <w:bCs/>
              </w:rPr>
              <w:t>（2）马弗炉加热将温度设定到实验所需温度，使用时炉温不得超过马弗炉最高使用温度下限。</w:t>
            </w:r>
          </w:p>
          <w:p w14:paraId="6FA66C04">
            <w:pPr>
              <w:pStyle w:val="77"/>
              <w:ind w:firstLine="480" w:firstLineChars="200"/>
              <w:rPr>
                <w:b w:val="0"/>
                <w:bCs/>
              </w:rPr>
            </w:pPr>
            <w:r>
              <w:rPr>
                <w:rFonts w:hint="eastAsia"/>
                <w:b w:val="0"/>
                <w:bCs/>
              </w:rPr>
              <w:t>（3）加热结束后，等样品恢复常温后开启，取出样品。此实验会产生S6废矸石。</w:t>
            </w:r>
          </w:p>
          <w:p w14:paraId="5133AD05">
            <w:pPr>
              <w:spacing w:line="360" w:lineRule="auto"/>
              <w:jc w:val="center"/>
              <w:rPr>
                <w:rFonts w:hint="eastAsia" w:ascii="宋体" w:hAnsi="宋体" w:cs="宋体"/>
                <w:sz w:val="24"/>
              </w:rPr>
            </w:pPr>
            <w:r>
              <w:rPr>
                <w:rFonts w:hint="eastAsia" w:ascii="宋体" w:hAnsi="宋体" w:cs="宋体"/>
                <w:sz w:val="24"/>
              </w:rPr>
              <w:drawing>
                <wp:inline distT="0" distB="0" distL="0" distR="0">
                  <wp:extent cx="5262245" cy="349250"/>
                  <wp:effectExtent l="0" t="0" r="0" b="0"/>
                  <wp:docPr id="20231503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5035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91023" cy="351328"/>
                          </a:xfrm>
                          <a:prstGeom prst="rect">
                            <a:avLst/>
                          </a:prstGeom>
                          <a:noFill/>
                        </pic:spPr>
                      </pic:pic>
                    </a:graphicData>
                  </a:graphic>
                </wp:inline>
              </w:drawing>
            </w:r>
          </w:p>
          <w:p w14:paraId="4681858A">
            <w:pPr>
              <w:spacing w:line="360" w:lineRule="auto"/>
              <w:jc w:val="center"/>
              <w:rPr>
                <w:rFonts w:hint="eastAsia" w:ascii="宋体" w:hAnsi="宋体" w:cs="宋体"/>
                <w:sz w:val="24"/>
              </w:rPr>
            </w:pPr>
            <w:r>
              <w:rPr>
                <w:rFonts w:hint="eastAsia"/>
                <w:b/>
                <w:bCs/>
                <w:szCs w:val="21"/>
              </w:rPr>
              <w:t>图2-10岩石热物性实验流程示意图</w:t>
            </w:r>
          </w:p>
          <w:p w14:paraId="034558C9">
            <w:pPr>
              <w:spacing w:line="360" w:lineRule="auto"/>
              <w:ind w:firstLine="482" w:firstLineChars="200"/>
              <w:rPr>
                <w:rFonts w:hint="eastAsia" w:ascii="宋体" w:hAnsi="宋体" w:cs="宋体"/>
                <w:b/>
                <w:bCs/>
                <w:sz w:val="24"/>
              </w:rPr>
            </w:pPr>
            <w:r>
              <w:rPr>
                <w:b/>
                <w:bCs/>
                <w:sz w:val="24"/>
              </w:rPr>
              <w:t>1.</w:t>
            </w:r>
            <w:r>
              <w:rPr>
                <w:rFonts w:hint="eastAsia"/>
                <w:b/>
                <w:bCs/>
                <w:sz w:val="24"/>
              </w:rPr>
              <w:t>8</w:t>
            </w:r>
            <w:r>
              <w:rPr>
                <w:rFonts w:hint="eastAsia" w:ascii="宋体" w:hAnsi="宋体" w:cs="宋体"/>
                <w:b/>
                <w:bCs/>
                <w:sz w:val="24"/>
              </w:rPr>
              <w:t xml:space="preserve"> 分布式能源监测、控制与交易实验室</w:t>
            </w:r>
          </w:p>
          <w:p w14:paraId="59D5F612">
            <w:pPr>
              <w:pStyle w:val="76"/>
              <w:ind w:firstLine="482"/>
              <w:rPr>
                <w:b/>
                <w:bCs/>
              </w:rPr>
            </w:pPr>
            <w:r>
              <w:rPr>
                <w:rFonts w:hint="eastAsia"/>
                <w:b/>
                <w:bCs/>
              </w:rPr>
              <w:t>实验流程说明</w:t>
            </w:r>
          </w:p>
          <w:p w14:paraId="2E840B3B">
            <w:pPr>
              <w:pStyle w:val="77"/>
              <w:ind w:firstLine="480" w:firstLineChars="200"/>
              <w:rPr>
                <w:b w:val="0"/>
                <w:bCs/>
              </w:rPr>
            </w:pPr>
            <w:r>
              <w:rPr>
                <w:rFonts w:hint="eastAsia"/>
                <w:b w:val="0"/>
                <w:bCs/>
              </w:rPr>
              <w:t>实验室主要涉及微电网实验系统和分布式发电交易平台，为电力仿真实验室，不涉及工艺流程。</w:t>
            </w:r>
          </w:p>
          <w:p w14:paraId="0D515B80">
            <w:pPr>
              <w:spacing w:line="360" w:lineRule="auto"/>
              <w:ind w:firstLine="482" w:firstLineChars="200"/>
              <w:rPr>
                <w:rFonts w:hint="eastAsia" w:ascii="宋体" w:hAnsi="宋体" w:cs="宋体"/>
                <w:b/>
                <w:bCs/>
                <w:sz w:val="24"/>
              </w:rPr>
            </w:pPr>
            <w:r>
              <w:rPr>
                <w:b/>
                <w:bCs/>
                <w:sz w:val="24"/>
              </w:rPr>
              <w:t>1.</w:t>
            </w:r>
            <w:r>
              <w:rPr>
                <w:rFonts w:hint="eastAsia"/>
                <w:b/>
                <w:bCs/>
                <w:sz w:val="24"/>
              </w:rPr>
              <w:t>9</w:t>
            </w:r>
            <w:r>
              <w:rPr>
                <w:rFonts w:hint="eastAsia" w:ascii="宋体" w:hAnsi="宋体" w:cs="宋体"/>
                <w:b/>
                <w:bCs/>
                <w:sz w:val="24"/>
              </w:rPr>
              <w:t>储能材料实验室——材料制备及形貌表征实验</w:t>
            </w:r>
          </w:p>
          <w:p w14:paraId="171AC8C8">
            <w:pPr>
              <w:pStyle w:val="76"/>
              <w:ind w:firstLine="482"/>
              <w:rPr>
                <w:b/>
                <w:bCs/>
              </w:rPr>
            </w:pPr>
            <w:r>
              <w:rPr>
                <w:rFonts w:hint="eastAsia"/>
                <w:b/>
                <w:bCs/>
              </w:rPr>
              <w:t>实验流程说明</w:t>
            </w:r>
          </w:p>
          <w:p w14:paraId="79956B22">
            <w:pPr>
              <w:pStyle w:val="77"/>
              <w:ind w:firstLine="480" w:firstLineChars="200"/>
              <w:rPr>
                <w:b w:val="0"/>
                <w:bCs/>
              </w:rPr>
            </w:pPr>
            <w:r>
              <w:rPr>
                <w:rFonts w:hint="eastAsia"/>
                <w:b w:val="0"/>
                <w:bCs/>
              </w:rPr>
              <w:t>（1）放置金属样品：将样品按照规定的顺序放置在马弗炉内。实验测试材料多为单位面积（1 cm</w:t>
            </w:r>
            <w:r>
              <w:rPr>
                <w:rFonts w:hint="eastAsia"/>
                <w:b w:val="0"/>
                <w:bCs/>
                <w:vertAlign w:val="superscript"/>
              </w:rPr>
              <w:t>2</w:t>
            </w:r>
            <w:r>
              <w:rPr>
                <w:rFonts w:hint="eastAsia"/>
                <w:b w:val="0"/>
                <w:bCs/>
              </w:rPr>
              <w:t>）样品，测量最大重量约1 kg。</w:t>
            </w:r>
          </w:p>
          <w:p w14:paraId="743BE651">
            <w:pPr>
              <w:pStyle w:val="77"/>
              <w:ind w:firstLine="480" w:firstLineChars="200"/>
              <w:rPr>
                <w:b w:val="0"/>
                <w:bCs/>
              </w:rPr>
            </w:pPr>
            <w:r>
              <w:rPr>
                <w:rFonts w:hint="eastAsia"/>
                <w:b w:val="0"/>
                <w:bCs/>
              </w:rPr>
              <w:t>（2）加热马弗炉。</w:t>
            </w:r>
          </w:p>
          <w:p w14:paraId="38FFB214">
            <w:pPr>
              <w:pStyle w:val="77"/>
              <w:ind w:firstLine="480" w:firstLineChars="200"/>
              <w:rPr>
                <w:b w:val="0"/>
                <w:bCs/>
              </w:rPr>
            </w:pPr>
            <w:r>
              <w:rPr>
                <w:rFonts w:hint="eastAsia"/>
                <w:b w:val="0"/>
                <w:bCs/>
              </w:rPr>
              <w:t>（3）加热结束后，等样品恢复常温后开启，取出样品。此实验会产生废金属制品。</w:t>
            </w:r>
          </w:p>
          <w:p w14:paraId="144A0269">
            <w:pPr>
              <w:spacing w:line="360" w:lineRule="auto"/>
              <w:jc w:val="center"/>
              <w:rPr>
                <w:rFonts w:hint="eastAsia" w:ascii="宋体" w:hAnsi="宋体" w:cs="宋体"/>
                <w:b/>
                <w:bCs/>
                <w:sz w:val="24"/>
              </w:rPr>
            </w:pPr>
            <w:r>
              <w:rPr>
                <w:rFonts w:hint="eastAsia" w:ascii="宋体" w:hAnsi="宋体" w:cs="宋体"/>
                <w:b/>
                <w:bCs/>
                <w:sz w:val="24"/>
              </w:rPr>
              <w:drawing>
                <wp:inline distT="0" distB="0" distL="0" distR="0">
                  <wp:extent cx="5149850" cy="339090"/>
                  <wp:effectExtent l="0" t="0" r="0" b="3810"/>
                  <wp:docPr id="19385910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9108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26404" cy="344348"/>
                          </a:xfrm>
                          <a:prstGeom prst="rect">
                            <a:avLst/>
                          </a:prstGeom>
                          <a:noFill/>
                        </pic:spPr>
                      </pic:pic>
                    </a:graphicData>
                  </a:graphic>
                </wp:inline>
              </w:drawing>
            </w:r>
          </w:p>
          <w:p w14:paraId="78D1C63E">
            <w:pPr>
              <w:spacing w:line="360" w:lineRule="auto"/>
              <w:jc w:val="center"/>
              <w:rPr>
                <w:rFonts w:hint="eastAsia" w:ascii="宋体" w:hAnsi="宋体" w:cs="宋体"/>
                <w:sz w:val="24"/>
              </w:rPr>
            </w:pPr>
            <w:r>
              <w:rPr>
                <w:rFonts w:hint="eastAsia"/>
                <w:b/>
                <w:bCs/>
                <w:szCs w:val="21"/>
              </w:rPr>
              <w:t>图2-11材料制备及形貌表征实验流程示意图</w:t>
            </w:r>
          </w:p>
          <w:p w14:paraId="1016836B">
            <w:pPr>
              <w:spacing w:line="360" w:lineRule="auto"/>
              <w:ind w:firstLine="482" w:firstLineChars="200"/>
              <w:rPr>
                <w:rFonts w:hint="eastAsia" w:ascii="宋体" w:hAnsi="宋体" w:cs="宋体"/>
                <w:b/>
                <w:bCs/>
                <w:sz w:val="24"/>
              </w:rPr>
            </w:pPr>
            <w:r>
              <w:rPr>
                <w:b/>
                <w:bCs/>
                <w:sz w:val="24"/>
              </w:rPr>
              <w:t>1.</w:t>
            </w:r>
            <w:r>
              <w:rPr>
                <w:rFonts w:hint="eastAsia"/>
                <w:b/>
                <w:bCs/>
                <w:sz w:val="24"/>
              </w:rPr>
              <w:t>10</w:t>
            </w:r>
            <w:r>
              <w:rPr>
                <w:rFonts w:hint="eastAsia" w:ascii="宋体" w:hAnsi="宋体" w:cs="宋体"/>
                <w:b/>
                <w:bCs/>
                <w:sz w:val="24"/>
              </w:rPr>
              <w:t>地质储能实验室——岩石力学性能测试</w:t>
            </w:r>
          </w:p>
          <w:p w14:paraId="186EE5B7">
            <w:pPr>
              <w:pStyle w:val="76"/>
              <w:ind w:firstLine="482"/>
              <w:rPr>
                <w:b/>
                <w:bCs/>
              </w:rPr>
            </w:pPr>
            <w:r>
              <w:rPr>
                <w:rFonts w:hint="eastAsia"/>
                <w:b/>
                <w:bCs/>
              </w:rPr>
              <w:t>实验流程说明</w:t>
            </w:r>
          </w:p>
          <w:p w14:paraId="716F6363">
            <w:pPr>
              <w:pStyle w:val="77"/>
              <w:ind w:firstLine="480" w:firstLineChars="200"/>
              <w:rPr>
                <w:b w:val="0"/>
                <w:bCs/>
              </w:rPr>
            </w:pPr>
            <w:r>
              <w:rPr>
                <w:rFonts w:hint="eastAsia"/>
                <w:b w:val="0"/>
                <w:bCs/>
              </w:rPr>
              <w:t>（1）样品间隙：在实验开始之前，必须调整试样的间隙，使样品可以完整地放入三轴装置；</w:t>
            </w:r>
          </w:p>
          <w:p w14:paraId="5944B8DC">
            <w:pPr>
              <w:pStyle w:val="77"/>
              <w:ind w:firstLine="480" w:firstLineChars="200"/>
              <w:rPr>
                <w:b w:val="0"/>
                <w:bCs/>
              </w:rPr>
            </w:pPr>
            <w:r>
              <w:rPr>
                <w:rFonts w:hint="eastAsia"/>
                <w:b w:val="0"/>
                <w:bCs/>
              </w:rPr>
              <w:t>（2）样品装置：将混凝土或岩样放入三轴装置，并调整好试样的位置和方向。实验用混凝土标样约为φ50 mm，高100 mm，一次性最大试验量为40组标样，重量约12 kg；实验用岩石标样最大约为φ100 mm，高200 mm，重量最大约为25 kg，最大试验量每次一个样品。</w:t>
            </w:r>
          </w:p>
          <w:p w14:paraId="3C74BF57">
            <w:pPr>
              <w:pStyle w:val="77"/>
              <w:ind w:firstLine="480" w:firstLineChars="200"/>
              <w:rPr>
                <w:b w:val="0"/>
                <w:bCs/>
              </w:rPr>
            </w:pPr>
            <w:r>
              <w:rPr>
                <w:rFonts w:hint="eastAsia"/>
                <w:b w:val="0"/>
                <w:bCs/>
              </w:rPr>
              <w:t>（3）预载荷：首先进行预载荷，把荷载的应变率逐渐加大，直到出现一定的变形，然后停止荷载，让样品恢复松弛。</w:t>
            </w:r>
          </w:p>
          <w:p w14:paraId="65DD4A44">
            <w:pPr>
              <w:pStyle w:val="77"/>
              <w:ind w:firstLine="480" w:firstLineChars="200"/>
              <w:rPr>
                <w:b w:val="0"/>
                <w:bCs/>
              </w:rPr>
            </w:pPr>
            <w:r>
              <w:rPr>
                <w:rFonts w:hint="eastAsia"/>
                <w:b w:val="0"/>
                <w:bCs/>
              </w:rPr>
              <w:t>（4）主要荷载：三轴装置的压力和剪切都应按照试验计划进行，其中压力的应变率通常应控制在较低的范围内.</w:t>
            </w:r>
          </w:p>
          <w:p w14:paraId="7576EE7D">
            <w:pPr>
              <w:pStyle w:val="77"/>
              <w:ind w:firstLine="480" w:firstLineChars="200"/>
              <w:rPr>
                <w:b w:val="0"/>
                <w:bCs/>
              </w:rPr>
            </w:pPr>
            <w:r>
              <w:rPr>
                <w:rFonts w:hint="eastAsia"/>
                <w:b w:val="0"/>
                <w:bCs/>
              </w:rPr>
              <w:t>（5）取出试样。此步骤会产生</w:t>
            </w:r>
            <w:r>
              <w:rPr>
                <w:rFonts w:hint="eastAsia"/>
                <w:b w:val="0"/>
              </w:rPr>
              <w:t>废</w:t>
            </w:r>
            <w:r>
              <w:rPr>
                <w:rFonts w:hint="eastAsia"/>
                <w:b w:val="0"/>
                <w:bCs/>
              </w:rPr>
              <w:t>混凝土和废岩石。</w:t>
            </w:r>
          </w:p>
          <w:p w14:paraId="6EA81ECE">
            <w:pPr>
              <w:pStyle w:val="77"/>
              <w:ind w:firstLine="480" w:firstLineChars="200"/>
              <w:rPr>
                <w:b w:val="0"/>
                <w:bCs/>
              </w:rPr>
            </w:pPr>
            <w:r>
              <w:rPr>
                <w:rFonts w:hint="eastAsia"/>
                <w:b w:val="0"/>
                <w:bCs/>
              </w:rPr>
              <w:t>（6）实验数据的记录：在实验过程中，必须记录试验数据：试样的形变、荷载和应变数据等。</w:t>
            </w:r>
          </w:p>
          <w:p w14:paraId="4ABC68B3">
            <w:pPr>
              <w:spacing w:line="360" w:lineRule="auto"/>
              <w:jc w:val="center"/>
              <w:rPr>
                <w:rFonts w:hint="eastAsia" w:ascii="宋体" w:hAnsi="宋体" w:cs="宋体"/>
                <w:b/>
                <w:bCs/>
                <w:sz w:val="24"/>
              </w:rPr>
            </w:pPr>
            <w:r>
              <w:rPr>
                <w:rFonts w:hint="eastAsia" w:ascii="宋体" w:hAnsi="宋体" w:cs="宋体"/>
                <w:b/>
                <w:bCs/>
                <w:sz w:val="24"/>
              </w:rPr>
              <w:drawing>
                <wp:inline distT="0" distB="0" distL="0" distR="0">
                  <wp:extent cx="5193030" cy="1026160"/>
                  <wp:effectExtent l="0" t="0" r="7620" b="0"/>
                  <wp:docPr id="21105474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47434"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23904" cy="1032561"/>
                          </a:xfrm>
                          <a:prstGeom prst="rect">
                            <a:avLst/>
                          </a:prstGeom>
                          <a:noFill/>
                        </pic:spPr>
                      </pic:pic>
                    </a:graphicData>
                  </a:graphic>
                </wp:inline>
              </w:drawing>
            </w:r>
          </w:p>
          <w:p w14:paraId="39098A26">
            <w:pPr>
              <w:spacing w:line="360" w:lineRule="auto"/>
              <w:jc w:val="center"/>
              <w:rPr>
                <w:rFonts w:hint="eastAsia" w:ascii="宋体" w:hAnsi="宋体" w:cs="宋体"/>
                <w:sz w:val="24"/>
              </w:rPr>
            </w:pPr>
            <w:r>
              <w:rPr>
                <w:rFonts w:hint="eastAsia"/>
                <w:b/>
                <w:bCs/>
                <w:szCs w:val="21"/>
              </w:rPr>
              <w:t>图2-12材料制备及形貌表征实验流程示意图</w:t>
            </w:r>
          </w:p>
          <w:p w14:paraId="1571674F">
            <w:pPr>
              <w:pStyle w:val="77"/>
              <w:ind w:firstLine="482" w:firstLineChars="200"/>
            </w:pPr>
            <w:r>
              <w:rPr>
                <w:rFonts w:hint="eastAsia"/>
              </w:rPr>
              <w:t>1.11 实验器皿清洗废水</w:t>
            </w:r>
          </w:p>
          <w:p w14:paraId="20C6AB9B">
            <w:pPr>
              <w:pStyle w:val="77"/>
              <w:ind w:firstLine="480" w:firstLineChars="200"/>
              <w:rPr>
                <w:b w:val="0"/>
                <w:bCs/>
              </w:rPr>
            </w:pPr>
            <w:r>
              <w:rPr>
                <w:rFonts w:hint="eastAsia"/>
                <w:b w:val="0"/>
                <w:bCs/>
              </w:rPr>
              <w:t>实验器皿清洗使用去离子水制备仪制备的去离子水清洗，年用去离子水水量为130t/a，不使用清洗剂。</w:t>
            </w:r>
          </w:p>
          <w:p w14:paraId="2DB78EE0">
            <w:pPr>
              <w:pStyle w:val="77"/>
              <w:ind w:firstLine="480" w:firstLineChars="200"/>
              <w:rPr>
                <w:b w:val="0"/>
                <w:bCs/>
              </w:rPr>
            </w:pPr>
            <w:r>
              <w:rPr>
                <w:rFonts w:hint="eastAsia"/>
                <w:b w:val="0"/>
                <w:bCs/>
              </w:rPr>
              <w:t>2、</w:t>
            </w:r>
            <w:r>
              <w:rPr>
                <w:rFonts w:hint="eastAsia"/>
              </w:rPr>
              <w:t>产污环节分析</w:t>
            </w:r>
          </w:p>
          <w:p w14:paraId="6BBB59A2">
            <w:pPr>
              <w:pStyle w:val="77"/>
              <w:jc w:val="center"/>
              <w:rPr>
                <w:sz w:val="21"/>
                <w:szCs w:val="21"/>
              </w:rPr>
            </w:pPr>
            <w:r>
              <w:rPr>
                <w:rFonts w:hint="eastAsia"/>
                <w:sz w:val="21"/>
                <w:szCs w:val="21"/>
              </w:rPr>
              <w:t>表2-4主要污染工序及污染物（因子）一览表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033"/>
              <w:gridCol w:w="4521"/>
            </w:tblGrid>
            <w:tr w14:paraId="54BE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37" w:type="pct"/>
                  <w:vAlign w:val="center"/>
                </w:tcPr>
                <w:p w14:paraId="44851977">
                  <w:pPr>
                    <w:pStyle w:val="76"/>
                    <w:spacing w:line="240" w:lineRule="auto"/>
                    <w:ind w:firstLine="0" w:firstLineChars="0"/>
                    <w:jc w:val="center"/>
                    <w:rPr>
                      <w:b/>
                      <w:bCs/>
                      <w:sz w:val="21"/>
                      <w:szCs w:val="21"/>
                    </w:rPr>
                  </w:pPr>
                  <w:bookmarkStart w:id="12" w:name="_Hlk172277070"/>
                  <w:r>
                    <w:rPr>
                      <w:rFonts w:hint="eastAsia"/>
                      <w:b/>
                      <w:bCs/>
                      <w:sz w:val="21"/>
                      <w:szCs w:val="21"/>
                    </w:rPr>
                    <w:t>项目</w:t>
                  </w:r>
                </w:p>
              </w:tc>
              <w:tc>
                <w:tcPr>
                  <w:tcW w:w="1832" w:type="pct"/>
                  <w:vAlign w:val="center"/>
                </w:tcPr>
                <w:p w14:paraId="412ED30E">
                  <w:pPr>
                    <w:pStyle w:val="76"/>
                    <w:spacing w:line="240" w:lineRule="auto"/>
                    <w:ind w:firstLine="0" w:firstLineChars="0"/>
                    <w:jc w:val="center"/>
                    <w:rPr>
                      <w:b/>
                      <w:bCs/>
                      <w:sz w:val="21"/>
                      <w:szCs w:val="21"/>
                    </w:rPr>
                  </w:pPr>
                  <w:r>
                    <w:rPr>
                      <w:rFonts w:hint="eastAsia"/>
                      <w:b/>
                      <w:bCs/>
                      <w:sz w:val="21"/>
                      <w:szCs w:val="21"/>
                    </w:rPr>
                    <w:t>污染工序</w:t>
                  </w:r>
                </w:p>
              </w:tc>
              <w:tc>
                <w:tcPr>
                  <w:tcW w:w="2731" w:type="pct"/>
                  <w:vAlign w:val="center"/>
                </w:tcPr>
                <w:p w14:paraId="3B5DF865">
                  <w:pPr>
                    <w:pStyle w:val="76"/>
                    <w:spacing w:line="240" w:lineRule="auto"/>
                    <w:ind w:firstLine="0" w:firstLineChars="0"/>
                    <w:jc w:val="center"/>
                    <w:rPr>
                      <w:b/>
                      <w:bCs/>
                      <w:sz w:val="21"/>
                      <w:szCs w:val="21"/>
                    </w:rPr>
                  </w:pPr>
                  <w:r>
                    <w:rPr>
                      <w:rFonts w:hint="eastAsia"/>
                      <w:b/>
                      <w:bCs/>
                      <w:sz w:val="21"/>
                      <w:szCs w:val="21"/>
                    </w:rPr>
                    <w:t>污染物</w:t>
                  </w:r>
                </w:p>
              </w:tc>
            </w:tr>
            <w:tr w14:paraId="6A40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restart"/>
                  <w:vAlign w:val="center"/>
                </w:tcPr>
                <w:p w14:paraId="65629D1F">
                  <w:pPr>
                    <w:pStyle w:val="76"/>
                    <w:spacing w:line="240" w:lineRule="auto"/>
                    <w:ind w:firstLine="0" w:firstLineChars="0"/>
                    <w:jc w:val="center"/>
                    <w:rPr>
                      <w:sz w:val="21"/>
                      <w:szCs w:val="21"/>
                    </w:rPr>
                  </w:pPr>
                  <w:r>
                    <w:rPr>
                      <w:rFonts w:hint="eastAsia"/>
                      <w:sz w:val="21"/>
                      <w:szCs w:val="21"/>
                    </w:rPr>
                    <w:t>废气</w:t>
                  </w:r>
                </w:p>
              </w:tc>
              <w:tc>
                <w:tcPr>
                  <w:tcW w:w="1832" w:type="pct"/>
                  <w:vAlign w:val="center"/>
                </w:tcPr>
                <w:p w14:paraId="133292BE">
                  <w:pPr>
                    <w:pStyle w:val="76"/>
                    <w:spacing w:line="240" w:lineRule="auto"/>
                    <w:ind w:firstLine="0" w:firstLineChars="0"/>
                    <w:jc w:val="center"/>
                    <w:rPr>
                      <w:sz w:val="21"/>
                      <w:szCs w:val="21"/>
                    </w:rPr>
                  </w:pPr>
                  <w:r>
                    <w:rPr>
                      <w:rFonts w:hint="eastAsia"/>
                      <w:sz w:val="21"/>
                      <w:szCs w:val="21"/>
                    </w:rPr>
                    <w:t>CO</w:t>
                  </w:r>
                  <w:r>
                    <w:rPr>
                      <w:rFonts w:hint="eastAsia"/>
                      <w:sz w:val="21"/>
                      <w:szCs w:val="21"/>
                      <w:vertAlign w:val="subscript"/>
                    </w:rPr>
                    <w:t>2</w:t>
                  </w:r>
                  <w:r>
                    <w:rPr>
                      <w:rFonts w:hint="eastAsia"/>
                      <w:sz w:val="21"/>
                      <w:szCs w:val="21"/>
                    </w:rPr>
                    <w:t>驱替实验</w:t>
                  </w:r>
                </w:p>
              </w:tc>
              <w:tc>
                <w:tcPr>
                  <w:tcW w:w="2731" w:type="pct"/>
                  <w:vAlign w:val="center"/>
                </w:tcPr>
                <w:p w14:paraId="16344CC1">
                  <w:pPr>
                    <w:pStyle w:val="76"/>
                    <w:spacing w:line="240" w:lineRule="auto"/>
                    <w:ind w:firstLine="0" w:firstLineChars="0"/>
                    <w:jc w:val="center"/>
                    <w:rPr>
                      <w:sz w:val="21"/>
                      <w:szCs w:val="21"/>
                    </w:rPr>
                  </w:pPr>
                  <w:r>
                    <w:rPr>
                      <w:rFonts w:hint="eastAsia"/>
                      <w:sz w:val="21"/>
                      <w:szCs w:val="21"/>
                    </w:rPr>
                    <w:t>二氧化碳、甲烷</w:t>
                  </w:r>
                </w:p>
              </w:tc>
            </w:tr>
            <w:tr w14:paraId="2897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059B0E1C">
                  <w:pPr>
                    <w:pStyle w:val="76"/>
                    <w:spacing w:line="240" w:lineRule="auto"/>
                    <w:ind w:firstLine="0" w:firstLineChars="0"/>
                    <w:jc w:val="center"/>
                    <w:rPr>
                      <w:sz w:val="21"/>
                      <w:szCs w:val="21"/>
                    </w:rPr>
                  </w:pPr>
                </w:p>
              </w:tc>
              <w:tc>
                <w:tcPr>
                  <w:tcW w:w="1832" w:type="pct"/>
                  <w:vAlign w:val="center"/>
                </w:tcPr>
                <w:p w14:paraId="2878F2E2">
                  <w:pPr>
                    <w:pStyle w:val="76"/>
                    <w:spacing w:line="240" w:lineRule="auto"/>
                    <w:ind w:firstLine="0" w:firstLineChars="0"/>
                    <w:jc w:val="center"/>
                    <w:rPr>
                      <w:sz w:val="21"/>
                      <w:szCs w:val="21"/>
                    </w:rPr>
                  </w:pPr>
                  <w:r>
                    <w:rPr>
                      <w:rFonts w:hint="eastAsia"/>
                      <w:sz w:val="21"/>
                      <w:szCs w:val="21"/>
                    </w:rPr>
                    <w:t>气体组分测试实验</w:t>
                  </w:r>
                </w:p>
              </w:tc>
              <w:tc>
                <w:tcPr>
                  <w:tcW w:w="2731" w:type="pct"/>
                  <w:vAlign w:val="center"/>
                </w:tcPr>
                <w:p w14:paraId="07474B02">
                  <w:pPr>
                    <w:pStyle w:val="76"/>
                    <w:spacing w:line="240" w:lineRule="auto"/>
                    <w:ind w:firstLine="0" w:firstLineChars="0"/>
                    <w:jc w:val="center"/>
                    <w:rPr>
                      <w:sz w:val="21"/>
                      <w:szCs w:val="21"/>
                    </w:rPr>
                  </w:pPr>
                  <w:r>
                    <w:rPr>
                      <w:rFonts w:hint="eastAsia"/>
                      <w:sz w:val="21"/>
                      <w:szCs w:val="21"/>
                    </w:rPr>
                    <w:t>二氧化碳、甲烷</w:t>
                  </w:r>
                </w:p>
              </w:tc>
            </w:tr>
            <w:tr w14:paraId="6642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restart"/>
                  <w:vAlign w:val="center"/>
                </w:tcPr>
                <w:p w14:paraId="2BB9C882">
                  <w:pPr>
                    <w:pStyle w:val="76"/>
                    <w:spacing w:line="240" w:lineRule="auto"/>
                    <w:ind w:firstLine="0" w:firstLineChars="0"/>
                    <w:jc w:val="center"/>
                    <w:rPr>
                      <w:sz w:val="21"/>
                      <w:szCs w:val="21"/>
                    </w:rPr>
                  </w:pPr>
                  <w:r>
                    <w:rPr>
                      <w:rFonts w:hint="eastAsia"/>
                      <w:sz w:val="21"/>
                      <w:szCs w:val="21"/>
                    </w:rPr>
                    <w:t>废水</w:t>
                  </w:r>
                </w:p>
              </w:tc>
              <w:tc>
                <w:tcPr>
                  <w:tcW w:w="1832" w:type="pct"/>
                  <w:vAlign w:val="center"/>
                </w:tcPr>
                <w:p w14:paraId="114DE132">
                  <w:pPr>
                    <w:pStyle w:val="76"/>
                    <w:spacing w:line="240" w:lineRule="auto"/>
                    <w:ind w:firstLine="0" w:firstLineChars="0"/>
                    <w:jc w:val="center"/>
                    <w:rPr>
                      <w:sz w:val="21"/>
                      <w:szCs w:val="21"/>
                    </w:rPr>
                  </w:pPr>
                  <w:r>
                    <w:rPr>
                      <w:rFonts w:hint="eastAsia"/>
                      <w:sz w:val="21"/>
                      <w:szCs w:val="21"/>
                    </w:rPr>
                    <w:t>生活污水</w:t>
                  </w:r>
                </w:p>
              </w:tc>
              <w:tc>
                <w:tcPr>
                  <w:tcW w:w="2731" w:type="pct"/>
                  <w:vAlign w:val="center"/>
                </w:tcPr>
                <w:p w14:paraId="3837168A">
                  <w:pPr>
                    <w:pStyle w:val="76"/>
                    <w:spacing w:line="240" w:lineRule="auto"/>
                    <w:ind w:firstLine="0" w:firstLineChars="0"/>
                    <w:jc w:val="center"/>
                    <w:rPr>
                      <w:sz w:val="21"/>
                      <w:szCs w:val="21"/>
                    </w:rPr>
                  </w:pPr>
                  <w:r>
                    <w:rPr>
                      <w:rFonts w:hint="eastAsia"/>
                      <w:sz w:val="21"/>
                      <w:szCs w:val="21"/>
                    </w:rPr>
                    <w:t>COD</w:t>
                  </w:r>
                  <w:r>
                    <w:rPr>
                      <w:rFonts w:hint="eastAsia"/>
                      <w:sz w:val="21"/>
                      <w:szCs w:val="21"/>
                      <w:vertAlign w:val="subscript"/>
                    </w:rPr>
                    <w:t>Cr</w:t>
                  </w:r>
                  <w:r>
                    <w:rPr>
                      <w:rFonts w:hint="eastAsia"/>
                      <w:sz w:val="21"/>
                      <w:szCs w:val="21"/>
                    </w:rPr>
                    <w:t>、BOD</w:t>
                  </w:r>
                  <w:r>
                    <w:rPr>
                      <w:rFonts w:hint="eastAsia"/>
                      <w:sz w:val="21"/>
                      <w:szCs w:val="21"/>
                      <w:vertAlign w:val="subscript"/>
                    </w:rPr>
                    <w:t>5</w:t>
                  </w:r>
                  <w:r>
                    <w:rPr>
                      <w:rFonts w:hint="eastAsia"/>
                      <w:sz w:val="21"/>
                      <w:szCs w:val="21"/>
                    </w:rPr>
                    <w:t>、氨氮、SS</w:t>
                  </w:r>
                </w:p>
              </w:tc>
            </w:tr>
            <w:tr w14:paraId="0F17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561CDB40">
                  <w:pPr>
                    <w:pStyle w:val="76"/>
                    <w:spacing w:line="240" w:lineRule="auto"/>
                    <w:ind w:firstLine="0" w:firstLineChars="0"/>
                    <w:jc w:val="center"/>
                    <w:rPr>
                      <w:sz w:val="21"/>
                      <w:szCs w:val="21"/>
                    </w:rPr>
                  </w:pPr>
                </w:p>
              </w:tc>
              <w:tc>
                <w:tcPr>
                  <w:tcW w:w="1832" w:type="pct"/>
                  <w:vAlign w:val="center"/>
                </w:tcPr>
                <w:p w14:paraId="2C1417D8">
                  <w:pPr>
                    <w:pStyle w:val="76"/>
                    <w:spacing w:line="240" w:lineRule="auto"/>
                    <w:ind w:firstLine="0" w:firstLineChars="0"/>
                    <w:jc w:val="center"/>
                    <w:rPr>
                      <w:sz w:val="21"/>
                      <w:szCs w:val="21"/>
                    </w:rPr>
                  </w:pPr>
                  <w:r>
                    <w:rPr>
                      <w:rFonts w:hint="eastAsia"/>
                      <w:sz w:val="21"/>
                      <w:szCs w:val="21"/>
                    </w:rPr>
                    <w:t>制备去离子水产生的浓水</w:t>
                  </w:r>
                </w:p>
              </w:tc>
              <w:tc>
                <w:tcPr>
                  <w:tcW w:w="2731" w:type="pct"/>
                  <w:vAlign w:val="center"/>
                </w:tcPr>
                <w:p w14:paraId="19E37B09">
                  <w:pPr>
                    <w:pStyle w:val="76"/>
                    <w:spacing w:line="240" w:lineRule="auto"/>
                    <w:ind w:firstLine="0" w:firstLineChars="0"/>
                    <w:jc w:val="center"/>
                    <w:rPr>
                      <w:sz w:val="21"/>
                      <w:szCs w:val="21"/>
                    </w:rPr>
                  </w:pPr>
                  <w:r>
                    <w:rPr>
                      <w:rFonts w:hint="eastAsia"/>
                      <w:sz w:val="21"/>
                      <w:szCs w:val="21"/>
                    </w:rPr>
                    <w:t>COD</w:t>
                  </w:r>
                  <w:r>
                    <w:rPr>
                      <w:rFonts w:hint="eastAsia"/>
                      <w:sz w:val="21"/>
                      <w:szCs w:val="21"/>
                      <w:vertAlign w:val="subscript"/>
                    </w:rPr>
                    <w:t>Cr</w:t>
                  </w:r>
                  <w:r>
                    <w:rPr>
                      <w:rFonts w:hint="eastAsia"/>
                      <w:sz w:val="21"/>
                      <w:szCs w:val="21"/>
                    </w:rPr>
                    <w:t>、BOD</w:t>
                  </w:r>
                  <w:r>
                    <w:rPr>
                      <w:rFonts w:hint="eastAsia"/>
                      <w:sz w:val="21"/>
                      <w:szCs w:val="21"/>
                      <w:vertAlign w:val="subscript"/>
                    </w:rPr>
                    <w:t>5</w:t>
                  </w:r>
                  <w:r>
                    <w:rPr>
                      <w:rFonts w:hint="eastAsia"/>
                      <w:sz w:val="21"/>
                      <w:szCs w:val="21"/>
                    </w:rPr>
                    <w:t>、SS</w:t>
                  </w:r>
                </w:p>
              </w:tc>
            </w:tr>
            <w:tr w14:paraId="0E9C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3BEA4916">
                  <w:pPr>
                    <w:pStyle w:val="76"/>
                    <w:spacing w:line="240" w:lineRule="auto"/>
                    <w:ind w:firstLine="0" w:firstLineChars="0"/>
                    <w:jc w:val="center"/>
                    <w:rPr>
                      <w:sz w:val="21"/>
                      <w:szCs w:val="21"/>
                    </w:rPr>
                  </w:pPr>
                </w:p>
              </w:tc>
              <w:tc>
                <w:tcPr>
                  <w:tcW w:w="1832" w:type="pct"/>
                  <w:vAlign w:val="center"/>
                </w:tcPr>
                <w:p w14:paraId="260296D4">
                  <w:pPr>
                    <w:pStyle w:val="76"/>
                    <w:spacing w:line="240" w:lineRule="auto"/>
                    <w:ind w:firstLine="0" w:firstLineChars="0"/>
                    <w:jc w:val="center"/>
                    <w:rPr>
                      <w:sz w:val="21"/>
                      <w:szCs w:val="21"/>
                    </w:rPr>
                  </w:pPr>
                  <w:r>
                    <w:rPr>
                      <w:rFonts w:hint="eastAsia"/>
                      <w:sz w:val="21"/>
                      <w:szCs w:val="21"/>
                    </w:rPr>
                    <w:t>实验器皿清洗</w:t>
                  </w:r>
                </w:p>
              </w:tc>
              <w:tc>
                <w:tcPr>
                  <w:tcW w:w="2731" w:type="pct"/>
                  <w:vAlign w:val="center"/>
                </w:tcPr>
                <w:p w14:paraId="40867E4E">
                  <w:pPr>
                    <w:pStyle w:val="76"/>
                    <w:spacing w:line="240" w:lineRule="auto"/>
                    <w:ind w:firstLine="0" w:firstLineChars="0"/>
                    <w:jc w:val="center"/>
                    <w:rPr>
                      <w:sz w:val="21"/>
                      <w:szCs w:val="21"/>
                    </w:rPr>
                  </w:pPr>
                  <w:r>
                    <w:rPr>
                      <w:rFonts w:hint="eastAsia"/>
                      <w:sz w:val="21"/>
                      <w:szCs w:val="21"/>
                    </w:rPr>
                    <w:t>pH，CODcr、氨氮</w:t>
                  </w:r>
                </w:p>
              </w:tc>
            </w:tr>
            <w:tr w14:paraId="7ED1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Align w:val="center"/>
                </w:tcPr>
                <w:p w14:paraId="0B46005B">
                  <w:pPr>
                    <w:pStyle w:val="76"/>
                    <w:spacing w:line="240" w:lineRule="auto"/>
                    <w:ind w:firstLine="0" w:firstLineChars="0"/>
                    <w:jc w:val="center"/>
                    <w:rPr>
                      <w:sz w:val="21"/>
                      <w:szCs w:val="21"/>
                    </w:rPr>
                  </w:pPr>
                  <w:r>
                    <w:rPr>
                      <w:rFonts w:hint="eastAsia"/>
                      <w:sz w:val="21"/>
                      <w:szCs w:val="21"/>
                    </w:rPr>
                    <w:t>噪声</w:t>
                  </w:r>
                </w:p>
              </w:tc>
              <w:tc>
                <w:tcPr>
                  <w:tcW w:w="1832" w:type="pct"/>
                  <w:vAlign w:val="center"/>
                </w:tcPr>
                <w:p w14:paraId="17885EDB">
                  <w:pPr>
                    <w:pStyle w:val="76"/>
                    <w:spacing w:line="240" w:lineRule="auto"/>
                    <w:ind w:firstLine="0" w:firstLineChars="0"/>
                    <w:jc w:val="center"/>
                    <w:rPr>
                      <w:sz w:val="21"/>
                      <w:szCs w:val="21"/>
                    </w:rPr>
                  </w:pPr>
                  <w:r>
                    <w:rPr>
                      <w:rFonts w:hint="eastAsia"/>
                      <w:sz w:val="21"/>
                      <w:szCs w:val="21"/>
                    </w:rPr>
                    <w:t>设备运行</w:t>
                  </w:r>
                </w:p>
              </w:tc>
              <w:tc>
                <w:tcPr>
                  <w:tcW w:w="2731" w:type="pct"/>
                  <w:vAlign w:val="center"/>
                </w:tcPr>
                <w:p w14:paraId="05828D4F">
                  <w:pPr>
                    <w:pStyle w:val="76"/>
                    <w:spacing w:line="240" w:lineRule="auto"/>
                    <w:ind w:firstLine="0" w:firstLineChars="0"/>
                    <w:jc w:val="center"/>
                    <w:rPr>
                      <w:sz w:val="21"/>
                      <w:szCs w:val="21"/>
                    </w:rPr>
                  </w:pPr>
                  <w:r>
                    <w:rPr>
                      <w:rFonts w:hint="eastAsia"/>
                      <w:sz w:val="21"/>
                      <w:szCs w:val="21"/>
                    </w:rPr>
                    <w:t>噪声</w:t>
                  </w:r>
                </w:p>
              </w:tc>
            </w:tr>
            <w:tr w14:paraId="283B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restart"/>
                  <w:vAlign w:val="center"/>
                </w:tcPr>
                <w:p w14:paraId="5FEE1835">
                  <w:pPr>
                    <w:pStyle w:val="76"/>
                    <w:spacing w:line="240" w:lineRule="auto"/>
                    <w:ind w:firstLine="0" w:firstLineChars="0"/>
                    <w:rPr>
                      <w:sz w:val="21"/>
                      <w:szCs w:val="21"/>
                    </w:rPr>
                  </w:pPr>
                  <w:r>
                    <w:rPr>
                      <w:rFonts w:hint="eastAsia"/>
                      <w:sz w:val="21"/>
                      <w:szCs w:val="21"/>
                    </w:rPr>
                    <w:t>一般固废</w:t>
                  </w:r>
                </w:p>
              </w:tc>
              <w:tc>
                <w:tcPr>
                  <w:tcW w:w="1832" w:type="pct"/>
                  <w:vAlign w:val="center"/>
                </w:tcPr>
                <w:p w14:paraId="4C23886A">
                  <w:pPr>
                    <w:pStyle w:val="76"/>
                    <w:spacing w:line="240" w:lineRule="auto"/>
                    <w:ind w:firstLine="0" w:firstLineChars="0"/>
                    <w:jc w:val="center"/>
                    <w:rPr>
                      <w:sz w:val="21"/>
                      <w:szCs w:val="21"/>
                    </w:rPr>
                  </w:pPr>
                  <w:r>
                    <w:rPr>
                      <w:rFonts w:hint="eastAsia"/>
                      <w:sz w:val="21"/>
                      <w:szCs w:val="21"/>
                    </w:rPr>
                    <w:t>员工生活</w:t>
                  </w:r>
                </w:p>
              </w:tc>
              <w:tc>
                <w:tcPr>
                  <w:tcW w:w="2731" w:type="pct"/>
                  <w:vAlign w:val="center"/>
                </w:tcPr>
                <w:p w14:paraId="0A351836">
                  <w:pPr>
                    <w:pStyle w:val="76"/>
                    <w:spacing w:line="240" w:lineRule="auto"/>
                    <w:ind w:firstLine="0" w:firstLineChars="0"/>
                    <w:jc w:val="center"/>
                    <w:rPr>
                      <w:sz w:val="21"/>
                      <w:szCs w:val="21"/>
                    </w:rPr>
                  </w:pPr>
                  <w:r>
                    <w:rPr>
                      <w:rFonts w:hint="eastAsia"/>
                      <w:sz w:val="21"/>
                      <w:szCs w:val="21"/>
                    </w:rPr>
                    <w:t>生活垃圾</w:t>
                  </w:r>
                </w:p>
              </w:tc>
            </w:tr>
            <w:tr w14:paraId="5E33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04E92AEB">
                  <w:pPr>
                    <w:pStyle w:val="76"/>
                    <w:spacing w:line="240" w:lineRule="auto"/>
                    <w:ind w:firstLine="0" w:firstLineChars="0"/>
                    <w:rPr>
                      <w:sz w:val="21"/>
                      <w:szCs w:val="21"/>
                    </w:rPr>
                  </w:pPr>
                </w:p>
              </w:tc>
              <w:tc>
                <w:tcPr>
                  <w:tcW w:w="1832" w:type="pct"/>
                  <w:vAlign w:val="center"/>
                </w:tcPr>
                <w:p w14:paraId="00201CE4">
                  <w:pPr>
                    <w:pStyle w:val="76"/>
                    <w:spacing w:line="240" w:lineRule="auto"/>
                    <w:ind w:firstLine="0" w:firstLineChars="0"/>
                    <w:jc w:val="center"/>
                    <w:rPr>
                      <w:sz w:val="21"/>
                      <w:szCs w:val="21"/>
                    </w:rPr>
                  </w:pPr>
                  <w:r>
                    <w:rPr>
                      <w:rFonts w:hint="eastAsia"/>
                      <w:sz w:val="21"/>
                      <w:szCs w:val="21"/>
                    </w:rPr>
                    <w:t>储能关键金属实验室的去离子水制备</w:t>
                  </w:r>
                </w:p>
              </w:tc>
              <w:tc>
                <w:tcPr>
                  <w:tcW w:w="2731" w:type="pct"/>
                  <w:vAlign w:val="center"/>
                </w:tcPr>
                <w:p w14:paraId="6B010E0C">
                  <w:pPr>
                    <w:pStyle w:val="76"/>
                    <w:spacing w:line="240" w:lineRule="auto"/>
                    <w:ind w:firstLine="0" w:firstLineChars="0"/>
                    <w:jc w:val="center"/>
                    <w:rPr>
                      <w:sz w:val="21"/>
                      <w:szCs w:val="21"/>
                    </w:rPr>
                  </w:pPr>
                  <w:r>
                    <w:rPr>
                      <w:rFonts w:hint="eastAsia"/>
                      <w:sz w:val="21"/>
                      <w:szCs w:val="21"/>
                    </w:rPr>
                    <w:t>废离子交换树脂、废反渗透膜</w:t>
                  </w:r>
                </w:p>
              </w:tc>
            </w:tr>
            <w:tr w14:paraId="51A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7D98FFC3">
                  <w:pPr>
                    <w:pStyle w:val="76"/>
                    <w:spacing w:line="240" w:lineRule="auto"/>
                    <w:ind w:firstLine="420"/>
                    <w:jc w:val="center"/>
                    <w:rPr>
                      <w:sz w:val="21"/>
                      <w:szCs w:val="21"/>
                    </w:rPr>
                  </w:pPr>
                </w:p>
              </w:tc>
              <w:tc>
                <w:tcPr>
                  <w:tcW w:w="1832" w:type="pct"/>
                  <w:vAlign w:val="center"/>
                </w:tcPr>
                <w:p w14:paraId="7198CB2E">
                  <w:pPr>
                    <w:pStyle w:val="76"/>
                    <w:spacing w:line="240" w:lineRule="auto"/>
                    <w:ind w:firstLine="0" w:firstLineChars="0"/>
                    <w:jc w:val="center"/>
                    <w:rPr>
                      <w:sz w:val="21"/>
                      <w:szCs w:val="21"/>
                    </w:rPr>
                  </w:pPr>
                  <w:r>
                    <w:rPr>
                      <w:rFonts w:hint="eastAsia"/>
                      <w:sz w:val="21"/>
                      <w:szCs w:val="21"/>
                    </w:rPr>
                    <w:t>三轴压应力实验</w:t>
                  </w:r>
                </w:p>
              </w:tc>
              <w:tc>
                <w:tcPr>
                  <w:tcW w:w="2731" w:type="pct"/>
                  <w:vAlign w:val="center"/>
                </w:tcPr>
                <w:p w14:paraId="0DB7A0EB">
                  <w:pPr>
                    <w:pStyle w:val="76"/>
                    <w:spacing w:line="240" w:lineRule="auto"/>
                    <w:ind w:firstLine="0" w:firstLineChars="0"/>
                    <w:jc w:val="center"/>
                    <w:rPr>
                      <w:sz w:val="21"/>
                      <w:szCs w:val="21"/>
                    </w:rPr>
                  </w:pPr>
                  <w:r>
                    <w:rPr>
                      <w:rFonts w:hint="eastAsia"/>
                      <w:sz w:val="21"/>
                      <w:szCs w:val="21"/>
                    </w:rPr>
                    <w:t>废矸石</w:t>
                  </w:r>
                </w:p>
              </w:tc>
            </w:tr>
            <w:tr w14:paraId="060B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3C986E7F">
                  <w:pPr>
                    <w:pStyle w:val="76"/>
                    <w:spacing w:line="240" w:lineRule="auto"/>
                    <w:ind w:firstLine="420"/>
                    <w:jc w:val="center"/>
                    <w:rPr>
                      <w:sz w:val="21"/>
                      <w:szCs w:val="21"/>
                    </w:rPr>
                  </w:pPr>
                </w:p>
              </w:tc>
              <w:tc>
                <w:tcPr>
                  <w:tcW w:w="1832" w:type="pct"/>
                  <w:vAlign w:val="center"/>
                </w:tcPr>
                <w:p w14:paraId="3ED3E204">
                  <w:pPr>
                    <w:pStyle w:val="76"/>
                    <w:spacing w:line="240" w:lineRule="auto"/>
                    <w:ind w:firstLine="0" w:firstLineChars="0"/>
                    <w:jc w:val="center"/>
                    <w:rPr>
                      <w:sz w:val="21"/>
                      <w:szCs w:val="21"/>
                    </w:rPr>
                  </w:pPr>
                  <w:r>
                    <w:rPr>
                      <w:rFonts w:hint="eastAsia"/>
                      <w:sz w:val="21"/>
                      <w:szCs w:val="21"/>
                    </w:rPr>
                    <w:t>渗透率测量实验</w:t>
                  </w:r>
                </w:p>
              </w:tc>
              <w:tc>
                <w:tcPr>
                  <w:tcW w:w="2731" w:type="pct"/>
                  <w:vAlign w:val="center"/>
                </w:tcPr>
                <w:p w14:paraId="61929229">
                  <w:pPr>
                    <w:pStyle w:val="76"/>
                    <w:spacing w:line="240" w:lineRule="auto"/>
                    <w:ind w:firstLine="0" w:firstLineChars="0"/>
                    <w:jc w:val="center"/>
                    <w:rPr>
                      <w:sz w:val="21"/>
                      <w:szCs w:val="21"/>
                    </w:rPr>
                  </w:pPr>
                  <w:r>
                    <w:rPr>
                      <w:rFonts w:hint="eastAsia"/>
                      <w:sz w:val="21"/>
                      <w:szCs w:val="21"/>
                    </w:rPr>
                    <w:t>废矸石</w:t>
                  </w:r>
                </w:p>
              </w:tc>
            </w:tr>
            <w:tr w14:paraId="112E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437" w:type="pct"/>
                  <w:vMerge w:val="continue"/>
                  <w:vAlign w:val="center"/>
                </w:tcPr>
                <w:p w14:paraId="6FD237E3">
                  <w:pPr>
                    <w:pStyle w:val="76"/>
                    <w:spacing w:line="240" w:lineRule="auto"/>
                    <w:ind w:firstLine="420"/>
                    <w:jc w:val="center"/>
                    <w:rPr>
                      <w:sz w:val="21"/>
                      <w:szCs w:val="21"/>
                    </w:rPr>
                  </w:pPr>
                </w:p>
              </w:tc>
              <w:tc>
                <w:tcPr>
                  <w:tcW w:w="1832" w:type="pct"/>
                  <w:vAlign w:val="center"/>
                </w:tcPr>
                <w:p w14:paraId="6EB7050F">
                  <w:pPr>
                    <w:pStyle w:val="76"/>
                    <w:spacing w:line="240" w:lineRule="auto"/>
                    <w:ind w:firstLine="0" w:firstLineChars="0"/>
                    <w:jc w:val="center"/>
                    <w:rPr>
                      <w:sz w:val="21"/>
                      <w:szCs w:val="21"/>
                    </w:rPr>
                  </w:pPr>
                  <w:r>
                    <w:rPr>
                      <w:rFonts w:hint="eastAsia" w:ascii="宋体" w:hAnsi="宋体" w:cs="宋体"/>
                      <w:sz w:val="21"/>
                      <w:szCs w:val="21"/>
                    </w:rPr>
                    <w:t>岩石热物性实验</w:t>
                  </w:r>
                </w:p>
              </w:tc>
              <w:tc>
                <w:tcPr>
                  <w:tcW w:w="2731" w:type="pct"/>
                  <w:vAlign w:val="center"/>
                </w:tcPr>
                <w:p w14:paraId="7E4A0B8E">
                  <w:pPr>
                    <w:pStyle w:val="76"/>
                    <w:spacing w:line="240" w:lineRule="auto"/>
                    <w:ind w:firstLine="0" w:firstLineChars="0"/>
                    <w:jc w:val="center"/>
                    <w:rPr>
                      <w:sz w:val="21"/>
                      <w:szCs w:val="21"/>
                    </w:rPr>
                  </w:pPr>
                  <w:r>
                    <w:rPr>
                      <w:rFonts w:hint="eastAsia"/>
                      <w:sz w:val="21"/>
                      <w:szCs w:val="21"/>
                    </w:rPr>
                    <w:t>废矸石</w:t>
                  </w:r>
                </w:p>
              </w:tc>
            </w:tr>
            <w:tr w14:paraId="66F1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4AE913B5"/>
              </w:tc>
              <w:tc>
                <w:tcPr>
                  <w:tcW w:w="1832" w:type="pct"/>
                  <w:vAlign w:val="center"/>
                </w:tcPr>
                <w:p w14:paraId="6AA5ED1B">
                  <w:pPr>
                    <w:pStyle w:val="76"/>
                    <w:spacing w:line="240" w:lineRule="auto"/>
                    <w:ind w:firstLine="0" w:firstLineChars="0"/>
                    <w:jc w:val="center"/>
                    <w:rPr>
                      <w:rFonts w:hint="eastAsia" w:ascii="宋体" w:hAnsi="宋体" w:cs="宋体"/>
                      <w:sz w:val="21"/>
                      <w:szCs w:val="21"/>
                    </w:rPr>
                  </w:pPr>
                  <w:r>
                    <w:rPr>
                      <w:rFonts w:hint="eastAsia" w:ascii="宋体" w:hAnsi="宋体" w:cs="宋体"/>
                      <w:sz w:val="21"/>
                      <w:szCs w:val="21"/>
                    </w:rPr>
                    <w:t>公共理化实验</w:t>
                  </w:r>
                </w:p>
              </w:tc>
              <w:tc>
                <w:tcPr>
                  <w:tcW w:w="2731" w:type="pct"/>
                  <w:vAlign w:val="center"/>
                </w:tcPr>
                <w:p w14:paraId="7A86034A">
                  <w:pPr>
                    <w:pStyle w:val="76"/>
                    <w:spacing w:line="240" w:lineRule="auto"/>
                    <w:ind w:firstLine="0" w:firstLineChars="0"/>
                    <w:jc w:val="center"/>
                    <w:rPr>
                      <w:sz w:val="21"/>
                      <w:szCs w:val="21"/>
                    </w:rPr>
                  </w:pPr>
                  <w:r>
                    <w:rPr>
                      <w:rFonts w:hint="eastAsia"/>
                      <w:sz w:val="21"/>
                      <w:szCs w:val="21"/>
                    </w:rPr>
                    <w:t>废矸石</w:t>
                  </w:r>
                </w:p>
              </w:tc>
            </w:tr>
            <w:tr w14:paraId="01A1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3C2FF284">
                  <w:pPr>
                    <w:pStyle w:val="76"/>
                    <w:spacing w:line="240" w:lineRule="auto"/>
                    <w:ind w:firstLine="420"/>
                    <w:jc w:val="center"/>
                    <w:rPr>
                      <w:sz w:val="21"/>
                      <w:szCs w:val="21"/>
                    </w:rPr>
                  </w:pPr>
                </w:p>
              </w:tc>
              <w:tc>
                <w:tcPr>
                  <w:tcW w:w="1832" w:type="pct"/>
                  <w:vAlign w:val="center"/>
                </w:tcPr>
                <w:p w14:paraId="16779802">
                  <w:pPr>
                    <w:pStyle w:val="76"/>
                    <w:spacing w:line="240" w:lineRule="auto"/>
                    <w:ind w:firstLine="0" w:firstLineChars="0"/>
                    <w:jc w:val="center"/>
                    <w:rPr>
                      <w:sz w:val="21"/>
                      <w:szCs w:val="21"/>
                    </w:rPr>
                  </w:pPr>
                  <w:r>
                    <w:rPr>
                      <w:rFonts w:hint="eastAsia"/>
                      <w:sz w:val="21"/>
                      <w:szCs w:val="21"/>
                    </w:rPr>
                    <w:t>储能材料实验室</w:t>
                  </w:r>
                </w:p>
              </w:tc>
              <w:tc>
                <w:tcPr>
                  <w:tcW w:w="2731" w:type="pct"/>
                  <w:vAlign w:val="center"/>
                </w:tcPr>
                <w:p w14:paraId="050F4757">
                  <w:pPr>
                    <w:pStyle w:val="76"/>
                    <w:spacing w:line="240" w:lineRule="auto"/>
                    <w:ind w:firstLine="0" w:firstLineChars="0"/>
                    <w:jc w:val="center"/>
                    <w:rPr>
                      <w:sz w:val="21"/>
                      <w:szCs w:val="21"/>
                    </w:rPr>
                  </w:pPr>
                  <w:r>
                    <w:rPr>
                      <w:rFonts w:hint="eastAsia"/>
                      <w:sz w:val="21"/>
                      <w:szCs w:val="21"/>
                    </w:rPr>
                    <w:t>废金属制品</w:t>
                  </w:r>
                </w:p>
              </w:tc>
            </w:tr>
            <w:tr w14:paraId="30FA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12B1CA6E">
                  <w:pPr>
                    <w:pStyle w:val="76"/>
                    <w:spacing w:line="240" w:lineRule="auto"/>
                    <w:ind w:firstLine="420"/>
                    <w:jc w:val="center"/>
                    <w:rPr>
                      <w:sz w:val="21"/>
                      <w:szCs w:val="21"/>
                    </w:rPr>
                  </w:pPr>
                </w:p>
              </w:tc>
              <w:tc>
                <w:tcPr>
                  <w:tcW w:w="1832" w:type="pct"/>
                  <w:vAlign w:val="center"/>
                </w:tcPr>
                <w:p w14:paraId="49AFA3A5">
                  <w:pPr>
                    <w:pStyle w:val="76"/>
                    <w:spacing w:line="240" w:lineRule="auto"/>
                    <w:ind w:firstLine="0" w:firstLineChars="0"/>
                    <w:jc w:val="center"/>
                    <w:rPr>
                      <w:sz w:val="21"/>
                      <w:szCs w:val="21"/>
                    </w:rPr>
                  </w:pPr>
                  <w:r>
                    <w:rPr>
                      <w:rFonts w:hint="eastAsia"/>
                      <w:sz w:val="21"/>
                      <w:szCs w:val="21"/>
                    </w:rPr>
                    <w:t>地质储能实验室</w:t>
                  </w:r>
                </w:p>
              </w:tc>
              <w:tc>
                <w:tcPr>
                  <w:tcW w:w="2731" w:type="pct"/>
                  <w:vAlign w:val="center"/>
                </w:tcPr>
                <w:p w14:paraId="7225C7EE">
                  <w:pPr>
                    <w:pStyle w:val="76"/>
                    <w:spacing w:line="240" w:lineRule="auto"/>
                    <w:ind w:firstLine="0" w:firstLineChars="0"/>
                    <w:jc w:val="center"/>
                    <w:rPr>
                      <w:sz w:val="21"/>
                      <w:szCs w:val="21"/>
                    </w:rPr>
                  </w:pPr>
                  <w:r>
                    <w:rPr>
                      <w:rFonts w:hint="eastAsia"/>
                      <w:sz w:val="21"/>
                      <w:szCs w:val="21"/>
                    </w:rPr>
                    <w:t>废混凝土、废岩石</w:t>
                  </w:r>
                </w:p>
              </w:tc>
            </w:tr>
            <w:tr w14:paraId="7A0A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restart"/>
                  <w:vAlign w:val="center"/>
                </w:tcPr>
                <w:p w14:paraId="254523F4">
                  <w:pPr>
                    <w:pStyle w:val="76"/>
                    <w:spacing w:line="240" w:lineRule="auto"/>
                    <w:ind w:firstLine="0" w:firstLineChars="0"/>
                    <w:jc w:val="center"/>
                    <w:rPr>
                      <w:sz w:val="21"/>
                      <w:szCs w:val="21"/>
                    </w:rPr>
                  </w:pPr>
                  <w:r>
                    <w:rPr>
                      <w:rFonts w:hint="eastAsia"/>
                      <w:sz w:val="21"/>
                      <w:szCs w:val="21"/>
                    </w:rPr>
                    <w:t>危险废物</w:t>
                  </w:r>
                </w:p>
              </w:tc>
              <w:tc>
                <w:tcPr>
                  <w:tcW w:w="1832" w:type="pct"/>
                  <w:vAlign w:val="center"/>
                </w:tcPr>
                <w:p w14:paraId="6880FDBD">
                  <w:pPr>
                    <w:pStyle w:val="76"/>
                    <w:spacing w:line="240" w:lineRule="auto"/>
                    <w:ind w:firstLine="0" w:firstLineChars="0"/>
                    <w:jc w:val="center"/>
                    <w:rPr>
                      <w:sz w:val="21"/>
                      <w:szCs w:val="21"/>
                    </w:rPr>
                  </w:pPr>
                  <w:r>
                    <w:rPr>
                      <w:rFonts w:hint="eastAsia"/>
                      <w:sz w:val="21"/>
                      <w:szCs w:val="21"/>
                    </w:rPr>
                    <w:t>CO</w:t>
                  </w:r>
                  <w:r>
                    <w:rPr>
                      <w:rFonts w:hint="eastAsia"/>
                      <w:sz w:val="21"/>
                      <w:szCs w:val="21"/>
                      <w:vertAlign w:val="subscript"/>
                    </w:rPr>
                    <w:t>2</w:t>
                  </w:r>
                  <w:r>
                    <w:rPr>
                      <w:rFonts w:hint="eastAsia"/>
                      <w:sz w:val="21"/>
                      <w:szCs w:val="21"/>
                    </w:rPr>
                    <w:t>捕集实验</w:t>
                  </w:r>
                </w:p>
              </w:tc>
              <w:tc>
                <w:tcPr>
                  <w:tcW w:w="2731" w:type="pct"/>
                  <w:vAlign w:val="center"/>
                </w:tcPr>
                <w:p w14:paraId="37931B0B">
                  <w:pPr>
                    <w:pStyle w:val="76"/>
                    <w:spacing w:line="240" w:lineRule="auto"/>
                    <w:ind w:firstLine="0" w:firstLineChars="0"/>
                    <w:jc w:val="center"/>
                    <w:rPr>
                      <w:sz w:val="21"/>
                      <w:szCs w:val="21"/>
                    </w:rPr>
                  </w:pPr>
                  <w:r>
                    <w:rPr>
                      <w:rFonts w:hint="eastAsia"/>
                      <w:sz w:val="21"/>
                      <w:szCs w:val="21"/>
                    </w:rPr>
                    <w:t>废有机胺溶液</w:t>
                  </w:r>
                </w:p>
              </w:tc>
            </w:tr>
            <w:tr w14:paraId="1B5F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vAlign w:val="center"/>
                </w:tcPr>
                <w:p w14:paraId="52C3E4CD">
                  <w:pPr>
                    <w:pStyle w:val="76"/>
                    <w:spacing w:line="240" w:lineRule="auto"/>
                    <w:ind w:firstLine="0" w:firstLineChars="0"/>
                    <w:jc w:val="center"/>
                    <w:rPr>
                      <w:sz w:val="21"/>
                      <w:szCs w:val="21"/>
                    </w:rPr>
                  </w:pPr>
                </w:p>
              </w:tc>
              <w:tc>
                <w:tcPr>
                  <w:tcW w:w="1832" w:type="pct"/>
                  <w:vAlign w:val="center"/>
                </w:tcPr>
                <w:p w14:paraId="402D8050">
                  <w:pPr>
                    <w:pStyle w:val="76"/>
                    <w:spacing w:line="240" w:lineRule="auto"/>
                    <w:ind w:firstLine="0" w:firstLineChars="0"/>
                    <w:jc w:val="center"/>
                    <w:rPr>
                      <w:sz w:val="21"/>
                      <w:szCs w:val="21"/>
                    </w:rPr>
                  </w:pPr>
                  <w:r>
                    <w:rPr>
                      <w:rFonts w:hint="eastAsia"/>
                      <w:sz w:val="21"/>
                      <w:szCs w:val="21"/>
                    </w:rPr>
                    <w:t>储能关键金属实验室的ICP测试样品的预处理和质谱分析</w:t>
                  </w:r>
                </w:p>
              </w:tc>
              <w:tc>
                <w:tcPr>
                  <w:tcW w:w="2731" w:type="pct"/>
                  <w:vAlign w:val="center"/>
                </w:tcPr>
                <w:p w14:paraId="2CA04FDC">
                  <w:pPr>
                    <w:pStyle w:val="76"/>
                    <w:spacing w:line="240" w:lineRule="auto"/>
                    <w:ind w:firstLine="0" w:firstLineChars="0"/>
                    <w:jc w:val="center"/>
                    <w:rPr>
                      <w:sz w:val="21"/>
                      <w:szCs w:val="21"/>
                    </w:rPr>
                  </w:pPr>
                  <w:r>
                    <w:rPr>
                      <w:rFonts w:hint="eastAsia"/>
                      <w:sz w:val="21"/>
                      <w:szCs w:val="21"/>
                    </w:rPr>
                    <w:t>实验废液</w:t>
                  </w:r>
                </w:p>
              </w:tc>
            </w:tr>
            <w:bookmarkEnd w:id="12"/>
          </w:tbl>
          <w:p w14:paraId="4D7E0499">
            <w:pPr>
              <w:pStyle w:val="76"/>
              <w:ind w:firstLine="480"/>
            </w:pPr>
          </w:p>
        </w:tc>
      </w:tr>
      <w:tr w14:paraId="66A05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41" w:type="dxa"/>
            <w:vAlign w:val="center"/>
          </w:tcPr>
          <w:p w14:paraId="2493E403">
            <w:pPr>
              <w:pStyle w:val="44"/>
              <w:adjustRightInd w:val="0"/>
              <w:snapToGrid w:val="0"/>
              <w:spacing w:before="0" w:beforeAutospacing="0" w:after="0" w:afterAutospacing="0"/>
              <w:jc w:val="center"/>
              <w:rPr>
                <w:rFonts w:hint="eastAsia" w:cs="宋体"/>
                <w:szCs w:val="24"/>
              </w:rPr>
            </w:pPr>
            <w:r>
              <w:rPr>
                <w:rFonts w:hint="eastAsia" w:cs="宋体"/>
                <w:bCs/>
                <w:kern w:val="2"/>
                <w:szCs w:val="24"/>
              </w:rPr>
              <w:t>与项目有关的原有环境污染问题</w:t>
            </w:r>
          </w:p>
        </w:tc>
        <w:tc>
          <w:tcPr>
            <w:tcW w:w="7983" w:type="dxa"/>
            <w:vAlign w:val="center"/>
          </w:tcPr>
          <w:p w14:paraId="589EFEC3">
            <w:pPr>
              <w:pStyle w:val="76"/>
              <w:ind w:firstLine="0" w:firstLineChars="0"/>
              <w:jc w:val="center"/>
            </w:pPr>
            <w:r>
              <w:rPr>
                <w:rFonts w:hint="eastAsia"/>
              </w:rPr>
              <w:t>项目利用原地下车库改建，不存在原有的环境污染问题</w:t>
            </w:r>
          </w:p>
        </w:tc>
      </w:tr>
    </w:tbl>
    <w:p w14:paraId="5AC9CAEF">
      <w:pPr>
        <w:pStyle w:val="44"/>
        <w:jc w:val="center"/>
        <w:rPr>
          <w:rFonts w:hint="eastAsia"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4F3DF3C9">
      <w:pPr>
        <w:pStyle w:val="44"/>
        <w:jc w:val="center"/>
        <w:outlineLvl w:val="0"/>
        <w:rPr>
          <w:rFonts w:hint="eastAsia"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5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40430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800" w:type="dxa"/>
            <w:vAlign w:val="center"/>
          </w:tcPr>
          <w:p w14:paraId="16BE52BE">
            <w:pPr>
              <w:adjustRightInd w:val="0"/>
              <w:snapToGrid w:val="0"/>
              <w:jc w:val="center"/>
              <w:rPr>
                <w:rFonts w:hint="eastAsia" w:ascii="宋体" w:hAnsi="宋体" w:cs="宋体"/>
                <w:kern w:val="0"/>
                <w:sz w:val="24"/>
              </w:rPr>
            </w:pPr>
            <w:r>
              <w:rPr>
                <w:rFonts w:hint="eastAsia" w:ascii="宋体" w:hAnsi="宋体" w:cs="宋体"/>
                <w:kern w:val="0"/>
                <w:sz w:val="24"/>
              </w:rPr>
              <w:t>区域</w:t>
            </w:r>
          </w:p>
          <w:p w14:paraId="1E790C02">
            <w:pPr>
              <w:adjustRightInd w:val="0"/>
              <w:snapToGrid w:val="0"/>
              <w:jc w:val="center"/>
              <w:rPr>
                <w:rFonts w:hint="eastAsia" w:ascii="宋体" w:hAnsi="宋体" w:cs="宋体"/>
                <w:kern w:val="0"/>
                <w:sz w:val="24"/>
              </w:rPr>
            </w:pPr>
            <w:r>
              <w:rPr>
                <w:rFonts w:hint="eastAsia" w:ascii="宋体" w:hAnsi="宋体" w:cs="宋体"/>
                <w:kern w:val="0"/>
                <w:sz w:val="24"/>
              </w:rPr>
              <w:t>环境</w:t>
            </w:r>
          </w:p>
          <w:p w14:paraId="24CE590F">
            <w:pPr>
              <w:adjustRightInd w:val="0"/>
              <w:snapToGrid w:val="0"/>
              <w:jc w:val="center"/>
              <w:rPr>
                <w:rFonts w:hint="eastAsia" w:ascii="宋体" w:hAnsi="宋体" w:cs="宋体"/>
                <w:kern w:val="0"/>
                <w:sz w:val="24"/>
              </w:rPr>
            </w:pPr>
            <w:r>
              <w:rPr>
                <w:rFonts w:hint="eastAsia" w:ascii="宋体" w:hAnsi="宋体" w:cs="宋体"/>
                <w:kern w:val="0"/>
                <w:sz w:val="24"/>
              </w:rPr>
              <w:t>质量</w:t>
            </w:r>
          </w:p>
          <w:p w14:paraId="1B3B4DFF">
            <w:pPr>
              <w:adjustRightInd w:val="0"/>
              <w:snapToGrid w:val="0"/>
              <w:jc w:val="center"/>
              <w:rPr>
                <w:rFonts w:hint="eastAsia" w:ascii="宋体" w:hAnsi="宋体" w:cs="宋体"/>
                <w:kern w:val="0"/>
                <w:szCs w:val="21"/>
              </w:rPr>
            </w:pPr>
            <w:r>
              <w:rPr>
                <w:rFonts w:hint="eastAsia" w:ascii="宋体" w:hAnsi="宋体" w:cs="宋体"/>
                <w:kern w:val="0"/>
                <w:sz w:val="24"/>
              </w:rPr>
              <w:t>现状</w:t>
            </w:r>
          </w:p>
        </w:tc>
        <w:tc>
          <w:tcPr>
            <w:tcW w:w="8190" w:type="dxa"/>
            <w:vAlign w:val="center"/>
          </w:tcPr>
          <w:p w14:paraId="2A94801A">
            <w:pPr>
              <w:pStyle w:val="77"/>
              <w:rPr>
                <w:szCs w:val="21"/>
              </w:rPr>
            </w:pPr>
            <w:r>
              <w:rPr>
                <w:rFonts w:hint="eastAsia"/>
                <w:szCs w:val="21"/>
              </w:rPr>
              <w:t>1、大气环境</w:t>
            </w:r>
          </w:p>
          <w:p w14:paraId="617BCC22">
            <w:pPr>
              <w:pStyle w:val="310"/>
              <w:ind w:firstLine="482"/>
              <w:rPr>
                <w:b/>
                <w:bCs/>
                <w:sz w:val="24"/>
                <w:szCs w:val="24"/>
              </w:rPr>
            </w:pPr>
            <w:r>
              <w:rPr>
                <w:rFonts w:hint="eastAsia"/>
                <w:b/>
                <w:bCs/>
                <w:sz w:val="24"/>
                <w:szCs w:val="24"/>
              </w:rPr>
              <w:t>（1）常规污染物</w:t>
            </w:r>
          </w:p>
          <w:p w14:paraId="1E032BA8">
            <w:pPr>
              <w:pStyle w:val="310"/>
              <w:ind w:firstLine="480"/>
              <w:rPr>
                <w:sz w:val="24"/>
                <w:szCs w:val="24"/>
              </w:rPr>
            </w:pPr>
            <w:r>
              <w:rPr>
                <w:sz w:val="24"/>
                <w:szCs w:val="24"/>
              </w:rPr>
              <w:t>根据《环境影响评价技术导则大气环境》（HJ2.2-2018）中6.4.1.1中的内容</w:t>
            </w:r>
            <w:r>
              <w:rPr>
                <w:rFonts w:hint="eastAsia"/>
                <w:sz w:val="24"/>
                <w:szCs w:val="24"/>
              </w:rPr>
              <w:t>“</w:t>
            </w:r>
            <w:r>
              <w:rPr>
                <w:sz w:val="24"/>
                <w:szCs w:val="24"/>
              </w:rPr>
              <w:t>市政环境空气质量达标评价指标为SO</w:t>
            </w:r>
            <w:r>
              <w:rPr>
                <w:sz w:val="24"/>
                <w:szCs w:val="24"/>
                <w:vertAlign w:val="subscript"/>
              </w:rPr>
              <w:t>2</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、PM</w:t>
            </w:r>
            <w:r>
              <w:rPr>
                <w:sz w:val="24"/>
                <w:szCs w:val="24"/>
                <w:vertAlign w:val="subscript"/>
              </w:rPr>
              <w:t>2.5</w:t>
            </w:r>
            <w:r>
              <w:rPr>
                <w:sz w:val="24"/>
                <w:szCs w:val="24"/>
              </w:rPr>
              <w:t>、CO和O</w:t>
            </w:r>
            <w:r>
              <w:rPr>
                <w:sz w:val="24"/>
                <w:szCs w:val="24"/>
                <w:vertAlign w:val="subscript"/>
              </w:rPr>
              <w:t>3</w:t>
            </w:r>
            <w:r>
              <w:rPr>
                <w:sz w:val="24"/>
                <w:szCs w:val="24"/>
              </w:rPr>
              <w:t>，六项污染物全部达标即为市政环境空气质量达标</w:t>
            </w:r>
            <w:r>
              <w:rPr>
                <w:rFonts w:hint="eastAsia"/>
                <w:sz w:val="24"/>
                <w:szCs w:val="24"/>
              </w:rPr>
              <w:t>”</w:t>
            </w:r>
            <w:r>
              <w:rPr>
                <w:sz w:val="24"/>
                <w:szCs w:val="24"/>
              </w:rPr>
              <w:t>。</w:t>
            </w:r>
          </w:p>
          <w:p w14:paraId="5FF5330C">
            <w:pPr>
              <w:widowControl/>
              <w:spacing w:line="360" w:lineRule="auto"/>
              <w:ind w:firstLine="480" w:firstLineChars="200"/>
              <w:rPr>
                <w:kern w:val="0"/>
                <w:sz w:val="24"/>
                <w:lang w:bidi="ar"/>
              </w:rPr>
            </w:pPr>
            <w:r>
              <w:rPr>
                <w:rFonts w:hint="eastAsia"/>
                <w:kern w:val="0"/>
                <w:sz w:val="24"/>
                <w:lang w:bidi="ar"/>
              </w:rPr>
              <w:t>根据内蒙古自治区生态环境厅于2023年6月5日公布的2022年《内蒙古自治区生态环境状况公报》中相关数据，鄂尔多斯市</w:t>
            </w:r>
            <w:r>
              <w:rPr>
                <w:kern w:val="0"/>
                <w:sz w:val="24"/>
                <w:lang w:bidi="ar"/>
              </w:rPr>
              <w:t>202</w:t>
            </w:r>
            <w:r>
              <w:rPr>
                <w:rFonts w:hint="eastAsia"/>
                <w:kern w:val="0"/>
                <w:sz w:val="24"/>
                <w:lang w:bidi="ar"/>
              </w:rPr>
              <w:t>2</w:t>
            </w:r>
            <w:r>
              <w:rPr>
                <w:kern w:val="0"/>
                <w:sz w:val="24"/>
                <w:lang w:bidi="ar"/>
              </w:rPr>
              <w:t>年PM</w:t>
            </w:r>
            <w:r>
              <w:rPr>
                <w:kern w:val="0"/>
                <w:sz w:val="24"/>
                <w:vertAlign w:val="subscript"/>
                <w:lang w:bidi="ar"/>
              </w:rPr>
              <w:t>2.5</w:t>
            </w:r>
            <w:r>
              <w:rPr>
                <w:rFonts w:hint="eastAsia"/>
                <w:kern w:val="0"/>
                <w:sz w:val="24"/>
                <w:lang w:bidi="ar"/>
              </w:rPr>
              <w:t>、</w:t>
            </w:r>
            <w:r>
              <w:rPr>
                <w:kern w:val="0"/>
                <w:sz w:val="24"/>
                <w:lang w:bidi="ar"/>
              </w:rPr>
              <w:t>PM</w:t>
            </w:r>
            <w:r>
              <w:rPr>
                <w:kern w:val="0"/>
                <w:sz w:val="24"/>
                <w:vertAlign w:val="subscript"/>
                <w:lang w:bidi="ar"/>
              </w:rPr>
              <w:t>10</w:t>
            </w:r>
            <w:r>
              <w:rPr>
                <w:kern w:val="0"/>
                <w:sz w:val="24"/>
                <w:lang w:bidi="ar"/>
              </w:rPr>
              <w:t>、SO</w:t>
            </w:r>
            <w:r>
              <w:rPr>
                <w:kern w:val="0"/>
                <w:sz w:val="24"/>
                <w:vertAlign w:val="subscript"/>
                <w:lang w:bidi="ar"/>
              </w:rPr>
              <w:t>2</w:t>
            </w:r>
            <w:r>
              <w:rPr>
                <w:kern w:val="0"/>
                <w:sz w:val="24"/>
                <w:lang w:bidi="ar"/>
              </w:rPr>
              <w:t>、NO</w:t>
            </w:r>
            <w:r>
              <w:rPr>
                <w:kern w:val="0"/>
                <w:sz w:val="24"/>
                <w:vertAlign w:val="subscript"/>
                <w:lang w:bidi="ar"/>
              </w:rPr>
              <w:t>2</w:t>
            </w:r>
            <w:r>
              <w:rPr>
                <w:kern w:val="0"/>
                <w:sz w:val="24"/>
                <w:lang w:bidi="ar"/>
              </w:rPr>
              <w:t>、年</w:t>
            </w:r>
            <w:r>
              <w:rPr>
                <w:rFonts w:hint="eastAsia"/>
                <w:kern w:val="0"/>
                <w:sz w:val="24"/>
                <w:lang w:bidi="ar"/>
              </w:rPr>
              <w:t>平</w:t>
            </w:r>
            <w:r>
              <w:rPr>
                <w:kern w:val="0"/>
                <w:sz w:val="24"/>
                <w:lang w:bidi="ar"/>
              </w:rPr>
              <w:t>均浓度分别为</w:t>
            </w:r>
            <w:r>
              <w:rPr>
                <w:rFonts w:hint="eastAsia"/>
                <w:kern w:val="0"/>
                <w:sz w:val="24"/>
                <w:lang w:bidi="ar"/>
              </w:rPr>
              <w:t>20</w:t>
            </w:r>
            <w:r>
              <w:rPr>
                <w:kern w:val="0"/>
                <w:sz w:val="24"/>
                <w:lang w:bidi="ar"/>
              </w:rPr>
              <w:t>μg/m</w:t>
            </w:r>
            <w:r>
              <w:rPr>
                <w:kern w:val="0"/>
                <w:sz w:val="24"/>
                <w:vertAlign w:val="superscript"/>
                <w:lang w:bidi="ar"/>
              </w:rPr>
              <w:t>3</w:t>
            </w:r>
            <w:r>
              <w:rPr>
                <w:kern w:val="0"/>
                <w:sz w:val="24"/>
                <w:lang w:bidi="ar"/>
              </w:rPr>
              <w:t>、</w:t>
            </w:r>
            <w:r>
              <w:rPr>
                <w:rFonts w:hint="eastAsia"/>
                <w:kern w:val="0"/>
                <w:sz w:val="24"/>
                <w:lang w:bidi="ar"/>
              </w:rPr>
              <w:t>51</w:t>
            </w:r>
            <w:r>
              <w:rPr>
                <w:kern w:val="0"/>
                <w:sz w:val="24"/>
                <w:lang w:bidi="ar"/>
              </w:rPr>
              <w:t>μg/m</w:t>
            </w:r>
            <w:r>
              <w:rPr>
                <w:kern w:val="0"/>
                <w:sz w:val="24"/>
                <w:vertAlign w:val="superscript"/>
                <w:lang w:bidi="ar"/>
              </w:rPr>
              <w:t>3</w:t>
            </w:r>
            <w:r>
              <w:rPr>
                <w:kern w:val="0"/>
                <w:sz w:val="24"/>
                <w:lang w:bidi="ar"/>
              </w:rPr>
              <w:t>、</w:t>
            </w:r>
            <w:r>
              <w:rPr>
                <w:rFonts w:hint="eastAsia"/>
                <w:kern w:val="0"/>
                <w:sz w:val="24"/>
                <w:lang w:bidi="ar"/>
              </w:rPr>
              <w:t>10</w:t>
            </w:r>
            <w:r>
              <w:rPr>
                <w:kern w:val="0"/>
                <w:sz w:val="24"/>
                <w:lang w:bidi="ar"/>
              </w:rPr>
              <w:t>ug/m</w:t>
            </w:r>
            <w:r>
              <w:rPr>
                <w:kern w:val="0"/>
                <w:sz w:val="24"/>
                <w:vertAlign w:val="superscript"/>
                <w:lang w:bidi="ar"/>
              </w:rPr>
              <w:t>3</w:t>
            </w:r>
            <w:r>
              <w:rPr>
                <w:kern w:val="0"/>
                <w:sz w:val="24"/>
                <w:lang w:bidi="ar"/>
              </w:rPr>
              <w:t>、</w:t>
            </w:r>
            <w:r>
              <w:rPr>
                <w:rFonts w:hint="eastAsia"/>
                <w:kern w:val="0"/>
                <w:sz w:val="24"/>
                <w:lang w:bidi="ar"/>
              </w:rPr>
              <w:t>23</w:t>
            </w:r>
            <w:r>
              <w:rPr>
                <w:kern w:val="0"/>
                <w:sz w:val="24"/>
                <w:lang w:bidi="ar"/>
              </w:rPr>
              <w:t>μg/m</w:t>
            </w:r>
            <w:r>
              <w:rPr>
                <w:kern w:val="0"/>
                <w:sz w:val="24"/>
                <w:vertAlign w:val="superscript"/>
                <w:lang w:bidi="ar"/>
              </w:rPr>
              <w:t>3</w:t>
            </w:r>
            <w:r>
              <w:rPr>
                <w:kern w:val="0"/>
                <w:sz w:val="24"/>
                <w:lang w:bidi="ar"/>
              </w:rPr>
              <w:t>；CO</w:t>
            </w:r>
            <w:r>
              <w:rPr>
                <w:rFonts w:hint="eastAsia"/>
                <w:kern w:val="0"/>
                <w:sz w:val="24"/>
                <w:lang w:bidi="ar"/>
              </w:rPr>
              <w:t>年日均值第95百分位浓度为</w:t>
            </w:r>
            <w:r>
              <w:rPr>
                <w:kern w:val="0"/>
                <w:sz w:val="24"/>
                <w:lang w:bidi="ar"/>
              </w:rPr>
              <w:t>0.</w:t>
            </w:r>
            <w:r>
              <w:rPr>
                <w:rFonts w:hint="eastAsia"/>
                <w:kern w:val="0"/>
                <w:sz w:val="24"/>
                <w:lang w:bidi="ar"/>
              </w:rPr>
              <w:t>9</w:t>
            </w:r>
            <w:r>
              <w:rPr>
                <w:kern w:val="0"/>
                <w:sz w:val="24"/>
                <w:lang w:bidi="ar"/>
              </w:rPr>
              <w:t>mg/m</w:t>
            </w:r>
            <w:r>
              <w:rPr>
                <w:kern w:val="0"/>
                <w:sz w:val="24"/>
                <w:vertAlign w:val="superscript"/>
                <w:lang w:bidi="ar"/>
              </w:rPr>
              <w:t>3</w:t>
            </w:r>
            <w:r>
              <w:rPr>
                <w:kern w:val="0"/>
                <w:sz w:val="24"/>
                <w:lang w:bidi="ar"/>
              </w:rPr>
              <w:t>，O</w:t>
            </w:r>
            <w:r>
              <w:rPr>
                <w:kern w:val="0"/>
                <w:sz w:val="24"/>
                <w:vertAlign w:val="subscript"/>
                <w:lang w:bidi="ar"/>
              </w:rPr>
              <w:t>3</w:t>
            </w:r>
            <w:r>
              <w:rPr>
                <w:rFonts w:hint="eastAsia"/>
                <w:kern w:val="0"/>
                <w:sz w:val="24"/>
                <w:lang w:bidi="ar"/>
              </w:rPr>
              <w:t>年日最大8小时滑动平均值第90百分位浓度为148</w:t>
            </w:r>
            <w:r>
              <w:rPr>
                <w:kern w:val="0"/>
                <w:sz w:val="24"/>
                <w:lang w:bidi="ar"/>
              </w:rPr>
              <w:t>μg/m</w:t>
            </w:r>
            <w:r>
              <w:rPr>
                <w:kern w:val="0"/>
                <w:sz w:val="24"/>
                <w:vertAlign w:val="superscript"/>
                <w:lang w:bidi="ar"/>
              </w:rPr>
              <w:t>3</w:t>
            </w:r>
            <w:r>
              <w:rPr>
                <w:kern w:val="0"/>
                <w:sz w:val="24"/>
                <w:lang w:bidi="ar"/>
              </w:rPr>
              <w:t>；各污染物平均浓度均</w:t>
            </w:r>
            <w:r>
              <w:rPr>
                <w:rFonts w:hint="eastAsia"/>
                <w:kern w:val="0"/>
                <w:sz w:val="24"/>
                <w:lang w:bidi="ar"/>
              </w:rPr>
              <w:t>符合</w:t>
            </w:r>
            <w:r>
              <w:rPr>
                <w:kern w:val="0"/>
                <w:sz w:val="24"/>
                <w:lang w:bidi="ar"/>
              </w:rPr>
              <w:t>《环境空气质量标准》（GB3095-2012）中二级</w:t>
            </w:r>
            <w:r>
              <w:rPr>
                <w:rFonts w:hint="eastAsia"/>
                <w:kern w:val="0"/>
                <w:sz w:val="24"/>
                <w:lang w:bidi="ar"/>
              </w:rPr>
              <w:t>浓度</w:t>
            </w:r>
            <w:r>
              <w:rPr>
                <w:kern w:val="0"/>
                <w:sz w:val="24"/>
                <w:lang w:bidi="ar"/>
              </w:rPr>
              <w:t>限值，项目所在区域为达标区。</w:t>
            </w:r>
            <w:r>
              <w:rPr>
                <w:rFonts w:hint="eastAsia"/>
                <w:kern w:val="0"/>
                <w:sz w:val="24"/>
                <w:lang w:bidi="ar"/>
              </w:rPr>
              <w:t>具体情况详见表</w:t>
            </w:r>
            <w:r>
              <w:rPr>
                <w:kern w:val="0"/>
                <w:sz w:val="24"/>
                <w:lang w:bidi="ar"/>
              </w:rPr>
              <w:t>3-</w:t>
            </w:r>
            <w:r>
              <w:rPr>
                <w:rFonts w:hint="eastAsia"/>
                <w:kern w:val="0"/>
                <w:sz w:val="24"/>
                <w:lang w:bidi="ar"/>
              </w:rPr>
              <w:t>1。</w:t>
            </w:r>
          </w:p>
          <w:p w14:paraId="5CB43FC7">
            <w:pPr>
              <w:jc w:val="center"/>
              <w:rPr>
                <w:b/>
                <w:bCs/>
                <w:sz w:val="24"/>
              </w:rPr>
            </w:pPr>
            <w:r>
              <w:rPr>
                <w:b/>
                <w:bCs/>
                <w:sz w:val="24"/>
              </w:rPr>
              <w:t>表3-1基本污染物环境质量现状评价表</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927"/>
              <w:gridCol w:w="1314"/>
              <w:gridCol w:w="1474"/>
              <w:gridCol w:w="953"/>
            </w:tblGrid>
            <w:tr w14:paraId="3FF83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3" w:type="pct"/>
                  <w:tcBorders>
                    <w:tl2br w:val="nil"/>
                    <w:tr2bl w:val="nil"/>
                  </w:tcBorders>
                  <w:tcMar>
                    <w:left w:w="0" w:type="dxa"/>
                    <w:right w:w="0" w:type="dxa"/>
                  </w:tcMar>
                  <w:vAlign w:val="center"/>
                </w:tcPr>
                <w:p w14:paraId="1DBEA32C">
                  <w:pPr>
                    <w:jc w:val="center"/>
                    <w:rPr>
                      <w:b/>
                      <w:bCs/>
                      <w:szCs w:val="21"/>
                    </w:rPr>
                  </w:pPr>
                  <w:r>
                    <w:rPr>
                      <w:b/>
                      <w:bCs/>
                      <w:szCs w:val="21"/>
                    </w:rPr>
                    <w:t>污染物</w:t>
                  </w:r>
                </w:p>
              </w:tc>
              <w:tc>
                <w:tcPr>
                  <w:tcW w:w="1842" w:type="pct"/>
                  <w:tcBorders>
                    <w:tl2br w:val="nil"/>
                    <w:tr2bl w:val="nil"/>
                  </w:tcBorders>
                  <w:tcMar>
                    <w:left w:w="0" w:type="dxa"/>
                    <w:right w:w="0" w:type="dxa"/>
                  </w:tcMar>
                  <w:vAlign w:val="center"/>
                </w:tcPr>
                <w:p w14:paraId="35867EB7">
                  <w:pPr>
                    <w:jc w:val="center"/>
                    <w:rPr>
                      <w:b/>
                      <w:bCs/>
                      <w:szCs w:val="21"/>
                    </w:rPr>
                  </w:pPr>
                  <w:r>
                    <w:rPr>
                      <w:b/>
                      <w:bCs/>
                      <w:szCs w:val="21"/>
                    </w:rPr>
                    <w:t>评价指标</w:t>
                  </w:r>
                </w:p>
              </w:tc>
              <w:tc>
                <w:tcPr>
                  <w:tcW w:w="827" w:type="pct"/>
                  <w:tcBorders>
                    <w:tl2br w:val="nil"/>
                    <w:tr2bl w:val="nil"/>
                  </w:tcBorders>
                  <w:tcMar>
                    <w:left w:w="0" w:type="dxa"/>
                    <w:right w:w="0" w:type="dxa"/>
                  </w:tcMar>
                  <w:vAlign w:val="center"/>
                </w:tcPr>
                <w:p w14:paraId="03B80102">
                  <w:pPr>
                    <w:jc w:val="center"/>
                    <w:rPr>
                      <w:b/>
                      <w:bCs/>
                      <w:szCs w:val="21"/>
                    </w:rPr>
                  </w:pPr>
                  <w:r>
                    <w:rPr>
                      <w:b/>
                      <w:bCs/>
                      <w:szCs w:val="21"/>
                    </w:rPr>
                    <w:t>现状浓度（</w:t>
                  </w:r>
                  <w:r>
                    <w:rPr>
                      <w:b/>
                      <w:bCs/>
                      <w:szCs w:val="21"/>
                      <w:lang w:val="sq-AL"/>
                    </w:rPr>
                    <w:t>ug/m3）</w:t>
                  </w:r>
                </w:p>
              </w:tc>
              <w:tc>
                <w:tcPr>
                  <w:tcW w:w="928" w:type="pct"/>
                  <w:tcBorders>
                    <w:tl2br w:val="nil"/>
                    <w:tr2bl w:val="nil"/>
                  </w:tcBorders>
                  <w:vAlign w:val="center"/>
                </w:tcPr>
                <w:p w14:paraId="450B6AFD">
                  <w:pPr>
                    <w:jc w:val="center"/>
                    <w:rPr>
                      <w:b/>
                      <w:bCs/>
                      <w:szCs w:val="21"/>
                    </w:rPr>
                  </w:pPr>
                  <w:r>
                    <w:rPr>
                      <w:b/>
                      <w:bCs/>
                      <w:szCs w:val="21"/>
                    </w:rPr>
                    <w:t>评价标准（</w:t>
                  </w:r>
                  <w:r>
                    <w:rPr>
                      <w:b/>
                      <w:bCs/>
                      <w:szCs w:val="21"/>
                      <w:lang w:val="sq-AL"/>
                    </w:rPr>
                    <w:t>ug/m3）</w:t>
                  </w:r>
                </w:p>
              </w:tc>
              <w:tc>
                <w:tcPr>
                  <w:tcW w:w="601" w:type="pct"/>
                  <w:tcBorders>
                    <w:tl2br w:val="nil"/>
                    <w:tr2bl w:val="nil"/>
                  </w:tcBorders>
                  <w:tcMar>
                    <w:left w:w="0" w:type="dxa"/>
                    <w:right w:w="0" w:type="dxa"/>
                  </w:tcMar>
                  <w:vAlign w:val="center"/>
                </w:tcPr>
                <w:p w14:paraId="62144DC4">
                  <w:pPr>
                    <w:jc w:val="center"/>
                    <w:rPr>
                      <w:b/>
                      <w:bCs/>
                      <w:szCs w:val="21"/>
                    </w:rPr>
                  </w:pPr>
                  <w:r>
                    <w:rPr>
                      <w:b/>
                      <w:bCs/>
                      <w:szCs w:val="21"/>
                    </w:rPr>
                    <w:t>达标情况</w:t>
                  </w:r>
                </w:p>
              </w:tc>
            </w:tr>
            <w:tr w14:paraId="033A4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03" w:type="pct"/>
                  <w:tcBorders>
                    <w:tl2br w:val="nil"/>
                    <w:tr2bl w:val="nil"/>
                  </w:tcBorders>
                  <w:tcMar>
                    <w:left w:w="0" w:type="dxa"/>
                    <w:right w:w="0" w:type="dxa"/>
                  </w:tcMar>
                  <w:vAlign w:val="center"/>
                </w:tcPr>
                <w:p w14:paraId="30EC52ED">
                  <w:pPr>
                    <w:jc w:val="center"/>
                    <w:rPr>
                      <w:szCs w:val="21"/>
                    </w:rPr>
                  </w:pPr>
                  <w:r>
                    <w:rPr>
                      <w:szCs w:val="21"/>
                    </w:rPr>
                    <w:t>SO</w:t>
                  </w:r>
                  <w:r>
                    <w:rPr>
                      <w:szCs w:val="21"/>
                      <w:vertAlign w:val="subscript"/>
                    </w:rPr>
                    <w:t>2</w:t>
                  </w:r>
                </w:p>
              </w:tc>
              <w:tc>
                <w:tcPr>
                  <w:tcW w:w="1842" w:type="pct"/>
                  <w:tcBorders>
                    <w:tl2br w:val="nil"/>
                    <w:tr2bl w:val="nil"/>
                  </w:tcBorders>
                  <w:tcMar>
                    <w:left w:w="0" w:type="dxa"/>
                    <w:right w:w="0" w:type="dxa"/>
                  </w:tcMar>
                  <w:vAlign w:val="center"/>
                </w:tcPr>
                <w:p w14:paraId="75361E0B">
                  <w:pPr>
                    <w:jc w:val="center"/>
                    <w:rPr>
                      <w:szCs w:val="21"/>
                    </w:rPr>
                  </w:pPr>
                  <w:r>
                    <w:rPr>
                      <w:szCs w:val="21"/>
                    </w:rPr>
                    <w:t>年均值</w:t>
                  </w:r>
                </w:p>
              </w:tc>
              <w:tc>
                <w:tcPr>
                  <w:tcW w:w="827" w:type="pct"/>
                  <w:tcBorders>
                    <w:tl2br w:val="nil"/>
                    <w:tr2bl w:val="nil"/>
                  </w:tcBorders>
                  <w:tcMar>
                    <w:left w:w="0" w:type="dxa"/>
                    <w:right w:w="0" w:type="dxa"/>
                  </w:tcMar>
                  <w:vAlign w:val="center"/>
                </w:tcPr>
                <w:p w14:paraId="382B84EE">
                  <w:pPr>
                    <w:jc w:val="center"/>
                    <w:rPr>
                      <w:szCs w:val="21"/>
                    </w:rPr>
                  </w:pPr>
                  <w:r>
                    <w:rPr>
                      <w:rFonts w:hint="eastAsia"/>
                      <w:szCs w:val="21"/>
                    </w:rPr>
                    <w:t>10</w:t>
                  </w:r>
                </w:p>
              </w:tc>
              <w:tc>
                <w:tcPr>
                  <w:tcW w:w="928" w:type="pct"/>
                  <w:tcBorders>
                    <w:tl2br w:val="nil"/>
                    <w:tr2bl w:val="nil"/>
                  </w:tcBorders>
                  <w:vAlign w:val="center"/>
                </w:tcPr>
                <w:p w14:paraId="78977EE4">
                  <w:pPr>
                    <w:jc w:val="center"/>
                    <w:rPr>
                      <w:szCs w:val="21"/>
                    </w:rPr>
                  </w:pPr>
                  <w:r>
                    <w:rPr>
                      <w:rFonts w:hint="eastAsia"/>
                      <w:szCs w:val="21"/>
                    </w:rPr>
                    <w:t>60</w:t>
                  </w:r>
                </w:p>
              </w:tc>
              <w:tc>
                <w:tcPr>
                  <w:tcW w:w="601" w:type="pct"/>
                  <w:tcBorders>
                    <w:tl2br w:val="nil"/>
                    <w:tr2bl w:val="nil"/>
                  </w:tcBorders>
                  <w:tcMar>
                    <w:left w:w="0" w:type="dxa"/>
                    <w:right w:w="0" w:type="dxa"/>
                  </w:tcMar>
                  <w:vAlign w:val="center"/>
                </w:tcPr>
                <w:p w14:paraId="66EBE843">
                  <w:pPr>
                    <w:jc w:val="center"/>
                    <w:rPr>
                      <w:szCs w:val="21"/>
                    </w:rPr>
                  </w:pPr>
                  <w:r>
                    <w:rPr>
                      <w:szCs w:val="21"/>
                    </w:rPr>
                    <w:t>达标</w:t>
                  </w:r>
                </w:p>
              </w:tc>
            </w:tr>
            <w:tr w14:paraId="0335D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03" w:type="pct"/>
                  <w:tcBorders>
                    <w:tl2br w:val="nil"/>
                    <w:tr2bl w:val="nil"/>
                  </w:tcBorders>
                  <w:tcMar>
                    <w:left w:w="0" w:type="dxa"/>
                    <w:right w:w="0" w:type="dxa"/>
                  </w:tcMar>
                  <w:vAlign w:val="center"/>
                </w:tcPr>
                <w:p w14:paraId="6CD70EB0">
                  <w:pPr>
                    <w:jc w:val="center"/>
                    <w:rPr>
                      <w:szCs w:val="21"/>
                    </w:rPr>
                  </w:pPr>
                  <w:r>
                    <w:rPr>
                      <w:szCs w:val="21"/>
                    </w:rPr>
                    <w:t>NO</w:t>
                  </w:r>
                  <w:r>
                    <w:rPr>
                      <w:szCs w:val="21"/>
                      <w:vertAlign w:val="subscript"/>
                    </w:rPr>
                    <w:t>2</w:t>
                  </w:r>
                </w:p>
              </w:tc>
              <w:tc>
                <w:tcPr>
                  <w:tcW w:w="1842" w:type="pct"/>
                  <w:tcBorders>
                    <w:tl2br w:val="nil"/>
                    <w:tr2bl w:val="nil"/>
                  </w:tcBorders>
                  <w:tcMar>
                    <w:left w:w="0" w:type="dxa"/>
                    <w:right w:w="0" w:type="dxa"/>
                  </w:tcMar>
                  <w:vAlign w:val="center"/>
                </w:tcPr>
                <w:p w14:paraId="115B5CD2">
                  <w:pPr>
                    <w:jc w:val="center"/>
                    <w:rPr>
                      <w:szCs w:val="21"/>
                    </w:rPr>
                  </w:pPr>
                  <w:r>
                    <w:rPr>
                      <w:szCs w:val="21"/>
                    </w:rPr>
                    <w:t>年均值</w:t>
                  </w:r>
                </w:p>
              </w:tc>
              <w:tc>
                <w:tcPr>
                  <w:tcW w:w="827" w:type="pct"/>
                  <w:tcBorders>
                    <w:tl2br w:val="nil"/>
                    <w:tr2bl w:val="nil"/>
                  </w:tcBorders>
                  <w:tcMar>
                    <w:left w:w="0" w:type="dxa"/>
                    <w:right w:w="0" w:type="dxa"/>
                  </w:tcMar>
                  <w:vAlign w:val="center"/>
                </w:tcPr>
                <w:p w14:paraId="79049776">
                  <w:pPr>
                    <w:jc w:val="center"/>
                    <w:rPr>
                      <w:szCs w:val="21"/>
                    </w:rPr>
                  </w:pPr>
                  <w:r>
                    <w:rPr>
                      <w:rFonts w:hint="eastAsia"/>
                      <w:szCs w:val="21"/>
                    </w:rPr>
                    <w:t>23</w:t>
                  </w:r>
                </w:p>
              </w:tc>
              <w:tc>
                <w:tcPr>
                  <w:tcW w:w="928" w:type="pct"/>
                  <w:tcBorders>
                    <w:tl2br w:val="nil"/>
                    <w:tr2bl w:val="nil"/>
                  </w:tcBorders>
                  <w:vAlign w:val="center"/>
                </w:tcPr>
                <w:p w14:paraId="40338C65">
                  <w:pPr>
                    <w:jc w:val="center"/>
                    <w:rPr>
                      <w:szCs w:val="21"/>
                    </w:rPr>
                  </w:pPr>
                  <w:r>
                    <w:rPr>
                      <w:rFonts w:hint="eastAsia"/>
                      <w:szCs w:val="21"/>
                    </w:rPr>
                    <w:t>40</w:t>
                  </w:r>
                </w:p>
              </w:tc>
              <w:tc>
                <w:tcPr>
                  <w:tcW w:w="601" w:type="pct"/>
                  <w:tcBorders>
                    <w:tl2br w:val="nil"/>
                    <w:tr2bl w:val="nil"/>
                  </w:tcBorders>
                  <w:tcMar>
                    <w:left w:w="0" w:type="dxa"/>
                    <w:right w:w="0" w:type="dxa"/>
                  </w:tcMar>
                  <w:vAlign w:val="center"/>
                </w:tcPr>
                <w:p w14:paraId="149DC25B">
                  <w:pPr>
                    <w:jc w:val="center"/>
                    <w:rPr>
                      <w:szCs w:val="21"/>
                    </w:rPr>
                  </w:pPr>
                  <w:r>
                    <w:rPr>
                      <w:szCs w:val="21"/>
                    </w:rPr>
                    <w:t>达标</w:t>
                  </w:r>
                </w:p>
              </w:tc>
            </w:tr>
            <w:tr w14:paraId="77192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03" w:type="pct"/>
                  <w:tcBorders>
                    <w:tl2br w:val="nil"/>
                    <w:tr2bl w:val="nil"/>
                  </w:tcBorders>
                  <w:tcMar>
                    <w:left w:w="0" w:type="dxa"/>
                    <w:right w:w="0" w:type="dxa"/>
                  </w:tcMar>
                  <w:vAlign w:val="center"/>
                </w:tcPr>
                <w:p w14:paraId="42AD8805">
                  <w:pPr>
                    <w:jc w:val="center"/>
                    <w:rPr>
                      <w:szCs w:val="21"/>
                    </w:rPr>
                  </w:pPr>
                  <w:r>
                    <w:rPr>
                      <w:szCs w:val="21"/>
                    </w:rPr>
                    <w:t>PM</w:t>
                  </w:r>
                  <w:r>
                    <w:rPr>
                      <w:szCs w:val="21"/>
                      <w:vertAlign w:val="subscript"/>
                    </w:rPr>
                    <w:t>10</w:t>
                  </w:r>
                </w:p>
              </w:tc>
              <w:tc>
                <w:tcPr>
                  <w:tcW w:w="1842" w:type="pct"/>
                  <w:tcBorders>
                    <w:tl2br w:val="nil"/>
                    <w:tr2bl w:val="nil"/>
                  </w:tcBorders>
                  <w:tcMar>
                    <w:left w:w="0" w:type="dxa"/>
                    <w:right w:w="0" w:type="dxa"/>
                  </w:tcMar>
                  <w:vAlign w:val="center"/>
                </w:tcPr>
                <w:p w14:paraId="1647FA3E">
                  <w:pPr>
                    <w:jc w:val="center"/>
                    <w:rPr>
                      <w:szCs w:val="21"/>
                    </w:rPr>
                  </w:pPr>
                  <w:r>
                    <w:rPr>
                      <w:szCs w:val="21"/>
                    </w:rPr>
                    <w:t>年均值</w:t>
                  </w:r>
                </w:p>
              </w:tc>
              <w:tc>
                <w:tcPr>
                  <w:tcW w:w="827" w:type="pct"/>
                  <w:tcBorders>
                    <w:tl2br w:val="nil"/>
                    <w:tr2bl w:val="nil"/>
                  </w:tcBorders>
                  <w:tcMar>
                    <w:left w:w="0" w:type="dxa"/>
                    <w:right w:w="0" w:type="dxa"/>
                  </w:tcMar>
                  <w:vAlign w:val="center"/>
                </w:tcPr>
                <w:p w14:paraId="6257DF82">
                  <w:pPr>
                    <w:jc w:val="center"/>
                    <w:rPr>
                      <w:szCs w:val="21"/>
                    </w:rPr>
                  </w:pPr>
                  <w:r>
                    <w:rPr>
                      <w:rFonts w:hint="eastAsia"/>
                      <w:szCs w:val="21"/>
                    </w:rPr>
                    <w:t>51</w:t>
                  </w:r>
                </w:p>
              </w:tc>
              <w:tc>
                <w:tcPr>
                  <w:tcW w:w="928" w:type="pct"/>
                  <w:tcBorders>
                    <w:tl2br w:val="nil"/>
                    <w:tr2bl w:val="nil"/>
                  </w:tcBorders>
                  <w:vAlign w:val="center"/>
                </w:tcPr>
                <w:p w14:paraId="602666E6">
                  <w:pPr>
                    <w:jc w:val="center"/>
                    <w:rPr>
                      <w:szCs w:val="21"/>
                    </w:rPr>
                  </w:pPr>
                  <w:r>
                    <w:rPr>
                      <w:rFonts w:hint="eastAsia"/>
                      <w:szCs w:val="21"/>
                    </w:rPr>
                    <w:t>70</w:t>
                  </w:r>
                </w:p>
              </w:tc>
              <w:tc>
                <w:tcPr>
                  <w:tcW w:w="601" w:type="pct"/>
                  <w:tcBorders>
                    <w:tl2br w:val="nil"/>
                    <w:tr2bl w:val="nil"/>
                  </w:tcBorders>
                  <w:tcMar>
                    <w:left w:w="0" w:type="dxa"/>
                    <w:right w:w="0" w:type="dxa"/>
                  </w:tcMar>
                  <w:vAlign w:val="center"/>
                </w:tcPr>
                <w:p w14:paraId="3C467C3E">
                  <w:pPr>
                    <w:jc w:val="center"/>
                    <w:rPr>
                      <w:szCs w:val="21"/>
                    </w:rPr>
                  </w:pPr>
                  <w:r>
                    <w:rPr>
                      <w:rFonts w:hint="eastAsia"/>
                      <w:szCs w:val="21"/>
                    </w:rPr>
                    <w:t>达标</w:t>
                  </w:r>
                </w:p>
              </w:tc>
            </w:tr>
            <w:tr w14:paraId="527AE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03" w:type="pct"/>
                  <w:tcBorders>
                    <w:tl2br w:val="nil"/>
                    <w:tr2bl w:val="nil"/>
                  </w:tcBorders>
                  <w:tcMar>
                    <w:left w:w="0" w:type="dxa"/>
                    <w:right w:w="0" w:type="dxa"/>
                  </w:tcMar>
                  <w:vAlign w:val="center"/>
                </w:tcPr>
                <w:p w14:paraId="1AC34415">
                  <w:pPr>
                    <w:jc w:val="center"/>
                    <w:rPr>
                      <w:szCs w:val="21"/>
                    </w:rPr>
                  </w:pPr>
                  <w:r>
                    <w:rPr>
                      <w:szCs w:val="21"/>
                    </w:rPr>
                    <w:t>PM</w:t>
                  </w:r>
                  <w:r>
                    <w:rPr>
                      <w:szCs w:val="21"/>
                      <w:vertAlign w:val="subscript"/>
                    </w:rPr>
                    <w:t>2.5</w:t>
                  </w:r>
                </w:p>
              </w:tc>
              <w:tc>
                <w:tcPr>
                  <w:tcW w:w="1842" w:type="pct"/>
                  <w:tcBorders>
                    <w:tl2br w:val="nil"/>
                    <w:tr2bl w:val="nil"/>
                  </w:tcBorders>
                  <w:tcMar>
                    <w:left w:w="0" w:type="dxa"/>
                    <w:right w:w="0" w:type="dxa"/>
                  </w:tcMar>
                  <w:vAlign w:val="center"/>
                </w:tcPr>
                <w:p w14:paraId="50179EC9">
                  <w:pPr>
                    <w:jc w:val="center"/>
                    <w:rPr>
                      <w:szCs w:val="21"/>
                    </w:rPr>
                  </w:pPr>
                  <w:r>
                    <w:rPr>
                      <w:szCs w:val="21"/>
                    </w:rPr>
                    <w:t>年均值</w:t>
                  </w:r>
                </w:p>
              </w:tc>
              <w:tc>
                <w:tcPr>
                  <w:tcW w:w="827" w:type="pct"/>
                  <w:tcBorders>
                    <w:tl2br w:val="nil"/>
                    <w:tr2bl w:val="nil"/>
                  </w:tcBorders>
                  <w:tcMar>
                    <w:left w:w="0" w:type="dxa"/>
                    <w:right w:w="0" w:type="dxa"/>
                  </w:tcMar>
                  <w:vAlign w:val="center"/>
                </w:tcPr>
                <w:p w14:paraId="353377F6">
                  <w:pPr>
                    <w:jc w:val="center"/>
                    <w:rPr>
                      <w:szCs w:val="21"/>
                    </w:rPr>
                  </w:pPr>
                  <w:r>
                    <w:rPr>
                      <w:rFonts w:hint="eastAsia"/>
                      <w:szCs w:val="21"/>
                    </w:rPr>
                    <w:t>20</w:t>
                  </w:r>
                </w:p>
              </w:tc>
              <w:tc>
                <w:tcPr>
                  <w:tcW w:w="928" w:type="pct"/>
                  <w:tcBorders>
                    <w:tl2br w:val="nil"/>
                    <w:tr2bl w:val="nil"/>
                  </w:tcBorders>
                  <w:vAlign w:val="center"/>
                </w:tcPr>
                <w:p w14:paraId="128DE446">
                  <w:pPr>
                    <w:jc w:val="center"/>
                    <w:rPr>
                      <w:szCs w:val="21"/>
                    </w:rPr>
                  </w:pPr>
                  <w:r>
                    <w:rPr>
                      <w:rFonts w:hint="eastAsia"/>
                      <w:szCs w:val="21"/>
                    </w:rPr>
                    <w:t>35</w:t>
                  </w:r>
                </w:p>
              </w:tc>
              <w:tc>
                <w:tcPr>
                  <w:tcW w:w="601" w:type="pct"/>
                  <w:tcBorders>
                    <w:tl2br w:val="nil"/>
                    <w:tr2bl w:val="nil"/>
                  </w:tcBorders>
                  <w:tcMar>
                    <w:left w:w="0" w:type="dxa"/>
                    <w:right w:w="0" w:type="dxa"/>
                  </w:tcMar>
                  <w:vAlign w:val="center"/>
                </w:tcPr>
                <w:p w14:paraId="687B04FA">
                  <w:pPr>
                    <w:jc w:val="center"/>
                    <w:rPr>
                      <w:szCs w:val="21"/>
                    </w:rPr>
                  </w:pPr>
                  <w:r>
                    <w:rPr>
                      <w:szCs w:val="21"/>
                    </w:rPr>
                    <w:t>达标</w:t>
                  </w:r>
                </w:p>
              </w:tc>
            </w:tr>
            <w:tr w14:paraId="499AD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03" w:type="pct"/>
                  <w:tcBorders>
                    <w:tl2br w:val="nil"/>
                    <w:tr2bl w:val="nil"/>
                  </w:tcBorders>
                  <w:tcMar>
                    <w:left w:w="0" w:type="dxa"/>
                    <w:right w:w="0" w:type="dxa"/>
                  </w:tcMar>
                  <w:vAlign w:val="center"/>
                </w:tcPr>
                <w:p w14:paraId="506918EC">
                  <w:pPr>
                    <w:jc w:val="center"/>
                    <w:rPr>
                      <w:szCs w:val="21"/>
                    </w:rPr>
                  </w:pPr>
                  <w:r>
                    <w:rPr>
                      <w:szCs w:val="21"/>
                    </w:rPr>
                    <w:t>O</w:t>
                  </w:r>
                  <w:r>
                    <w:rPr>
                      <w:szCs w:val="21"/>
                      <w:vertAlign w:val="subscript"/>
                    </w:rPr>
                    <w:t>3</w:t>
                  </w:r>
                </w:p>
              </w:tc>
              <w:tc>
                <w:tcPr>
                  <w:tcW w:w="1842" w:type="pct"/>
                  <w:tcBorders>
                    <w:tl2br w:val="nil"/>
                    <w:tr2bl w:val="nil"/>
                  </w:tcBorders>
                  <w:tcMar>
                    <w:left w:w="0" w:type="dxa"/>
                    <w:right w:w="0" w:type="dxa"/>
                  </w:tcMar>
                  <w:vAlign w:val="center"/>
                </w:tcPr>
                <w:p w14:paraId="6AEDE455">
                  <w:pPr>
                    <w:jc w:val="center"/>
                    <w:rPr>
                      <w:szCs w:val="21"/>
                    </w:rPr>
                  </w:pPr>
                  <w:r>
                    <w:rPr>
                      <w:szCs w:val="21"/>
                    </w:rPr>
                    <w:t>日最大8小时第90百分位数</w:t>
                  </w:r>
                </w:p>
              </w:tc>
              <w:tc>
                <w:tcPr>
                  <w:tcW w:w="827" w:type="pct"/>
                  <w:tcBorders>
                    <w:tl2br w:val="nil"/>
                    <w:tr2bl w:val="nil"/>
                  </w:tcBorders>
                  <w:tcMar>
                    <w:left w:w="0" w:type="dxa"/>
                    <w:right w:w="0" w:type="dxa"/>
                  </w:tcMar>
                  <w:vAlign w:val="center"/>
                </w:tcPr>
                <w:p w14:paraId="435D7F79">
                  <w:pPr>
                    <w:jc w:val="center"/>
                    <w:rPr>
                      <w:szCs w:val="21"/>
                    </w:rPr>
                  </w:pPr>
                  <w:r>
                    <w:rPr>
                      <w:rFonts w:hint="eastAsia"/>
                      <w:szCs w:val="21"/>
                    </w:rPr>
                    <w:t>148</w:t>
                  </w:r>
                </w:p>
              </w:tc>
              <w:tc>
                <w:tcPr>
                  <w:tcW w:w="928" w:type="pct"/>
                  <w:tcBorders>
                    <w:tl2br w:val="nil"/>
                    <w:tr2bl w:val="nil"/>
                  </w:tcBorders>
                  <w:vAlign w:val="center"/>
                </w:tcPr>
                <w:p w14:paraId="74F022B0">
                  <w:pPr>
                    <w:jc w:val="center"/>
                    <w:rPr>
                      <w:szCs w:val="21"/>
                    </w:rPr>
                  </w:pPr>
                  <w:r>
                    <w:rPr>
                      <w:szCs w:val="21"/>
                    </w:rPr>
                    <w:t>1</w:t>
                  </w:r>
                  <w:r>
                    <w:rPr>
                      <w:rFonts w:hint="eastAsia"/>
                      <w:szCs w:val="21"/>
                    </w:rPr>
                    <w:t>60</w:t>
                  </w:r>
                </w:p>
              </w:tc>
              <w:tc>
                <w:tcPr>
                  <w:tcW w:w="601" w:type="pct"/>
                  <w:tcBorders>
                    <w:tl2br w:val="nil"/>
                    <w:tr2bl w:val="nil"/>
                  </w:tcBorders>
                  <w:tcMar>
                    <w:left w:w="0" w:type="dxa"/>
                    <w:right w:w="0" w:type="dxa"/>
                  </w:tcMar>
                  <w:vAlign w:val="center"/>
                </w:tcPr>
                <w:p w14:paraId="3B6FC30F">
                  <w:pPr>
                    <w:jc w:val="center"/>
                    <w:rPr>
                      <w:szCs w:val="21"/>
                    </w:rPr>
                  </w:pPr>
                  <w:r>
                    <w:rPr>
                      <w:szCs w:val="21"/>
                    </w:rPr>
                    <w:t>达标</w:t>
                  </w:r>
                </w:p>
              </w:tc>
            </w:tr>
            <w:tr w14:paraId="65015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03" w:type="pct"/>
                  <w:tcBorders>
                    <w:tl2br w:val="nil"/>
                    <w:tr2bl w:val="nil"/>
                  </w:tcBorders>
                  <w:tcMar>
                    <w:left w:w="0" w:type="dxa"/>
                    <w:right w:w="0" w:type="dxa"/>
                  </w:tcMar>
                  <w:vAlign w:val="center"/>
                </w:tcPr>
                <w:p w14:paraId="54973FDE">
                  <w:pPr>
                    <w:jc w:val="center"/>
                    <w:rPr>
                      <w:szCs w:val="21"/>
                    </w:rPr>
                  </w:pPr>
                  <w:r>
                    <w:rPr>
                      <w:szCs w:val="21"/>
                    </w:rPr>
                    <w:t>CO</w:t>
                  </w:r>
                </w:p>
              </w:tc>
              <w:tc>
                <w:tcPr>
                  <w:tcW w:w="1842" w:type="pct"/>
                  <w:tcBorders>
                    <w:tl2br w:val="nil"/>
                    <w:tr2bl w:val="nil"/>
                  </w:tcBorders>
                  <w:tcMar>
                    <w:left w:w="0" w:type="dxa"/>
                    <w:right w:w="0" w:type="dxa"/>
                  </w:tcMar>
                  <w:vAlign w:val="center"/>
                </w:tcPr>
                <w:p w14:paraId="497A1A37">
                  <w:pPr>
                    <w:jc w:val="center"/>
                    <w:rPr>
                      <w:szCs w:val="21"/>
                    </w:rPr>
                  </w:pPr>
                  <w:r>
                    <w:rPr>
                      <w:szCs w:val="21"/>
                    </w:rPr>
                    <w:t>日均第95百分位数（mg/m</w:t>
                  </w:r>
                  <w:r>
                    <w:rPr>
                      <w:szCs w:val="21"/>
                      <w:vertAlign w:val="superscript"/>
                    </w:rPr>
                    <w:t>3</w:t>
                  </w:r>
                  <w:r>
                    <w:rPr>
                      <w:szCs w:val="21"/>
                    </w:rPr>
                    <w:t>）</w:t>
                  </w:r>
                </w:p>
              </w:tc>
              <w:tc>
                <w:tcPr>
                  <w:tcW w:w="827" w:type="pct"/>
                  <w:tcBorders>
                    <w:tl2br w:val="nil"/>
                    <w:tr2bl w:val="nil"/>
                  </w:tcBorders>
                  <w:tcMar>
                    <w:left w:w="0" w:type="dxa"/>
                    <w:right w:w="0" w:type="dxa"/>
                  </w:tcMar>
                  <w:vAlign w:val="center"/>
                </w:tcPr>
                <w:p w14:paraId="6C4C7F67">
                  <w:pPr>
                    <w:jc w:val="center"/>
                    <w:rPr>
                      <w:szCs w:val="21"/>
                    </w:rPr>
                  </w:pPr>
                  <w:r>
                    <w:rPr>
                      <w:rFonts w:hint="eastAsia"/>
                      <w:szCs w:val="21"/>
                    </w:rPr>
                    <w:t>0.9</w:t>
                  </w:r>
                  <w:r>
                    <w:rPr>
                      <w:szCs w:val="21"/>
                    </w:rPr>
                    <w:t>mg/m</w:t>
                  </w:r>
                  <w:r>
                    <w:rPr>
                      <w:szCs w:val="21"/>
                      <w:vertAlign w:val="superscript"/>
                    </w:rPr>
                    <w:t>3</w:t>
                  </w:r>
                </w:p>
              </w:tc>
              <w:tc>
                <w:tcPr>
                  <w:tcW w:w="928" w:type="pct"/>
                  <w:tcBorders>
                    <w:tl2br w:val="nil"/>
                    <w:tr2bl w:val="nil"/>
                  </w:tcBorders>
                  <w:vAlign w:val="center"/>
                </w:tcPr>
                <w:p w14:paraId="4DC080F0">
                  <w:pPr>
                    <w:jc w:val="center"/>
                    <w:rPr>
                      <w:szCs w:val="21"/>
                    </w:rPr>
                  </w:pPr>
                  <w:r>
                    <w:rPr>
                      <w:szCs w:val="21"/>
                    </w:rPr>
                    <w:t>4mg/m</w:t>
                  </w:r>
                  <w:r>
                    <w:rPr>
                      <w:szCs w:val="21"/>
                      <w:vertAlign w:val="superscript"/>
                    </w:rPr>
                    <w:t>3</w:t>
                  </w:r>
                </w:p>
              </w:tc>
              <w:tc>
                <w:tcPr>
                  <w:tcW w:w="601" w:type="pct"/>
                  <w:tcBorders>
                    <w:tl2br w:val="nil"/>
                    <w:tr2bl w:val="nil"/>
                  </w:tcBorders>
                  <w:tcMar>
                    <w:left w:w="0" w:type="dxa"/>
                    <w:right w:w="0" w:type="dxa"/>
                  </w:tcMar>
                  <w:vAlign w:val="center"/>
                </w:tcPr>
                <w:p w14:paraId="6D1F4E07">
                  <w:pPr>
                    <w:jc w:val="center"/>
                    <w:rPr>
                      <w:szCs w:val="21"/>
                    </w:rPr>
                  </w:pPr>
                  <w:r>
                    <w:rPr>
                      <w:szCs w:val="21"/>
                    </w:rPr>
                    <w:t>达标</w:t>
                  </w:r>
                </w:p>
              </w:tc>
            </w:tr>
          </w:tbl>
          <w:p w14:paraId="391DFA0E">
            <w:pPr>
              <w:pStyle w:val="77"/>
              <w:rPr>
                <w:szCs w:val="21"/>
              </w:rPr>
            </w:pPr>
            <w:r>
              <w:rPr>
                <w:rFonts w:hint="eastAsia"/>
                <w:szCs w:val="21"/>
              </w:rPr>
              <w:t>2、声环境</w:t>
            </w:r>
          </w:p>
          <w:p w14:paraId="3A34B784">
            <w:pPr>
              <w:adjustRightInd w:val="0"/>
              <w:snapToGrid w:val="0"/>
              <w:spacing w:line="360" w:lineRule="auto"/>
              <w:ind w:firstLine="480" w:firstLineChars="200"/>
              <w:rPr>
                <w:color w:val="000000"/>
                <w:kern w:val="0"/>
                <w:sz w:val="24"/>
              </w:rPr>
            </w:pPr>
            <w:r>
              <w:rPr>
                <w:rFonts w:hint="eastAsia"/>
                <w:color w:val="000000"/>
                <w:kern w:val="0"/>
                <w:sz w:val="24"/>
              </w:rPr>
              <w:t>根据《建设项目环境影响报告表编制技术指南（污染影响类）》，本</w:t>
            </w:r>
            <w:r>
              <w:rPr>
                <w:color w:val="000000"/>
                <w:kern w:val="0"/>
                <w:sz w:val="24"/>
              </w:rPr>
              <w:t>项目</w:t>
            </w:r>
            <w:r>
              <w:rPr>
                <w:rFonts w:hint="eastAsia"/>
                <w:color w:val="000000"/>
                <w:kern w:val="0"/>
                <w:sz w:val="24"/>
              </w:rPr>
              <w:t>50m范围内声环境保护目标为项目所在的汇能大厦，需要进行声环境监测，监测文件见附件2，天气：晴；风速：1.7m/s（昼），1.6m/s（夜），声环境质量现状见下表。</w:t>
            </w:r>
          </w:p>
          <w:p w14:paraId="271B8E53">
            <w:pPr>
              <w:jc w:val="center"/>
              <w:rPr>
                <w:b/>
                <w:bCs/>
                <w:sz w:val="24"/>
              </w:rPr>
            </w:pPr>
            <w:r>
              <w:rPr>
                <w:b/>
                <w:bCs/>
                <w:sz w:val="24"/>
              </w:rPr>
              <w:t>表3-</w:t>
            </w:r>
            <w:r>
              <w:rPr>
                <w:rFonts w:hint="eastAsia"/>
                <w:b/>
                <w:bCs/>
                <w:sz w:val="24"/>
              </w:rPr>
              <w:t>2声</w:t>
            </w:r>
            <w:r>
              <w:rPr>
                <w:b/>
                <w:bCs/>
                <w:sz w:val="24"/>
              </w:rPr>
              <w:t>环境质量现状评价表</w:t>
            </w:r>
          </w:p>
          <w:tbl>
            <w:tblPr>
              <w:tblStyle w:val="5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990"/>
              <w:gridCol w:w="1217"/>
              <w:gridCol w:w="955"/>
              <w:gridCol w:w="596"/>
              <w:gridCol w:w="1217"/>
              <w:gridCol w:w="955"/>
              <w:gridCol w:w="596"/>
              <w:gridCol w:w="680"/>
            </w:tblGrid>
            <w:tr w14:paraId="1F8D7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0" w:type="auto"/>
                  <w:tcBorders>
                    <w:tl2br w:val="nil"/>
                    <w:tr2bl w:val="nil"/>
                  </w:tcBorders>
                  <w:tcMar>
                    <w:left w:w="0" w:type="dxa"/>
                    <w:right w:w="0" w:type="dxa"/>
                  </w:tcMar>
                  <w:vAlign w:val="center"/>
                </w:tcPr>
                <w:p w14:paraId="1CFC346F">
                  <w:pPr>
                    <w:jc w:val="center"/>
                    <w:rPr>
                      <w:b/>
                      <w:bCs/>
                      <w:szCs w:val="21"/>
                    </w:rPr>
                  </w:pPr>
                  <w:r>
                    <w:rPr>
                      <w:rFonts w:hint="eastAsia"/>
                      <w:b/>
                      <w:bCs/>
                      <w:szCs w:val="21"/>
                    </w:rPr>
                    <w:t>监测点位置</w:t>
                  </w:r>
                </w:p>
              </w:tc>
              <w:tc>
                <w:tcPr>
                  <w:tcW w:w="0" w:type="auto"/>
                  <w:tcBorders>
                    <w:tl2br w:val="nil"/>
                    <w:tr2bl w:val="nil"/>
                  </w:tcBorders>
                  <w:tcMar>
                    <w:left w:w="0" w:type="dxa"/>
                    <w:right w:w="0" w:type="dxa"/>
                  </w:tcMar>
                  <w:vAlign w:val="center"/>
                </w:tcPr>
                <w:p w14:paraId="12745407">
                  <w:pPr>
                    <w:jc w:val="center"/>
                    <w:rPr>
                      <w:b/>
                      <w:bCs/>
                      <w:szCs w:val="21"/>
                    </w:rPr>
                  </w:pPr>
                  <w:r>
                    <w:rPr>
                      <w:rFonts w:hint="eastAsia"/>
                      <w:b/>
                      <w:bCs/>
                      <w:szCs w:val="21"/>
                    </w:rPr>
                    <w:t>检测日期</w:t>
                  </w:r>
                </w:p>
              </w:tc>
              <w:tc>
                <w:tcPr>
                  <w:tcW w:w="0" w:type="auto"/>
                  <w:tcBorders>
                    <w:tl2br w:val="nil"/>
                    <w:tr2bl w:val="nil"/>
                  </w:tcBorders>
                  <w:tcMar>
                    <w:left w:w="0" w:type="dxa"/>
                    <w:right w:w="0" w:type="dxa"/>
                  </w:tcMar>
                  <w:vAlign w:val="center"/>
                </w:tcPr>
                <w:p w14:paraId="13C851E2">
                  <w:pPr>
                    <w:jc w:val="center"/>
                    <w:rPr>
                      <w:b/>
                      <w:bCs/>
                      <w:szCs w:val="21"/>
                    </w:rPr>
                  </w:pPr>
                  <w:r>
                    <w:rPr>
                      <w:rFonts w:hint="eastAsia"/>
                      <w:b/>
                      <w:bCs/>
                      <w:szCs w:val="21"/>
                    </w:rPr>
                    <w:t>检测时间（昼）</w:t>
                  </w:r>
                </w:p>
              </w:tc>
              <w:tc>
                <w:tcPr>
                  <w:tcW w:w="0" w:type="auto"/>
                  <w:tcBorders>
                    <w:tl2br w:val="nil"/>
                    <w:tr2bl w:val="nil"/>
                  </w:tcBorders>
                  <w:vAlign w:val="center"/>
                </w:tcPr>
                <w:p w14:paraId="06FA0D91">
                  <w:pPr>
                    <w:jc w:val="center"/>
                    <w:rPr>
                      <w:b/>
                      <w:bCs/>
                      <w:szCs w:val="21"/>
                    </w:rPr>
                  </w:pPr>
                  <w:r>
                    <w:rPr>
                      <w:rFonts w:hint="eastAsia"/>
                      <w:b/>
                      <w:bCs/>
                      <w:szCs w:val="21"/>
                    </w:rPr>
                    <w:t>结果dB(A)</w:t>
                  </w:r>
                </w:p>
              </w:tc>
              <w:tc>
                <w:tcPr>
                  <w:tcW w:w="0" w:type="auto"/>
                  <w:tcBorders>
                    <w:tl2br w:val="nil"/>
                    <w:tr2bl w:val="nil"/>
                  </w:tcBorders>
                  <w:vAlign w:val="center"/>
                </w:tcPr>
                <w:p w14:paraId="4299B107">
                  <w:pPr>
                    <w:jc w:val="center"/>
                    <w:rPr>
                      <w:b/>
                      <w:bCs/>
                      <w:szCs w:val="21"/>
                    </w:rPr>
                  </w:pPr>
                  <w:r>
                    <w:rPr>
                      <w:rFonts w:hint="eastAsia"/>
                      <w:b/>
                      <w:bCs/>
                      <w:szCs w:val="21"/>
                    </w:rPr>
                    <w:t>标准值</w:t>
                  </w:r>
                </w:p>
              </w:tc>
              <w:tc>
                <w:tcPr>
                  <w:tcW w:w="0" w:type="auto"/>
                  <w:tcBorders>
                    <w:tl2br w:val="nil"/>
                    <w:tr2bl w:val="nil"/>
                  </w:tcBorders>
                  <w:tcMar>
                    <w:left w:w="0" w:type="dxa"/>
                    <w:right w:w="0" w:type="dxa"/>
                  </w:tcMar>
                  <w:vAlign w:val="center"/>
                </w:tcPr>
                <w:p w14:paraId="41E72B93">
                  <w:pPr>
                    <w:jc w:val="center"/>
                    <w:rPr>
                      <w:b/>
                      <w:bCs/>
                      <w:szCs w:val="21"/>
                    </w:rPr>
                  </w:pPr>
                  <w:r>
                    <w:rPr>
                      <w:rFonts w:hint="eastAsia"/>
                      <w:b/>
                      <w:bCs/>
                      <w:szCs w:val="21"/>
                    </w:rPr>
                    <w:t>检测时间（夜）</w:t>
                  </w:r>
                </w:p>
              </w:tc>
              <w:tc>
                <w:tcPr>
                  <w:tcW w:w="0" w:type="auto"/>
                  <w:tcBorders>
                    <w:tl2br w:val="nil"/>
                    <w:tr2bl w:val="nil"/>
                  </w:tcBorders>
                  <w:vAlign w:val="center"/>
                </w:tcPr>
                <w:p w14:paraId="5C7F6D35">
                  <w:pPr>
                    <w:jc w:val="center"/>
                    <w:rPr>
                      <w:b/>
                      <w:bCs/>
                      <w:szCs w:val="21"/>
                    </w:rPr>
                  </w:pPr>
                  <w:r>
                    <w:rPr>
                      <w:rFonts w:hint="eastAsia"/>
                      <w:b/>
                      <w:bCs/>
                      <w:szCs w:val="21"/>
                    </w:rPr>
                    <w:t>结果dB(A)</w:t>
                  </w:r>
                </w:p>
              </w:tc>
              <w:tc>
                <w:tcPr>
                  <w:tcW w:w="0" w:type="auto"/>
                  <w:tcBorders>
                    <w:tl2br w:val="nil"/>
                    <w:tr2bl w:val="nil"/>
                  </w:tcBorders>
                  <w:vAlign w:val="center"/>
                </w:tcPr>
                <w:p w14:paraId="2F85904D">
                  <w:pPr>
                    <w:jc w:val="center"/>
                    <w:rPr>
                      <w:b/>
                      <w:bCs/>
                      <w:szCs w:val="21"/>
                    </w:rPr>
                  </w:pPr>
                  <w:r>
                    <w:rPr>
                      <w:rFonts w:hint="eastAsia"/>
                      <w:b/>
                      <w:bCs/>
                      <w:szCs w:val="21"/>
                    </w:rPr>
                    <w:t>标准值</w:t>
                  </w:r>
                </w:p>
              </w:tc>
              <w:tc>
                <w:tcPr>
                  <w:tcW w:w="0" w:type="auto"/>
                  <w:tcBorders>
                    <w:tl2br w:val="nil"/>
                    <w:tr2bl w:val="nil"/>
                  </w:tcBorders>
                  <w:vAlign w:val="center"/>
                </w:tcPr>
                <w:p w14:paraId="09A538E9">
                  <w:pPr>
                    <w:jc w:val="center"/>
                    <w:rPr>
                      <w:b/>
                      <w:bCs/>
                      <w:szCs w:val="21"/>
                    </w:rPr>
                  </w:pPr>
                  <w:r>
                    <w:rPr>
                      <w:rFonts w:hint="eastAsia"/>
                      <w:b/>
                      <w:bCs/>
                      <w:szCs w:val="21"/>
                    </w:rPr>
                    <w:t>达标情况</w:t>
                  </w:r>
                </w:p>
              </w:tc>
            </w:tr>
            <w:tr w14:paraId="19D0B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tcMar>
                    <w:left w:w="0" w:type="dxa"/>
                    <w:right w:w="0" w:type="dxa"/>
                  </w:tcMar>
                  <w:vAlign w:val="center"/>
                </w:tcPr>
                <w:p w14:paraId="1202F354">
                  <w:pPr>
                    <w:jc w:val="center"/>
                    <w:rPr>
                      <w:szCs w:val="21"/>
                    </w:rPr>
                  </w:pPr>
                  <w:r>
                    <w:rPr>
                      <w:szCs w:val="21"/>
                    </w:rPr>
                    <w:t>建筑北侧</w:t>
                  </w:r>
                  <w:r>
                    <w:rPr>
                      <w:rFonts w:ascii="Cambria Math" w:hAnsi="Cambria Math" w:cs="Cambria Math"/>
                      <w:szCs w:val="21"/>
                    </w:rPr>
                    <w:t>△</w:t>
                  </w:r>
                  <w:r>
                    <w:rPr>
                      <w:szCs w:val="21"/>
                    </w:rPr>
                    <w:t>1</w:t>
                  </w:r>
                </w:p>
              </w:tc>
              <w:tc>
                <w:tcPr>
                  <w:tcW w:w="0" w:type="auto"/>
                  <w:vMerge w:val="restart"/>
                  <w:tcBorders>
                    <w:tl2br w:val="nil"/>
                    <w:tr2bl w:val="nil"/>
                  </w:tcBorders>
                  <w:tcMar>
                    <w:left w:w="0" w:type="dxa"/>
                    <w:right w:w="0" w:type="dxa"/>
                  </w:tcMar>
                  <w:vAlign w:val="center"/>
                </w:tcPr>
                <w:p w14:paraId="163D9950">
                  <w:pPr>
                    <w:jc w:val="center"/>
                    <w:rPr>
                      <w:szCs w:val="21"/>
                    </w:rPr>
                  </w:pPr>
                  <w:r>
                    <w:rPr>
                      <w:rFonts w:hint="eastAsia"/>
                      <w:szCs w:val="21"/>
                    </w:rPr>
                    <w:t>2024-07-12</w:t>
                  </w:r>
                </w:p>
              </w:tc>
              <w:tc>
                <w:tcPr>
                  <w:tcW w:w="0" w:type="auto"/>
                  <w:tcBorders>
                    <w:tl2br w:val="nil"/>
                    <w:tr2bl w:val="nil"/>
                  </w:tcBorders>
                  <w:tcMar>
                    <w:left w:w="0" w:type="dxa"/>
                    <w:right w:w="0" w:type="dxa"/>
                  </w:tcMar>
                  <w:vAlign w:val="center"/>
                </w:tcPr>
                <w:p w14:paraId="542F4397">
                  <w:pPr>
                    <w:jc w:val="center"/>
                    <w:rPr>
                      <w:szCs w:val="21"/>
                    </w:rPr>
                  </w:pPr>
                  <w:r>
                    <w:rPr>
                      <w:rFonts w:hint="eastAsia"/>
                      <w:szCs w:val="21"/>
                    </w:rPr>
                    <w:t>08:42-08:52</w:t>
                  </w:r>
                </w:p>
              </w:tc>
              <w:tc>
                <w:tcPr>
                  <w:tcW w:w="0" w:type="auto"/>
                  <w:tcBorders>
                    <w:tl2br w:val="nil"/>
                    <w:tr2bl w:val="nil"/>
                  </w:tcBorders>
                  <w:vAlign w:val="center"/>
                </w:tcPr>
                <w:p w14:paraId="3440D42B">
                  <w:pPr>
                    <w:jc w:val="center"/>
                    <w:rPr>
                      <w:szCs w:val="21"/>
                    </w:rPr>
                  </w:pPr>
                  <w:r>
                    <w:rPr>
                      <w:rFonts w:hint="eastAsia"/>
                      <w:szCs w:val="21"/>
                    </w:rPr>
                    <w:t>54</w:t>
                  </w:r>
                </w:p>
              </w:tc>
              <w:tc>
                <w:tcPr>
                  <w:tcW w:w="0" w:type="auto"/>
                  <w:tcBorders>
                    <w:tl2br w:val="nil"/>
                    <w:tr2bl w:val="nil"/>
                  </w:tcBorders>
                  <w:vAlign w:val="center"/>
                </w:tcPr>
                <w:p w14:paraId="4F4EF7AA">
                  <w:pPr>
                    <w:jc w:val="center"/>
                    <w:rPr>
                      <w:szCs w:val="21"/>
                    </w:rPr>
                  </w:pPr>
                  <w:r>
                    <w:rPr>
                      <w:rFonts w:hint="eastAsia"/>
                      <w:szCs w:val="21"/>
                    </w:rPr>
                    <w:t>60</w:t>
                  </w:r>
                </w:p>
              </w:tc>
              <w:tc>
                <w:tcPr>
                  <w:tcW w:w="0" w:type="auto"/>
                  <w:tcBorders>
                    <w:tl2br w:val="nil"/>
                    <w:tr2bl w:val="nil"/>
                  </w:tcBorders>
                  <w:tcMar>
                    <w:left w:w="0" w:type="dxa"/>
                    <w:right w:w="0" w:type="dxa"/>
                  </w:tcMar>
                  <w:vAlign w:val="center"/>
                </w:tcPr>
                <w:p w14:paraId="36184712">
                  <w:pPr>
                    <w:jc w:val="center"/>
                    <w:rPr>
                      <w:szCs w:val="21"/>
                    </w:rPr>
                  </w:pPr>
                  <w:r>
                    <w:rPr>
                      <w:rFonts w:hint="eastAsia"/>
                      <w:szCs w:val="21"/>
                    </w:rPr>
                    <w:t>22:04-22:14</w:t>
                  </w:r>
                </w:p>
              </w:tc>
              <w:tc>
                <w:tcPr>
                  <w:tcW w:w="0" w:type="auto"/>
                  <w:tcBorders>
                    <w:tl2br w:val="nil"/>
                    <w:tr2bl w:val="nil"/>
                  </w:tcBorders>
                  <w:vAlign w:val="center"/>
                </w:tcPr>
                <w:p w14:paraId="5C6B4206">
                  <w:pPr>
                    <w:jc w:val="center"/>
                    <w:rPr>
                      <w:szCs w:val="21"/>
                    </w:rPr>
                  </w:pPr>
                  <w:r>
                    <w:rPr>
                      <w:rFonts w:hint="eastAsia"/>
                      <w:szCs w:val="21"/>
                    </w:rPr>
                    <w:t>45</w:t>
                  </w:r>
                </w:p>
              </w:tc>
              <w:tc>
                <w:tcPr>
                  <w:tcW w:w="0" w:type="auto"/>
                  <w:tcBorders>
                    <w:tl2br w:val="nil"/>
                    <w:tr2bl w:val="nil"/>
                  </w:tcBorders>
                  <w:vAlign w:val="center"/>
                </w:tcPr>
                <w:p w14:paraId="6B94D37E">
                  <w:pPr>
                    <w:jc w:val="center"/>
                    <w:rPr>
                      <w:szCs w:val="21"/>
                    </w:rPr>
                  </w:pPr>
                  <w:r>
                    <w:rPr>
                      <w:rFonts w:hint="eastAsia"/>
                      <w:szCs w:val="21"/>
                    </w:rPr>
                    <w:t>50</w:t>
                  </w:r>
                </w:p>
              </w:tc>
              <w:tc>
                <w:tcPr>
                  <w:tcW w:w="0" w:type="auto"/>
                  <w:vMerge w:val="restart"/>
                  <w:tcBorders>
                    <w:tl2br w:val="nil"/>
                    <w:tr2bl w:val="nil"/>
                  </w:tcBorders>
                  <w:vAlign w:val="center"/>
                </w:tcPr>
                <w:p w14:paraId="62B78B5D">
                  <w:pPr>
                    <w:jc w:val="center"/>
                    <w:rPr>
                      <w:szCs w:val="21"/>
                    </w:rPr>
                  </w:pPr>
                  <w:r>
                    <w:rPr>
                      <w:rFonts w:hint="eastAsia"/>
                      <w:szCs w:val="21"/>
                    </w:rPr>
                    <w:t>达标</w:t>
                  </w:r>
                </w:p>
              </w:tc>
            </w:tr>
            <w:tr w14:paraId="26349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tcMar>
                    <w:left w:w="0" w:type="dxa"/>
                    <w:right w:w="0" w:type="dxa"/>
                  </w:tcMar>
                  <w:vAlign w:val="center"/>
                </w:tcPr>
                <w:p w14:paraId="7799E231">
                  <w:pPr>
                    <w:jc w:val="center"/>
                    <w:rPr>
                      <w:szCs w:val="21"/>
                    </w:rPr>
                  </w:pPr>
                  <w:r>
                    <w:rPr>
                      <w:szCs w:val="21"/>
                    </w:rPr>
                    <w:t>建筑东侧</w:t>
                  </w:r>
                  <w:r>
                    <w:rPr>
                      <w:rFonts w:ascii="Cambria Math" w:hAnsi="Cambria Math" w:cs="Cambria Math"/>
                      <w:szCs w:val="21"/>
                    </w:rPr>
                    <w:t>△</w:t>
                  </w:r>
                  <w:r>
                    <w:rPr>
                      <w:szCs w:val="21"/>
                    </w:rPr>
                    <w:t>2</w:t>
                  </w:r>
                </w:p>
              </w:tc>
              <w:tc>
                <w:tcPr>
                  <w:tcW w:w="0" w:type="auto"/>
                  <w:vMerge w:val="continue"/>
                  <w:tcBorders>
                    <w:tl2br w:val="nil"/>
                    <w:tr2bl w:val="nil"/>
                  </w:tcBorders>
                  <w:tcMar>
                    <w:left w:w="0" w:type="dxa"/>
                    <w:right w:w="0" w:type="dxa"/>
                  </w:tcMar>
                  <w:vAlign w:val="center"/>
                </w:tcPr>
                <w:p w14:paraId="65876EB4">
                  <w:pPr>
                    <w:jc w:val="center"/>
                    <w:rPr>
                      <w:szCs w:val="21"/>
                    </w:rPr>
                  </w:pPr>
                </w:p>
              </w:tc>
              <w:tc>
                <w:tcPr>
                  <w:tcW w:w="0" w:type="auto"/>
                  <w:tcBorders>
                    <w:tl2br w:val="nil"/>
                    <w:tr2bl w:val="nil"/>
                  </w:tcBorders>
                  <w:tcMar>
                    <w:left w:w="0" w:type="dxa"/>
                    <w:right w:w="0" w:type="dxa"/>
                  </w:tcMar>
                  <w:vAlign w:val="center"/>
                </w:tcPr>
                <w:p w14:paraId="17AEE7CE">
                  <w:pPr>
                    <w:jc w:val="center"/>
                    <w:rPr>
                      <w:szCs w:val="21"/>
                    </w:rPr>
                  </w:pPr>
                  <w:r>
                    <w:rPr>
                      <w:rFonts w:hint="eastAsia"/>
                      <w:szCs w:val="21"/>
                    </w:rPr>
                    <w:t>09:04-09:14</w:t>
                  </w:r>
                </w:p>
              </w:tc>
              <w:tc>
                <w:tcPr>
                  <w:tcW w:w="0" w:type="auto"/>
                  <w:tcBorders>
                    <w:tl2br w:val="nil"/>
                    <w:tr2bl w:val="nil"/>
                  </w:tcBorders>
                  <w:vAlign w:val="center"/>
                </w:tcPr>
                <w:p w14:paraId="2BFF7958">
                  <w:pPr>
                    <w:jc w:val="center"/>
                    <w:rPr>
                      <w:szCs w:val="21"/>
                    </w:rPr>
                  </w:pPr>
                  <w:r>
                    <w:rPr>
                      <w:rFonts w:hint="eastAsia"/>
                      <w:szCs w:val="21"/>
                    </w:rPr>
                    <w:t>53</w:t>
                  </w:r>
                </w:p>
              </w:tc>
              <w:tc>
                <w:tcPr>
                  <w:tcW w:w="0" w:type="auto"/>
                  <w:tcBorders>
                    <w:tl2br w:val="nil"/>
                    <w:tr2bl w:val="nil"/>
                  </w:tcBorders>
                  <w:vAlign w:val="center"/>
                </w:tcPr>
                <w:p w14:paraId="016C8464">
                  <w:pPr>
                    <w:jc w:val="center"/>
                    <w:rPr>
                      <w:szCs w:val="21"/>
                    </w:rPr>
                  </w:pPr>
                  <w:r>
                    <w:rPr>
                      <w:rFonts w:hint="eastAsia"/>
                      <w:szCs w:val="21"/>
                    </w:rPr>
                    <w:t>70</w:t>
                  </w:r>
                </w:p>
              </w:tc>
              <w:tc>
                <w:tcPr>
                  <w:tcW w:w="0" w:type="auto"/>
                  <w:tcBorders>
                    <w:tl2br w:val="nil"/>
                    <w:tr2bl w:val="nil"/>
                  </w:tcBorders>
                  <w:tcMar>
                    <w:left w:w="0" w:type="dxa"/>
                    <w:right w:w="0" w:type="dxa"/>
                  </w:tcMar>
                  <w:vAlign w:val="center"/>
                </w:tcPr>
                <w:p w14:paraId="02DEDE98">
                  <w:pPr>
                    <w:jc w:val="center"/>
                    <w:rPr>
                      <w:szCs w:val="21"/>
                    </w:rPr>
                  </w:pPr>
                  <w:r>
                    <w:rPr>
                      <w:rFonts w:hint="eastAsia"/>
                      <w:szCs w:val="21"/>
                    </w:rPr>
                    <w:t>22:25-22:35</w:t>
                  </w:r>
                </w:p>
              </w:tc>
              <w:tc>
                <w:tcPr>
                  <w:tcW w:w="0" w:type="auto"/>
                  <w:tcBorders>
                    <w:tl2br w:val="nil"/>
                    <w:tr2bl w:val="nil"/>
                  </w:tcBorders>
                  <w:vAlign w:val="center"/>
                </w:tcPr>
                <w:p w14:paraId="3B0E147B">
                  <w:pPr>
                    <w:jc w:val="center"/>
                    <w:rPr>
                      <w:szCs w:val="21"/>
                    </w:rPr>
                  </w:pPr>
                  <w:r>
                    <w:rPr>
                      <w:rFonts w:hint="eastAsia"/>
                      <w:szCs w:val="21"/>
                    </w:rPr>
                    <w:t>43</w:t>
                  </w:r>
                </w:p>
              </w:tc>
              <w:tc>
                <w:tcPr>
                  <w:tcW w:w="0" w:type="auto"/>
                  <w:tcBorders>
                    <w:tl2br w:val="nil"/>
                    <w:tr2bl w:val="nil"/>
                  </w:tcBorders>
                  <w:vAlign w:val="center"/>
                </w:tcPr>
                <w:p w14:paraId="73DF46CF">
                  <w:pPr>
                    <w:jc w:val="center"/>
                    <w:rPr>
                      <w:szCs w:val="21"/>
                    </w:rPr>
                  </w:pPr>
                  <w:r>
                    <w:rPr>
                      <w:rFonts w:hint="eastAsia"/>
                      <w:szCs w:val="21"/>
                    </w:rPr>
                    <w:t>55</w:t>
                  </w:r>
                </w:p>
              </w:tc>
              <w:tc>
                <w:tcPr>
                  <w:tcW w:w="0" w:type="auto"/>
                  <w:vMerge w:val="continue"/>
                  <w:tcBorders>
                    <w:tl2br w:val="nil"/>
                    <w:tr2bl w:val="nil"/>
                  </w:tcBorders>
                  <w:vAlign w:val="center"/>
                </w:tcPr>
                <w:p w14:paraId="26AA7136">
                  <w:pPr>
                    <w:jc w:val="center"/>
                    <w:rPr>
                      <w:szCs w:val="21"/>
                    </w:rPr>
                  </w:pPr>
                </w:p>
              </w:tc>
            </w:tr>
            <w:tr w14:paraId="0021A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tcMar>
                    <w:left w:w="0" w:type="dxa"/>
                    <w:right w:w="0" w:type="dxa"/>
                  </w:tcMar>
                  <w:vAlign w:val="center"/>
                </w:tcPr>
                <w:p w14:paraId="4A084D75">
                  <w:pPr>
                    <w:jc w:val="center"/>
                    <w:rPr>
                      <w:szCs w:val="21"/>
                    </w:rPr>
                  </w:pPr>
                  <w:r>
                    <w:rPr>
                      <w:szCs w:val="21"/>
                    </w:rPr>
                    <w:t>建筑南侧</w:t>
                  </w:r>
                  <w:r>
                    <w:rPr>
                      <w:rFonts w:ascii="Cambria Math" w:hAnsi="Cambria Math" w:cs="Cambria Math"/>
                      <w:szCs w:val="21"/>
                    </w:rPr>
                    <w:t>△</w:t>
                  </w:r>
                  <w:r>
                    <w:rPr>
                      <w:szCs w:val="21"/>
                    </w:rPr>
                    <w:t>3</w:t>
                  </w:r>
                </w:p>
              </w:tc>
              <w:tc>
                <w:tcPr>
                  <w:tcW w:w="0" w:type="auto"/>
                  <w:vMerge w:val="continue"/>
                  <w:tcBorders>
                    <w:tl2br w:val="nil"/>
                    <w:tr2bl w:val="nil"/>
                  </w:tcBorders>
                  <w:tcMar>
                    <w:left w:w="0" w:type="dxa"/>
                    <w:right w:w="0" w:type="dxa"/>
                  </w:tcMar>
                  <w:vAlign w:val="center"/>
                </w:tcPr>
                <w:p w14:paraId="3B905653">
                  <w:pPr>
                    <w:jc w:val="center"/>
                    <w:rPr>
                      <w:szCs w:val="21"/>
                    </w:rPr>
                  </w:pPr>
                </w:p>
              </w:tc>
              <w:tc>
                <w:tcPr>
                  <w:tcW w:w="0" w:type="auto"/>
                  <w:tcBorders>
                    <w:tl2br w:val="nil"/>
                    <w:tr2bl w:val="nil"/>
                  </w:tcBorders>
                  <w:tcMar>
                    <w:left w:w="0" w:type="dxa"/>
                    <w:right w:w="0" w:type="dxa"/>
                  </w:tcMar>
                  <w:vAlign w:val="center"/>
                </w:tcPr>
                <w:p w14:paraId="2B4C794F">
                  <w:pPr>
                    <w:jc w:val="center"/>
                    <w:rPr>
                      <w:szCs w:val="21"/>
                    </w:rPr>
                  </w:pPr>
                  <w:r>
                    <w:rPr>
                      <w:rFonts w:hint="eastAsia"/>
                      <w:szCs w:val="21"/>
                    </w:rPr>
                    <w:t>09:25-09:35</w:t>
                  </w:r>
                </w:p>
              </w:tc>
              <w:tc>
                <w:tcPr>
                  <w:tcW w:w="0" w:type="auto"/>
                  <w:tcBorders>
                    <w:tl2br w:val="nil"/>
                    <w:tr2bl w:val="nil"/>
                  </w:tcBorders>
                  <w:vAlign w:val="center"/>
                </w:tcPr>
                <w:p w14:paraId="2FD6864B">
                  <w:pPr>
                    <w:jc w:val="center"/>
                    <w:rPr>
                      <w:szCs w:val="21"/>
                    </w:rPr>
                  </w:pPr>
                  <w:r>
                    <w:rPr>
                      <w:rFonts w:hint="eastAsia"/>
                      <w:szCs w:val="21"/>
                    </w:rPr>
                    <w:t>53</w:t>
                  </w:r>
                </w:p>
              </w:tc>
              <w:tc>
                <w:tcPr>
                  <w:tcW w:w="0" w:type="auto"/>
                  <w:tcBorders>
                    <w:tl2br w:val="nil"/>
                    <w:tr2bl w:val="nil"/>
                  </w:tcBorders>
                  <w:vAlign w:val="center"/>
                </w:tcPr>
                <w:p w14:paraId="454F64DE">
                  <w:pPr>
                    <w:jc w:val="center"/>
                    <w:rPr>
                      <w:szCs w:val="21"/>
                    </w:rPr>
                  </w:pPr>
                  <w:r>
                    <w:rPr>
                      <w:rFonts w:hint="eastAsia"/>
                      <w:szCs w:val="21"/>
                    </w:rPr>
                    <w:t>60</w:t>
                  </w:r>
                </w:p>
              </w:tc>
              <w:tc>
                <w:tcPr>
                  <w:tcW w:w="0" w:type="auto"/>
                  <w:tcBorders>
                    <w:tl2br w:val="nil"/>
                    <w:tr2bl w:val="nil"/>
                  </w:tcBorders>
                  <w:tcMar>
                    <w:left w:w="0" w:type="dxa"/>
                    <w:right w:w="0" w:type="dxa"/>
                  </w:tcMar>
                  <w:vAlign w:val="center"/>
                </w:tcPr>
                <w:p w14:paraId="53EAC6BC">
                  <w:pPr>
                    <w:jc w:val="center"/>
                    <w:rPr>
                      <w:szCs w:val="21"/>
                    </w:rPr>
                  </w:pPr>
                  <w:r>
                    <w:rPr>
                      <w:rFonts w:hint="eastAsia"/>
                      <w:szCs w:val="21"/>
                    </w:rPr>
                    <w:t>22:44-22:54</w:t>
                  </w:r>
                </w:p>
              </w:tc>
              <w:tc>
                <w:tcPr>
                  <w:tcW w:w="0" w:type="auto"/>
                  <w:tcBorders>
                    <w:tl2br w:val="nil"/>
                    <w:tr2bl w:val="nil"/>
                  </w:tcBorders>
                  <w:vAlign w:val="center"/>
                </w:tcPr>
                <w:p w14:paraId="70D6EBD1">
                  <w:pPr>
                    <w:jc w:val="center"/>
                    <w:rPr>
                      <w:szCs w:val="21"/>
                    </w:rPr>
                  </w:pPr>
                  <w:r>
                    <w:rPr>
                      <w:rFonts w:hint="eastAsia"/>
                      <w:szCs w:val="21"/>
                    </w:rPr>
                    <w:t>44</w:t>
                  </w:r>
                </w:p>
              </w:tc>
              <w:tc>
                <w:tcPr>
                  <w:tcW w:w="0" w:type="auto"/>
                  <w:tcBorders>
                    <w:tl2br w:val="nil"/>
                    <w:tr2bl w:val="nil"/>
                  </w:tcBorders>
                  <w:vAlign w:val="center"/>
                </w:tcPr>
                <w:p w14:paraId="0BCBBFA7">
                  <w:pPr>
                    <w:jc w:val="center"/>
                    <w:rPr>
                      <w:szCs w:val="21"/>
                    </w:rPr>
                  </w:pPr>
                  <w:r>
                    <w:rPr>
                      <w:rFonts w:hint="eastAsia"/>
                      <w:szCs w:val="21"/>
                    </w:rPr>
                    <w:t>50</w:t>
                  </w:r>
                </w:p>
              </w:tc>
              <w:tc>
                <w:tcPr>
                  <w:tcW w:w="0" w:type="auto"/>
                  <w:vMerge w:val="continue"/>
                  <w:tcBorders>
                    <w:tl2br w:val="nil"/>
                    <w:tr2bl w:val="nil"/>
                  </w:tcBorders>
                  <w:vAlign w:val="center"/>
                </w:tcPr>
                <w:p w14:paraId="0CD3EAC9">
                  <w:pPr>
                    <w:jc w:val="center"/>
                    <w:rPr>
                      <w:szCs w:val="21"/>
                    </w:rPr>
                  </w:pPr>
                </w:p>
              </w:tc>
            </w:tr>
            <w:tr w14:paraId="43D17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0" w:type="auto"/>
                  <w:tcBorders>
                    <w:tl2br w:val="nil"/>
                    <w:tr2bl w:val="nil"/>
                  </w:tcBorders>
                  <w:tcMar>
                    <w:left w:w="0" w:type="dxa"/>
                    <w:right w:w="0" w:type="dxa"/>
                  </w:tcMar>
                  <w:vAlign w:val="center"/>
                </w:tcPr>
                <w:p w14:paraId="256D2991">
                  <w:pPr>
                    <w:jc w:val="center"/>
                    <w:rPr>
                      <w:szCs w:val="21"/>
                    </w:rPr>
                  </w:pPr>
                  <w:r>
                    <w:rPr>
                      <w:szCs w:val="21"/>
                    </w:rPr>
                    <w:t>建筑西侧</w:t>
                  </w:r>
                  <w:r>
                    <w:rPr>
                      <w:rFonts w:ascii="Cambria Math" w:hAnsi="Cambria Math" w:cs="Cambria Math"/>
                      <w:szCs w:val="21"/>
                    </w:rPr>
                    <w:t>△</w:t>
                  </w:r>
                  <w:r>
                    <w:rPr>
                      <w:szCs w:val="21"/>
                    </w:rPr>
                    <w:t>4</w:t>
                  </w:r>
                </w:p>
              </w:tc>
              <w:tc>
                <w:tcPr>
                  <w:tcW w:w="0" w:type="auto"/>
                  <w:vMerge w:val="continue"/>
                  <w:tcBorders>
                    <w:tl2br w:val="nil"/>
                    <w:tr2bl w:val="nil"/>
                  </w:tcBorders>
                  <w:tcMar>
                    <w:left w:w="0" w:type="dxa"/>
                    <w:right w:w="0" w:type="dxa"/>
                  </w:tcMar>
                  <w:vAlign w:val="center"/>
                </w:tcPr>
                <w:p w14:paraId="67E071A6">
                  <w:pPr>
                    <w:jc w:val="center"/>
                    <w:rPr>
                      <w:szCs w:val="21"/>
                    </w:rPr>
                  </w:pPr>
                </w:p>
              </w:tc>
              <w:tc>
                <w:tcPr>
                  <w:tcW w:w="0" w:type="auto"/>
                  <w:tcBorders>
                    <w:tl2br w:val="nil"/>
                    <w:tr2bl w:val="nil"/>
                  </w:tcBorders>
                  <w:tcMar>
                    <w:left w:w="0" w:type="dxa"/>
                    <w:right w:w="0" w:type="dxa"/>
                  </w:tcMar>
                  <w:vAlign w:val="center"/>
                </w:tcPr>
                <w:p w14:paraId="2874CA98">
                  <w:pPr>
                    <w:jc w:val="center"/>
                    <w:rPr>
                      <w:szCs w:val="21"/>
                    </w:rPr>
                  </w:pPr>
                  <w:r>
                    <w:rPr>
                      <w:rFonts w:hint="eastAsia"/>
                      <w:szCs w:val="21"/>
                    </w:rPr>
                    <w:t>09:44-09:54</w:t>
                  </w:r>
                </w:p>
              </w:tc>
              <w:tc>
                <w:tcPr>
                  <w:tcW w:w="0" w:type="auto"/>
                  <w:tcBorders>
                    <w:tl2br w:val="nil"/>
                    <w:tr2bl w:val="nil"/>
                  </w:tcBorders>
                  <w:vAlign w:val="center"/>
                </w:tcPr>
                <w:p w14:paraId="238CE22B">
                  <w:pPr>
                    <w:jc w:val="center"/>
                    <w:rPr>
                      <w:szCs w:val="21"/>
                    </w:rPr>
                  </w:pPr>
                  <w:r>
                    <w:rPr>
                      <w:rFonts w:hint="eastAsia"/>
                      <w:szCs w:val="21"/>
                    </w:rPr>
                    <w:t>52</w:t>
                  </w:r>
                </w:p>
              </w:tc>
              <w:tc>
                <w:tcPr>
                  <w:tcW w:w="0" w:type="auto"/>
                  <w:tcBorders>
                    <w:tl2br w:val="nil"/>
                    <w:tr2bl w:val="nil"/>
                  </w:tcBorders>
                  <w:vAlign w:val="center"/>
                </w:tcPr>
                <w:p w14:paraId="759B0CCE">
                  <w:pPr>
                    <w:jc w:val="center"/>
                    <w:rPr>
                      <w:szCs w:val="21"/>
                    </w:rPr>
                  </w:pPr>
                  <w:r>
                    <w:rPr>
                      <w:rFonts w:hint="eastAsia"/>
                      <w:szCs w:val="21"/>
                    </w:rPr>
                    <w:t>70</w:t>
                  </w:r>
                </w:p>
              </w:tc>
              <w:tc>
                <w:tcPr>
                  <w:tcW w:w="0" w:type="auto"/>
                  <w:tcBorders>
                    <w:tl2br w:val="nil"/>
                    <w:tr2bl w:val="nil"/>
                  </w:tcBorders>
                  <w:tcMar>
                    <w:left w:w="0" w:type="dxa"/>
                    <w:right w:w="0" w:type="dxa"/>
                  </w:tcMar>
                  <w:vAlign w:val="center"/>
                </w:tcPr>
                <w:p w14:paraId="6ECD40E5">
                  <w:pPr>
                    <w:jc w:val="center"/>
                    <w:rPr>
                      <w:szCs w:val="21"/>
                    </w:rPr>
                  </w:pPr>
                  <w:r>
                    <w:rPr>
                      <w:rFonts w:hint="eastAsia"/>
                      <w:szCs w:val="21"/>
                    </w:rPr>
                    <w:t>23:03-23:13</w:t>
                  </w:r>
                </w:p>
              </w:tc>
              <w:tc>
                <w:tcPr>
                  <w:tcW w:w="0" w:type="auto"/>
                  <w:tcBorders>
                    <w:tl2br w:val="nil"/>
                    <w:tr2bl w:val="nil"/>
                  </w:tcBorders>
                  <w:vAlign w:val="center"/>
                </w:tcPr>
                <w:p w14:paraId="533F70A6">
                  <w:pPr>
                    <w:jc w:val="center"/>
                    <w:rPr>
                      <w:szCs w:val="21"/>
                    </w:rPr>
                  </w:pPr>
                  <w:r>
                    <w:rPr>
                      <w:rFonts w:hint="eastAsia"/>
                      <w:szCs w:val="21"/>
                    </w:rPr>
                    <w:t>42</w:t>
                  </w:r>
                </w:p>
              </w:tc>
              <w:tc>
                <w:tcPr>
                  <w:tcW w:w="0" w:type="auto"/>
                  <w:tcBorders>
                    <w:tl2br w:val="nil"/>
                    <w:tr2bl w:val="nil"/>
                  </w:tcBorders>
                  <w:vAlign w:val="center"/>
                </w:tcPr>
                <w:p w14:paraId="403113B1">
                  <w:pPr>
                    <w:jc w:val="center"/>
                    <w:rPr>
                      <w:szCs w:val="21"/>
                    </w:rPr>
                  </w:pPr>
                  <w:r>
                    <w:rPr>
                      <w:rFonts w:hint="eastAsia"/>
                      <w:szCs w:val="21"/>
                    </w:rPr>
                    <w:t>55</w:t>
                  </w:r>
                </w:p>
              </w:tc>
              <w:tc>
                <w:tcPr>
                  <w:tcW w:w="0" w:type="auto"/>
                  <w:vMerge w:val="continue"/>
                  <w:tcBorders>
                    <w:tl2br w:val="nil"/>
                    <w:tr2bl w:val="nil"/>
                  </w:tcBorders>
                  <w:vAlign w:val="center"/>
                </w:tcPr>
                <w:p w14:paraId="6FD3EB41">
                  <w:pPr>
                    <w:jc w:val="center"/>
                    <w:rPr>
                      <w:szCs w:val="21"/>
                    </w:rPr>
                  </w:pPr>
                </w:p>
              </w:tc>
            </w:tr>
          </w:tbl>
          <w:p w14:paraId="2F7AE2C9">
            <w:pPr>
              <w:adjustRightInd w:val="0"/>
              <w:snapToGrid w:val="0"/>
              <w:spacing w:line="372" w:lineRule="auto"/>
              <w:rPr>
                <w:b/>
                <w:bCs/>
                <w:color w:val="000000"/>
                <w:kern w:val="0"/>
                <w:sz w:val="24"/>
              </w:rPr>
            </w:pPr>
            <w:r>
              <w:rPr>
                <w:rFonts w:hint="eastAsia"/>
                <w:b/>
                <w:bCs/>
                <w:color w:val="000000"/>
                <w:kern w:val="0"/>
                <w:sz w:val="24"/>
              </w:rPr>
              <w:t>3、土壤、地下水</w:t>
            </w:r>
          </w:p>
          <w:p w14:paraId="1398AF0D">
            <w:pPr>
              <w:adjustRightInd w:val="0"/>
              <w:snapToGrid w:val="0"/>
              <w:spacing w:line="360" w:lineRule="auto"/>
              <w:ind w:firstLine="480" w:firstLineChars="200"/>
              <w:rPr>
                <w:color w:val="000000"/>
                <w:kern w:val="0"/>
                <w:sz w:val="24"/>
              </w:rPr>
            </w:pPr>
            <w:r>
              <w:rPr>
                <w:rFonts w:hint="eastAsia"/>
                <w:color w:val="000000"/>
                <w:kern w:val="0"/>
                <w:sz w:val="24"/>
              </w:rPr>
              <w:t>本项目不存在土壤、地下水环境污染途径，根据《建设项目环境影响报告表编制技术指南（污染影响类）》，可不开展土壤、地下水环境质量现状调查。</w:t>
            </w:r>
          </w:p>
          <w:p w14:paraId="28BF3D19">
            <w:pPr>
              <w:pStyle w:val="77"/>
              <w:rPr>
                <w:szCs w:val="21"/>
              </w:rPr>
            </w:pPr>
            <w:r>
              <w:rPr>
                <w:rFonts w:hint="eastAsia"/>
                <w:szCs w:val="21"/>
              </w:rPr>
              <w:t>4、生态环境</w:t>
            </w:r>
          </w:p>
          <w:p w14:paraId="66A4183E">
            <w:pPr>
              <w:pStyle w:val="76"/>
              <w:ind w:firstLine="480"/>
              <w:rPr>
                <w:szCs w:val="21"/>
              </w:rPr>
            </w:pPr>
            <w:r>
              <w:rPr>
                <w:rFonts w:hint="eastAsia"/>
                <w:szCs w:val="21"/>
              </w:rPr>
              <w:t>项目无新增用地，不进行生态环境现状调查。</w:t>
            </w:r>
          </w:p>
        </w:tc>
      </w:tr>
      <w:tr w14:paraId="14F97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65C3CBA1">
            <w:pPr>
              <w:adjustRightInd w:val="0"/>
              <w:snapToGrid w:val="0"/>
              <w:jc w:val="center"/>
              <w:rPr>
                <w:rFonts w:hint="eastAsia" w:ascii="宋体" w:hAnsi="宋体" w:cs="宋体"/>
                <w:kern w:val="0"/>
                <w:sz w:val="24"/>
              </w:rPr>
            </w:pPr>
            <w:r>
              <w:rPr>
                <w:rFonts w:hint="eastAsia" w:ascii="宋体" w:hAnsi="宋体" w:cs="宋体"/>
                <w:kern w:val="0"/>
                <w:sz w:val="24"/>
              </w:rPr>
              <w:t>环境</w:t>
            </w:r>
          </w:p>
          <w:p w14:paraId="2367C53E">
            <w:pPr>
              <w:adjustRightInd w:val="0"/>
              <w:snapToGrid w:val="0"/>
              <w:jc w:val="center"/>
              <w:rPr>
                <w:rFonts w:hint="eastAsia" w:ascii="宋体" w:hAnsi="宋体" w:cs="宋体"/>
                <w:kern w:val="0"/>
                <w:sz w:val="24"/>
              </w:rPr>
            </w:pPr>
            <w:r>
              <w:rPr>
                <w:rFonts w:hint="eastAsia" w:ascii="宋体" w:hAnsi="宋体" w:cs="宋体"/>
                <w:kern w:val="0"/>
                <w:sz w:val="24"/>
              </w:rPr>
              <w:t>保护</w:t>
            </w:r>
          </w:p>
          <w:p w14:paraId="5F06A8A0">
            <w:pPr>
              <w:adjustRightInd w:val="0"/>
              <w:snapToGrid w:val="0"/>
              <w:jc w:val="center"/>
              <w:rPr>
                <w:rFonts w:hint="eastAsia" w:ascii="宋体" w:hAnsi="宋体" w:cs="宋体"/>
                <w:kern w:val="0"/>
                <w:szCs w:val="21"/>
              </w:rPr>
            </w:pPr>
            <w:r>
              <w:rPr>
                <w:rFonts w:hint="eastAsia" w:ascii="宋体" w:hAnsi="宋体" w:cs="宋体"/>
                <w:kern w:val="0"/>
                <w:sz w:val="24"/>
              </w:rPr>
              <w:t>目标</w:t>
            </w:r>
          </w:p>
        </w:tc>
        <w:tc>
          <w:tcPr>
            <w:tcW w:w="8190" w:type="dxa"/>
          </w:tcPr>
          <w:p w14:paraId="4C9F4A7B">
            <w:pPr>
              <w:pStyle w:val="76"/>
              <w:ind w:firstLine="480"/>
              <w:rPr>
                <w:szCs w:val="21"/>
              </w:rPr>
            </w:pPr>
            <w:r>
              <w:rPr>
                <w:rFonts w:hint="eastAsia"/>
                <w:szCs w:val="21"/>
              </w:rPr>
              <w:t>本项目环境保护目标见下表。环境保护目标分布图见附图4。</w:t>
            </w:r>
          </w:p>
          <w:p w14:paraId="15F92BF3">
            <w:pPr>
              <w:jc w:val="center"/>
              <w:rPr>
                <w:b/>
                <w:bCs/>
                <w:szCs w:val="21"/>
                <w:lang w:bidi="en-US"/>
              </w:rPr>
            </w:pPr>
            <w:r>
              <w:rPr>
                <w:rFonts w:hint="eastAsia"/>
                <w:b/>
                <w:bCs/>
                <w:szCs w:val="21"/>
                <w:lang w:bidi="en-US"/>
              </w:rPr>
              <w:t>表3</w:t>
            </w:r>
            <w:r>
              <w:rPr>
                <w:b/>
                <w:bCs/>
                <w:szCs w:val="21"/>
                <w:lang w:bidi="en-US"/>
              </w:rPr>
              <w:t>-</w:t>
            </w:r>
            <w:r>
              <w:rPr>
                <w:rFonts w:hint="eastAsia"/>
                <w:b/>
                <w:bCs/>
                <w:szCs w:val="21"/>
                <w:lang w:bidi="en-US"/>
              </w:rPr>
              <w:t>3</w:t>
            </w:r>
            <w:r>
              <w:rPr>
                <w:b/>
                <w:bCs/>
                <w:szCs w:val="21"/>
                <w:lang w:bidi="en-US"/>
              </w:rPr>
              <w:t xml:space="preserve"> 主要环境保护目标表</w:t>
            </w:r>
          </w:p>
          <w:tbl>
            <w:tblPr>
              <w:tblStyle w:val="5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10"/>
              <w:gridCol w:w="3135"/>
              <w:gridCol w:w="1445"/>
              <w:gridCol w:w="2684"/>
            </w:tblGrid>
            <w:tr w14:paraId="728BE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8" w:hRule="atLeast"/>
                <w:jc w:val="center"/>
              </w:trPr>
              <w:tc>
                <w:tcPr>
                  <w:tcW w:w="445" w:type="pct"/>
                  <w:vAlign w:val="center"/>
                </w:tcPr>
                <w:p w14:paraId="1317C5E6">
                  <w:pPr>
                    <w:pStyle w:val="130"/>
                  </w:pPr>
                  <w:bookmarkStart w:id="13" w:name="_Hlk60844862"/>
                  <w:r>
                    <w:t>环境要素</w:t>
                  </w:r>
                </w:p>
              </w:tc>
              <w:tc>
                <w:tcPr>
                  <w:tcW w:w="1966" w:type="pct"/>
                  <w:vAlign w:val="center"/>
                </w:tcPr>
                <w:p w14:paraId="120FBA03">
                  <w:pPr>
                    <w:pStyle w:val="130"/>
                  </w:pPr>
                  <w:r>
                    <w:t>保护</w:t>
                  </w:r>
                  <w:r>
                    <w:rPr>
                      <w:rFonts w:hint="eastAsia"/>
                    </w:rPr>
                    <w:t>目标</w:t>
                  </w:r>
                </w:p>
              </w:tc>
              <w:tc>
                <w:tcPr>
                  <w:tcW w:w="906" w:type="pct"/>
                  <w:vAlign w:val="center"/>
                </w:tcPr>
                <w:p w14:paraId="3025F73F">
                  <w:pPr>
                    <w:pStyle w:val="130"/>
                  </w:pPr>
                  <w:r>
                    <w:rPr>
                      <w:rFonts w:hint="eastAsia"/>
                    </w:rPr>
                    <w:t>位置关系</w:t>
                  </w:r>
                </w:p>
              </w:tc>
              <w:tc>
                <w:tcPr>
                  <w:tcW w:w="1683" w:type="pct"/>
                  <w:vAlign w:val="center"/>
                </w:tcPr>
                <w:p w14:paraId="005FB413">
                  <w:pPr>
                    <w:pStyle w:val="130"/>
                  </w:pPr>
                  <w:r>
                    <w:t>环境功能区</w:t>
                  </w:r>
                </w:p>
              </w:tc>
            </w:tr>
            <w:tr w14:paraId="70335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45" w:type="pct"/>
                  <w:vMerge w:val="restart"/>
                  <w:vAlign w:val="center"/>
                </w:tcPr>
                <w:p w14:paraId="7CEDB248">
                  <w:pPr>
                    <w:pStyle w:val="130"/>
                  </w:pPr>
                  <w:r>
                    <w:rPr>
                      <w:rFonts w:hint="eastAsia"/>
                    </w:rPr>
                    <w:t>大气环境</w:t>
                  </w:r>
                </w:p>
              </w:tc>
              <w:tc>
                <w:tcPr>
                  <w:tcW w:w="1966" w:type="pct"/>
                  <w:vAlign w:val="center"/>
                </w:tcPr>
                <w:p w14:paraId="45DD60BA">
                  <w:pPr>
                    <w:pStyle w:val="130"/>
                  </w:pPr>
                  <w:r>
                    <w:rPr>
                      <w:rFonts w:hint="eastAsia"/>
                    </w:rPr>
                    <w:t>妮珂花园（居民区）</w:t>
                  </w:r>
                </w:p>
              </w:tc>
              <w:tc>
                <w:tcPr>
                  <w:tcW w:w="906" w:type="pct"/>
                </w:tcPr>
                <w:p w14:paraId="5DB575C5">
                  <w:pPr>
                    <w:pStyle w:val="130"/>
                  </w:pPr>
                  <w:r>
                    <w:rPr>
                      <w:rFonts w:hint="eastAsia"/>
                    </w:rPr>
                    <w:t>西北420m</w:t>
                  </w:r>
                </w:p>
              </w:tc>
              <w:tc>
                <w:tcPr>
                  <w:tcW w:w="1683" w:type="pct"/>
                  <w:vMerge w:val="restart"/>
                  <w:vAlign w:val="center"/>
                </w:tcPr>
                <w:p w14:paraId="58D4A10D">
                  <w:pPr>
                    <w:pStyle w:val="130"/>
                  </w:pPr>
                  <w:r>
                    <w:rPr>
                      <w:rFonts w:hint="eastAsia"/>
                    </w:rPr>
                    <w:t>《环境空气质量标准》（GB3095-2012）及其2018修改单二级标准</w:t>
                  </w:r>
                </w:p>
              </w:tc>
            </w:tr>
            <w:tr w14:paraId="03969B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45" w:type="pct"/>
                  <w:vMerge w:val="continue"/>
                  <w:vAlign w:val="center"/>
                </w:tcPr>
                <w:p w14:paraId="0775D6E6">
                  <w:pPr>
                    <w:pStyle w:val="130"/>
                  </w:pPr>
                </w:p>
              </w:tc>
              <w:tc>
                <w:tcPr>
                  <w:tcW w:w="1966" w:type="pct"/>
                  <w:vAlign w:val="center"/>
                </w:tcPr>
                <w:p w14:paraId="4EC1F5D8">
                  <w:pPr>
                    <w:pStyle w:val="130"/>
                  </w:pPr>
                  <w:r>
                    <w:rPr>
                      <w:rFonts w:hint="eastAsia"/>
                    </w:rPr>
                    <w:t>皇庭骏景（居民区）</w:t>
                  </w:r>
                </w:p>
              </w:tc>
              <w:tc>
                <w:tcPr>
                  <w:tcW w:w="906" w:type="pct"/>
                </w:tcPr>
                <w:p w14:paraId="02013378">
                  <w:pPr>
                    <w:pStyle w:val="130"/>
                  </w:pPr>
                  <w:r>
                    <w:rPr>
                      <w:rFonts w:hint="eastAsia"/>
                    </w:rPr>
                    <w:t>西北283m</w:t>
                  </w:r>
                </w:p>
              </w:tc>
              <w:tc>
                <w:tcPr>
                  <w:tcW w:w="1683" w:type="pct"/>
                  <w:vMerge w:val="continue"/>
                  <w:vAlign w:val="center"/>
                </w:tcPr>
                <w:p w14:paraId="03202776">
                  <w:pPr>
                    <w:pStyle w:val="130"/>
                  </w:pPr>
                </w:p>
              </w:tc>
            </w:tr>
            <w:tr w14:paraId="4FD1A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45" w:type="pct"/>
                  <w:vMerge w:val="continue"/>
                  <w:vAlign w:val="center"/>
                </w:tcPr>
                <w:p w14:paraId="5F178965">
                  <w:pPr>
                    <w:pStyle w:val="130"/>
                  </w:pPr>
                </w:p>
              </w:tc>
              <w:tc>
                <w:tcPr>
                  <w:tcW w:w="1966" w:type="pct"/>
                  <w:vAlign w:val="center"/>
                </w:tcPr>
                <w:p w14:paraId="24FEC667">
                  <w:pPr>
                    <w:pStyle w:val="130"/>
                  </w:pPr>
                  <w:r>
                    <w:rPr>
                      <w:rFonts w:hint="eastAsia"/>
                    </w:rPr>
                    <w:t>邦成康城名苑（居民区）</w:t>
                  </w:r>
                </w:p>
              </w:tc>
              <w:tc>
                <w:tcPr>
                  <w:tcW w:w="906" w:type="pct"/>
                </w:tcPr>
                <w:p w14:paraId="5D0E27AC">
                  <w:pPr>
                    <w:pStyle w:val="130"/>
                  </w:pPr>
                  <w:r>
                    <w:rPr>
                      <w:rFonts w:hint="eastAsia"/>
                    </w:rPr>
                    <w:t>西南454m</w:t>
                  </w:r>
                </w:p>
              </w:tc>
              <w:tc>
                <w:tcPr>
                  <w:tcW w:w="1683" w:type="pct"/>
                  <w:vMerge w:val="continue"/>
                  <w:vAlign w:val="center"/>
                </w:tcPr>
                <w:p w14:paraId="0314CB8D">
                  <w:pPr>
                    <w:pStyle w:val="130"/>
                  </w:pPr>
                </w:p>
              </w:tc>
            </w:tr>
            <w:tr w14:paraId="147567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45" w:type="pct"/>
                  <w:vMerge w:val="continue"/>
                  <w:vAlign w:val="center"/>
                </w:tcPr>
                <w:p w14:paraId="3CA99BB9">
                  <w:pPr>
                    <w:pStyle w:val="130"/>
                  </w:pPr>
                </w:p>
              </w:tc>
              <w:tc>
                <w:tcPr>
                  <w:tcW w:w="1966" w:type="pct"/>
                  <w:vAlign w:val="center"/>
                </w:tcPr>
                <w:p w14:paraId="51C7EE55">
                  <w:pPr>
                    <w:pStyle w:val="130"/>
                  </w:pPr>
                  <w:r>
                    <w:rPr>
                      <w:rFonts w:hint="eastAsia"/>
                    </w:rPr>
                    <w:t>康巴什区第十七幼儿园（学校）</w:t>
                  </w:r>
                </w:p>
              </w:tc>
              <w:tc>
                <w:tcPr>
                  <w:tcW w:w="906" w:type="pct"/>
                </w:tcPr>
                <w:p w14:paraId="7E0F22D1">
                  <w:pPr>
                    <w:pStyle w:val="130"/>
                  </w:pPr>
                  <w:r>
                    <w:rPr>
                      <w:rFonts w:hint="eastAsia"/>
                    </w:rPr>
                    <w:t>西南487m</w:t>
                  </w:r>
                </w:p>
              </w:tc>
              <w:tc>
                <w:tcPr>
                  <w:tcW w:w="1683" w:type="pct"/>
                  <w:vMerge w:val="continue"/>
                  <w:vAlign w:val="center"/>
                </w:tcPr>
                <w:p w14:paraId="25B7BA5E">
                  <w:pPr>
                    <w:pStyle w:val="130"/>
                  </w:pPr>
                </w:p>
              </w:tc>
            </w:tr>
            <w:tr w14:paraId="703D09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 w:hRule="atLeast"/>
                <w:jc w:val="center"/>
              </w:trPr>
              <w:tc>
                <w:tcPr>
                  <w:tcW w:w="445" w:type="pct"/>
                  <w:vAlign w:val="center"/>
                </w:tcPr>
                <w:p w14:paraId="7C68B629">
                  <w:pPr>
                    <w:pStyle w:val="130"/>
                  </w:pPr>
                  <w:r>
                    <w:t>声环境</w:t>
                  </w:r>
                </w:p>
              </w:tc>
              <w:tc>
                <w:tcPr>
                  <w:tcW w:w="1966" w:type="pct"/>
                  <w:vAlign w:val="center"/>
                </w:tcPr>
                <w:p w14:paraId="475C931E">
                  <w:pPr>
                    <w:pStyle w:val="130"/>
                  </w:pPr>
                  <w:r>
                    <w:rPr>
                      <w:rFonts w:hint="eastAsia"/>
                    </w:rPr>
                    <w:t>项目所在的汇能大厦</w:t>
                  </w:r>
                </w:p>
              </w:tc>
              <w:tc>
                <w:tcPr>
                  <w:tcW w:w="906" w:type="pct"/>
                  <w:vAlign w:val="center"/>
                </w:tcPr>
                <w:p w14:paraId="1AA8599E">
                  <w:pPr>
                    <w:pStyle w:val="130"/>
                  </w:pPr>
                  <w:r>
                    <w:rPr>
                      <w:rFonts w:hint="eastAsia"/>
                    </w:rPr>
                    <w:t>0m</w:t>
                  </w:r>
                </w:p>
              </w:tc>
              <w:tc>
                <w:tcPr>
                  <w:tcW w:w="1683" w:type="pct"/>
                  <w:vAlign w:val="center"/>
                </w:tcPr>
                <w:p w14:paraId="0D577C02">
                  <w:pPr>
                    <w:pStyle w:val="130"/>
                    <w:jc w:val="both"/>
                  </w:pPr>
                  <w:r>
                    <w:rPr>
                      <w:rFonts w:hint="eastAsia"/>
                      <w:color w:val="000000"/>
                      <w:kern w:val="0"/>
                    </w:rPr>
                    <w:t>民</w:t>
                  </w:r>
                  <w:r>
                    <w:rPr>
                      <w:rFonts w:hint="eastAsia"/>
                    </w:rPr>
                    <w:t>族路东35m和文化西路西35m范围内为4a类声功能区，其余为2</w:t>
                  </w:r>
                  <w:r>
                    <w:t>类</w:t>
                  </w:r>
                  <w:r>
                    <w:rPr>
                      <w:rFonts w:hint="eastAsia"/>
                    </w:rPr>
                    <w:t>功能区</w:t>
                  </w:r>
                </w:p>
              </w:tc>
            </w:tr>
            <w:tr w14:paraId="0705F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45" w:type="pct"/>
                  <w:vAlign w:val="center"/>
                </w:tcPr>
                <w:p w14:paraId="28BCB82B">
                  <w:pPr>
                    <w:pStyle w:val="130"/>
                  </w:pPr>
                  <w:r>
                    <w:rPr>
                      <w:rFonts w:hint="eastAsia"/>
                    </w:rPr>
                    <w:t>地下水</w:t>
                  </w:r>
                </w:p>
              </w:tc>
              <w:tc>
                <w:tcPr>
                  <w:tcW w:w="4555" w:type="pct"/>
                  <w:gridSpan w:val="3"/>
                  <w:vAlign w:val="center"/>
                </w:tcPr>
                <w:p w14:paraId="628442DD">
                  <w:pPr>
                    <w:pStyle w:val="130"/>
                  </w:pPr>
                  <w:r>
                    <w:rPr>
                      <w:rFonts w:hint="eastAsia"/>
                    </w:rPr>
                    <w:t>本项目厂界外500m范围内无地下水集中式饮用水水源和热水、矿泉水、温泉等特殊地下水资源等环境保护目标。</w:t>
                  </w:r>
                </w:p>
              </w:tc>
            </w:tr>
            <w:tr w14:paraId="3DBE6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445" w:type="pct"/>
                  <w:vAlign w:val="center"/>
                </w:tcPr>
                <w:p w14:paraId="709F9D58">
                  <w:pPr>
                    <w:pStyle w:val="130"/>
                  </w:pPr>
                  <w:r>
                    <w:t>生态环境</w:t>
                  </w:r>
                </w:p>
              </w:tc>
              <w:tc>
                <w:tcPr>
                  <w:tcW w:w="4555" w:type="pct"/>
                  <w:gridSpan w:val="3"/>
                  <w:vAlign w:val="center"/>
                </w:tcPr>
                <w:p w14:paraId="366437D3">
                  <w:pPr>
                    <w:pStyle w:val="130"/>
                  </w:pPr>
                  <w:r>
                    <w:rPr>
                      <w:rFonts w:hint="eastAsia"/>
                    </w:rPr>
                    <w:t>项目占地范围内无生态环境保护目标</w:t>
                  </w:r>
                </w:p>
              </w:tc>
            </w:tr>
            <w:bookmarkEnd w:id="13"/>
          </w:tbl>
          <w:p w14:paraId="4B9E5A42">
            <w:pPr>
              <w:pStyle w:val="76"/>
              <w:ind w:firstLine="0" w:firstLineChars="0"/>
              <w:rPr>
                <w:szCs w:val="21"/>
              </w:rPr>
            </w:pPr>
          </w:p>
        </w:tc>
      </w:tr>
      <w:tr w14:paraId="43C7F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Mar>
              <w:left w:w="28" w:type="dxa"/>
              <w:right w:w="28" w:type="dxa"/>
            </w:tcMar>
            <w:vAlign w:val="center"/>
          </w:tcPr>
          <w:p w14:paraId="42A4DB2E">
            <w:pPr>
              <w:adjustRightInd w:val="0"/>
              <w:snapToGrid w:val="0"/>
              <w:jc w:val="center"/>
              <w:rPr>
                <w:rFonts w:hint="eastAsia" w:ascii="宋体" w:hAnsi="宋体" w:cs="宋体"/>
                <w:kern w:val="0"/>
                <w:sz w:val="24"/>
              </w:rPr>
            </w:pPr>
            <w:r>
              <w:rPr>
                <w:rFonts w:hint="eastAsia" w:ascii="宋体" w:hAnsi="宋体" w:cs="宋体"/>
                <w:kern w:val="0"/>
                <w:sz w:val="24"/>
              </w:rPr>
              <w:t>污染</w:t>
            </w:r>
          </w:p>
          <w:p w14:paraId="497955CB">
            <w:pPr>
              <w:adjustRightInd w:val="0"/>
              <w:snapToGrid w:val="0"/>
              <w:jc w:val="center"/>
              <w:rPr>
                <w:rFonts w:hint="eastAsia" w:ascii="宋体" w:hAnsi="宋体" w:cs="宋体"/>
                <w:kern w:val="0"/>
                <w:sz w:val="24"/>
              </w:rPr>
            </w:pPr>
            <w:r>
              <w:rPr>
                <w:rFonts w:hint="eastAsia" w:ascii="宋体" w:hAnsi="宋体" w:cs="宋体"/>
                <w:kern w:val="0"/>
                <w:sz w:val="24"/>
              </w:rPr>
              <w:t>物排</w:t>
            </w:r>
          </w:p>
          <w:p w14:paraId="4EDD1DAB">
            <w:pPr>
              <w:adjustRightInd w:val="0"/>
              <w:snapToGrid w:val="0"/>
              <w:jc w:val="center"/>
              <w:rPr>
                <w:rFonts w:hint="eastAsia" w:ascii="宋体" w:hAnsi="宋体" w:cs="宋体"/>
                <w:kern w:val="0"/>
                <w:sz w:val="24"/>
              </w:rPr>
            </w:pPr>
            <w:r>
              <w:rPr>
                <w:rFonts w:hint="eastAsia" w:ascii="宋体" w:hAnsi="宋体" w:cs="宋体"/>
                <w:kern w:val="0"/>
                <w:sz w:val="24"/>
              </w:rPr>
              <w:t>放控</w:t>
            </w:r>
          </w:p>
          <w:p w14:paraId="13C8098F">
            <w:pPr>
              <w:adjustRightInd w:val="0"/>
              <w:snapToGrid w:val="0"/>
              <w:jc w:val="center"/>
              <w:rPr>
                <w:rFonts w:hint="eastAsia" w:ascii="宋体" w:hAnsi="宋体" w:cs="宋体"/>
                <w:kern w:val="0"/>
                <w:sz w:val="24"/>
              </w:rPr>
            </w:pPr>
            <w:r>
              <w:rPr>
                <w:rFonts w:hint="eastAsia" w:ascii="宋体" w:hAnsi="宋体" w:cs="宋体"/>
                <w:kern w:val="0"/>
                <w:sz w:val="24"/>
              </w:rPr>
              <w:t>制标</w:t>
            </w:r>
          </w:p>
          <w:p w14:paraId="7C235DA8">
            <w:pPr>
              <w:adjustRightInd w:val="0"/>
              <w:snapToGrid w:val="0"/>
              <w:jc w:val="center"/>
              <w:rPr>
                <w:rFonts w:hint="eastAsia" w:ascii="宋体" w:hAnsi="宋体" w:cs="宋体"/>
                <w:kern w:val="0"/>
                <w:szCs w:val="21"/>
              </w:rPr>
            </w:pPr>
            <w:r>
              <w:rPr>
                <w:rFonts w:hint="eastAsia" w:ascii="宋体" w:hAnsi="宋体" w:cs="宋体"/>
                <w:kern w:val="0"/>
                <w:sz w:val="24"/>
              </w:rPr>
              <w:t>准</w:t>
            </w:r>
          </w:p>
        </w:tc>
        <w:tc>
          <w:tcPr>
            <w:tcW w:w="8190" w:type="dxa"/>
          </w:tcPr>
          <w:p w14:paraId="258A75DE">
            <w:pPr>
              <w:pStyle w:val="76"/>
              <w:ind w:firstLine="0" w:firstLineChars="0"/>
              <w:rPr>
                <w:b/>
                <w:bCs/>
                <w:szCs w:val="21"/>
              </w:rPr>
            </w:pPr>
            <w:r>
              <w:rPr>
                <w:rFonts w:hint="eastAsia"/>
                <w:b/>
                <w:bCs/>
                <w:szCs w:val="21"/>
              </w:rPr>
              <w:t>1、</w:t>
            </w:r>
            <w:r>
              <w:rPr>
                <w:b/>
                <w:bCs/>
                <w:szCs w:val="21"/>
              </w:rPr>
              <w:t>废水排放标准</w:t>
            </w:r>
          </w:p>
          <w:p w14:paraId="0DD1BC12">
            <w:pPr>
              <w:pStyle w:val="76"/>
              <w:ind w:firstLine="480"/>
              <w:rPr>
                <w:szCs w:val="21"/>
              </w:rPr>
            </w:pPr>
            <w:r>
              <w:rPr>
                <w:rFonts w:hint="eastAsia"/>
                <w:szCs w:val="21"/>
              </w:rPr>
              <w:t>本项目营运期废水排放执行《污水综合排放标准》（GB8978-1996）表4三级标准要求。</w:t>
            </w:r>
          </w:p>
          <w:p w14:paraId="238209C5">
            <w:pPr>
              <w:pStyle w:val="76"/>
              <w:spacing w:line="240" w:lineRule="auto"/>
              <w:ind w:firstLine="0" w:firstLineChars="0"/>
              <w:jc w:val="center"/>
              <w:rPr>
                <w:b/>
                <w:bCs/>
                <w:sz w:val="21"/>
                <w:szCs w:val="18"/>
              </w:rPr>
            </w:pPr>
            <w:r>
              <w:rPr>
                <w:rFonts w:hint="eastAsia"/>
                <w:b/>
                <w:bCs/>
                <w:sz w:val="21"/>
                <w:szCs w:val="18"/>
              </w:rPr>
              <w:t>表3</w:t>
            </w:r>
            <w:r>
              <w:rPr>
                <w:b/>
                <w:bCs/>
                <w:sz w:val="21"/>
                <w:szCs w:val="18"/>
              </w:rPr>
              <w:t xml:space="preserve">-3 </w:t>
            </w:r>
            <w:r>
              <w:rPr>
                <w:rFonts w:hint="eastAsia"/>
                <w:b/>
                <w:bCs/>
                <w:sz w:val="21"/>
                <w:szCs w:val="18"/>
              </w:rPr>
              <w:t>《污水综合排放标准》（GB8978-1996）</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4"/>
              <w:gridCol w:w="2367"/>
              <w:gridCol w:w="1873"/>
            </w:tblGrid>
            <w:tr w14:paraId="25CF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pct"/>
                  <w:vAlign w:val="center"/>
                </w:tcPr>
                <w:p w14:paraId="1711CFFF">
                  <w:pPr>
                    <w:pStyle w:val="76"/>
                    <w:spacing w:line="240" w:lineRule="auto"/>
                    <w:ind w:firstLine="0" w:firstLineChars="0"/>
                    <w:jc w:val="center"/>
                    <w:rPr>
                      <w:b/>
                      <w:bCs/>
                      <w:sz w:val="21"/>
                      <w:szCs w:val="18"/>
                    </w:rPr>
                  </w:pPr>
                  <w:r>
                    <w:rPr>
                      <w:rFonts w:hint="eastAsia"/>
                      <w:b/>
                      <w:bCs/>
                      <w:sz w:val="21"/>
                      <w:szCs w:val="18"/>
                    </w:rPr>
                    <w:t>项目名称</w:t>
                  </w:r>
                </w:p>
              </w:tc>
              <w:tc>
                <w:tcPr>
                  <w:tcW w:w="1486" w:type="pct"/>
                  <w:vAlign w:val="center"/>
                </w:tcPr>
                <w:p w14:paraId="21652A9A">
                  <w:pPr>
                    <w:pStyle w:val="76"/>
                    <w:spacing w:line="240" w:lineRule="auto"/>
                    <w:ind w:firstLine="0" w:firstLineChars="0"/>
                    <w:jc w:val="center"/>
                    <w:rPr>
                      <w:b/>
                      <w:bCs/>
                      <w:sz w:val="21"/>
                      <w:szCs w:val="18"/>
                    </w:rPr>
                  </w:pPr>
                  <w:r>
                    <w:rPr>
                      <w:rFonts w:hint="eastAsia"/>
                      <w:b/>
                      <w:bCs/>
                      <w:sz w:val="21"/>
                      <w:szCs w:val="18"/>
                    </w:rPr>
                    <w:t>单位</w:t>
                  </w:r>
                </w:p>
              </w:tc>
              <w:tc>
                <w:tcPr>
                  <w:tcW w:w="1176" w:type="pct"/>
                  <w:vAlign w:val="center"/>
                </w:tcPr>
                <w:p w14:paraId="41201BEE">
                  <w:pPr>
                    <w:pStyle w:val="76"/>
                    <w:spacing w:line="240" w:lineRule="auto"/>
                    <w:ind w:firstLine="0" w:firstLineChars="0"/>
                    <w:jc w:val="center"/>
                    <w:rPr>
                      <w:b/>
                      <w:bCs/>
                      <w:sz w:val="21"/>
                      <w:szCs w:val="18"/>
                    </w:rPr>
                  </w:pPr>
                  <w:r>
                    <w:rPr>
                      <w:rFonts w:hint="eastAsia"/>
                      <w:b/>
                      <w:bCs/>
                      <w:sz w:val="21"/>
                      <w:szCs w:val="18"/>
                    </w:rPr>
                    <w:t>标准</w:t>
                  </w:r>
                </w:p>
              </w:tc>
            </w:tr>
            <w:tr w14:paraId="0A1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pct"/>
                  <w:vAlign w:val="center"/>
                </w:tcPr>
                <w:p w14:paraId="72561180">
                  <w:pPr>
                    <w:pStyle w:val="76"/>
                    <w:spacing w:line="240" w:lineRule="auto"/>
                    <w:ind w:firstLine="0" w:firstLineChars="0"/>
                    <w:jc w:val="center"/>
                    <w:rPr>
                      <w:sz w:val="21"/>
                      <w:szCs w:val="18"/>
                    </w:rPr>
                  </w:pPr>
                  <w:r>
                    <w:rPr>
                      <w:rFonts w:hint="eastAsia"/>
                      <w:sz w:val="21"/>
                      <w:szCs w:val="18"/>
                    </w:rPr>
                    <w:t>pH</w:t>
                  </w:r>
                </w:p>
              </w:tc>
              <w:tc>
                <w:tcPr>
                  <w:tcW w:w="1486" w:type="pct"/>
                  <w:vAlign w:val="center"/>
                </w:tcPr>
                <w:p w14:paraId="6AEA4B24">
                  <w:pPr>
                    <w:pStyle w:val="76"/>
                    <w:spacing w:line="240" w:lineRule="auto"/>
                    <w:ind w:firstLine="0" w:firstLineChars="0"/>
                    <w:jc w:val="center"/>
                    <w:rPr>
                      <w:sz w:val="21"/>
                      <w:szCs w:val="18"/>
                    </w:rPr>
                  </w:pPr>
                  <w:r>
                    <w:rPr>
                      <w:rFonts w:hint="eastAsia"/>
                      <w:sz w:val="21"/>
                      <w:szCs w:val="18"/>
                    </w:rPr>
                    <w:t>/</w:t>
                  </w:r>
                </w:p>
              </w:tc>
              <w:tc>
                <w:tcPr>
                  <w:tcW w:w="1176" w:type="pct"/>
                  <w:vAlign w:val="center"/>
                </w:tcPr>
                <w:p w14:paraId="395196CB">
                  <w:pPr>
                    <w:pStyle w:val="76"/>
                    <w:spacing w:line="240" w:lineRule="auto"/>
                    <w:ind w:firstLine="0" w:firstLineChars="0"/>
                    <w:jc w:val="center"/>
                    <w:rPr>
                      <w:sz w:val="21"/>
                      <w:szCs w:val="18"/>
                    </w:rPr>
                  </w:pPr>
                  <w:r>
                    <w:rPr>
                      <w:rFonts w:hint="eastAsia"/>
                      <w:sz w:val="21"/>
                      <w:szCs w:val="18"/>
                    </w:rPr>
                    <w:t>6~9</w:t>
                  </w:r>
                </w:p>
              </w:tc>
            </w:tr>
            <w:tr w14:paraId="1E11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pct"/>
                  <w:vAlign w:val="center"/>
                </w:tcPr>
                <w:p w14:paraId="17F64004">
                  <w:pPr>
                    <w:pStyle w:val="76"/>
                    <w:spacing w:line="240" w:lineRule="auto"/>
                    <w:ind w:firstLine="0" w:firstLineChars="0"/>
                    <w:jc w:val="center"/>
                    <w:rPr>
                      <w:sz w:val="21"/>
                      <w:szCs w:val="18"/>
                    </w:rPr>
                  </w:pPr>
                  <w:r>
                    <w:rPr>
                      <w:sz w:val="21"/>
                      <w:szCs w:val="18"/>
                    </w:rPr>
                    <w:t>COD</w:t>
                  </w:r>
                  <w:r>
                    <w:rPr>
                      <w:rFonts w:hint="eastAsia"/>
                      <w:sz w:val="21"/>
                      <w:szCs w:val="18"/>
                    </w:rPr>
                    <w:t>cr</w:t>
                  </w:r>
                </w:p>
              </w:tc>
              <w:tc>
                <w:tcPr>
                  <w:tcW w:w="1486" w:type="pct"/>
                  <w:vAlign w:val="center"/>
                </w:tcPr>
                <w:p w14:paraId="5D028BE1">
                  <w:pPr>
                    <w:pStyle w:val="76"/>
                    <w:spacing w:line="240" w:lineRule="auto"/>
                    <w:ind w:firstLine="0" w:firstLineChars="0"/>
                    <w:jc w:val="center"/>
                    <w:rPr>
                      <w:sz w:val="21"/>
                      <w:szCs w:val="18"/>
                    </w:rPr>
                  </w:pPr>
                  <w:r>
                    <w:rPr>
                      <w:sz w:val="21"/>
                      <w:szCs w:val="18"/>
                    </w:rPr>
                    <w:t>mg/L</w:t>
                  </w:r>
                </w:p>
              </w:tc>
              <w:tc>
                <w:tcPr>
                  <w:tcW w:w="1176" w:type="pct"/>
                  <w:vAlign w:val="center"/>
                </w:tcPr>
                <w:p w14:paraId="45BD19F1">
                  <w:pPr>
                    <w:pStyle w:val="76"/>
                    <w:spacing w:line="240" w:lineRule="auto"/>
                    <w:ind w:firstLine="0" w:firstLineChars="0"/>
                    <w:jc w:val="center"/>
                    <w:rPr>
                      <w:sz w:val="21"/>
                      <w:szCs w:val="18"/>
                    </w:rPr>
                  </w:pPr>
                  <w:r>
                    <w:rPr>
                      <w:rFonts w:hint="eastAsia"/>
                      <w:sz w:val="21"/>
                      <w:szCs w:val="18"/>
                    </w:rPr>
                    <w:t>5</w:t>
                  </w:r>
                  <w:r>
                    <w:rPr>
                      <w:sz w:val="21"/>
                      <w:szCs w:val="18"/>
                    </w:rPr>
                    <w:t>00</w:t>
                  </w:r>
                </w:p>
              </w:tc>
            </w:tr>
            <w:tr w14:paraId="59E1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pct"/>
                  <w:vAlign w:val="center"/>
                </w:tcPr>
                <w:p w14:paraId="1A63A3A8">
                  <w:pPr>
                    <w:pStyle w:val="76"/>
                    <w:spacing w:line="240" w:lineRule="auto"/>
                    <w:ind w:firstLine="0" w:firstLineChars="0"/>
                    <w:jc w:val="center"/>
                    <w:rPr>
                      <w:sz w:val="21"/>
                      <w:szCs w:val="18"/>
                    </w:rPr>
                  </w:pPr>
                  <w:r>
                    <w:rPr>
                      <w:sz w:val="21"/>
                      <w:szCs w:val="18"/>
                    </w:rPr>
                    <w:t>BOD</w:t>
                  </w:r>
                  <w:r>
                    <w:rPr>
                      <w:rFonts w:hint="eastAsia"/>
                      <w:sz w:val="21"/>
                      <w:szCs w:val="18"/>
                      <w:vertAlign w:val="subscript"/>
                    </w:rPr>
                    <w:t>5</w:t>
                  </w:r>
                </w:p>
              </w:tc>
              <w:tc>
                <w:tcPr>
                  <w:tcW w:w="1486" w:type="pct"/>
                  <w:vAlign w:val="center"/>
                </w:tcPr>
                <w:p w14:paraId="7B8A219E">
                  <w:pPr>
                    <w:pStyle w:val="76"/>
                    <w:spacing w:line="240" w:lineRule="auto"/>
                    <w:ind w:firstLine="0" w:firstLineChars="0"/>
                    <w:jc w:val="center"/>
                    <w:rPr>
                      <w:sz w:val="21"/>
                      <w:szCs w:val="18"/>
                    </w:rPr>
                  </w:pPr>
                  <w:r>
                    <w:rPr>
                      <w:sz w:val="21"/>
                      <w:szCs w:val="18"/>
                    </w:rPr>
                    <w:t>mg/L</w:t>
                  </w:r>
                </w:p>
              </w:tc>
              <w:tc>
                <w:tcPr>
                  <w:tcW w:w="1176" w:type="pct"/>
                  <w:vAlign w:val="center"/>
                </w:tcPr>
                <w:p w14:paraId="7D38B670">
                  <w:pPr>
                    <w:pStyle w:val="76"/>
                    <w:spacing w:line="240" w:lineRule="auto"/>
                    <w:ind w:firstLine="0" w:firstLineChars="0"/>
                    <w:jc w:val="center"/>
                    <w:rPr>
                      <w:sz w:val="21"/>
                      <w:szCs w:val="18"/>
                    </w:rPr>
                  </w:pPr>
                  <w:r>
                    <w:rPr>
                      <w:rFonts w:hint="eastAsia"/>
                      <w:sz w:val="21"/>
                      <w:szCs w:val="18"/>
                    </w:rPr>
                    <w:t>3</w:t>
                  </w:r>
                  <w:r>
                    <w:rPr>
                      <w:sz w:val="21"/>
                      <w:szCs w:val="18"/>
                    </w:rPr>
                    <w:t>00</w:t>
                  </w:r>
                </w:p>
              </w:tc>
            </w:tr>
            <w:tr w14:paraId="127C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pct"/>
                  <w:vAlign w:val="center"/>
                </w:tcPr>
                <w:p w14:paraId="522B133E">
                  <w:pPr>
                    <w:pStyle w:val="76"/>
                    <w:spacing w:line="240" w:lineRule="auto"/>
                    <w:ind w:firstLine="0" w:firstLineChars="0"/>
                    <w:jc w:val="center"/>
                    <w:rPr>
                      <w:sz w:val="21"/>
                      <w:szCs w:val="18"/>
                    </w:rPr>
                  </w:pPr>
                  <w:r>
                    <w:rPr>
                      <w:sz w:val="21"/>
                      <w:szCs w:val="18"/>
                    </w:rPr>
                    <w:t>SS</w:t>
                  </w:r>
                </w:p>
              </w:tc>
              <w:tc>
                <w:tcPr>
                  <w:tcW w:w="1486" w:type="pct"/>
                  <w:vAlign w:val="center"/>
                </w:tcPr>
                <w:p w14:paraId="598E1F38">
                  <w:pPr>
                    <w:pStyle w:val="76"/>
                    <w:spacing w:line="240" w:lineRule="auto"/>
                    <w:ind w:firstLine="0" w:firstLineChars="0"/>
                    <w:jc w:val="center"/>
                    <w:rPr>
                      <w:sz w:val="21"/>
                      <w:szCs w:val="18"/>
                    </w:rPr>
                  </w:pPr>
                  <w:r>
                    <w:rPr>
                      <w:sz w:val="21"/>
                      <w:szCs w:val="18"/>
                    </w:rPr>
                    <w:t>mg/L</w:t>
                  </w:r>
                </w:p>
              </w:tc>
              <w:tc>
                <w:tcPr>
                  <w:tcW w:w="1176" w:type="pct"/>
                  <w:vAlign w:val="center"/>
                </w:tcPr>
                <w:p w14:paraId="3C507E30">
                  <w:pPr>
                    <w:pStyle w:val="76"/>
                    <w:spacing w:line="240" w:lineRule="auto"/>
                    <w:ind w:firstLine="0" w:firstLineChars="0"/>
                    <w:jc w:val="center"/>
                    <w:rPr>
                      <w:sz w:val="21"/>
                      <w:szCs w:val="18"/>
                    </w:rPr>
                  </w:pPr>
                  <w:r>
                    <w:rPr>
                      <w:rFonts w:hint="eastAsia"/>
                      <w:sz w:val="21"/>
                      <w:szCs w:val="18"/>
                    </w:rPr>
                    <w:t>4</w:t>
                  </w:r>
                  <w:r>
                    <w:rPr>
                      <w:sz w:val="21"/>
                      <w:szCs w:val="18"/>
                    </w:rPr>
                    <w:t>00</w:t>
                  </w:r>
                </w:p>
              </w:tc>
            </w:tr>
            <w:tr w14:paraId="222F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pct"/>
                  <w:vAlign w:val="center"/>
                </w:tcPr>
                <w:p w14:paraId="049D3E1E">
                  <w:pPr>
                    <w:pStyle w:val="76"/>
                    <w:spacing w:line="240" w:lineRule="auto"/>
                    <w:ind w:firstLine="0" w:firstLineChars="0"/>
                    <w:jc w:val="center"/>
                    <w:rPr>
                      <w:sz w:val="21"/>
                      <w:szCs w:val="18"/>
                    </w:rPr>
                  </w:pPr>
                  <w:r>
                    <w:rPr>
                      <w:rFonts w:hint="eastAsia"/>
                      <w:sz w:val="21"/>
                      <w:szCs w:val="18"/>
                    </w:rPr>
                    <w:t>氨氮</w:t>
                  </w:r>
                </w:p>
              </w:tc>
              <w:tc>
                <w:tcPr>
                  <w:tcW w:w="1486" w:type="pct"/>
                  <w:vAlign w:val="center"/>
                </w:tcPr>
                <w:p w14:paraId="1F64BAB3">
                  <w:pPr>
                    <w:pStyle w:val="76"/>
                    <w:spacing w:line="240" w:lineRule="auto"/>
                    <w:ind w:firstLine="0" w:firstLineChars="0"/>
                    <w:jc w:val="center"/>
                    <w:rPr>
                      <w:sz w:val="21"/>
                      <w:szCs w:val="18"/>
                    </w:rPr>
                  </w:pPr>
                  <w:r>
                    <w:rPr>
                      <w:sz w:val="21"/>
                      <w:szCs w:val="18"/>
                    </w:rPr>
                    <w:t>mg/L</w:t>
                  </w:r>
                </w:p>
              </w:tc>
              <w:tc>
                <w:tcPr>
                  <w:tcW w:w="1176" w:type="pct"/>
                  <w:vAlign w:val="center"/>
                </w:tcPr>
                <w:p w14:paraId="765B2889">
                  <w:pPr>
                    <w:pStyle w:val="76"/>
                    <w:spacing w:line="240" w:lineRule="auto"/>
                    <w:ind w:firstLine="0" w:firstLineChars="0"/>
                    <w:jc w:val="center"/>
                    <w:rPr>
                      <w:sz w:val="21"/>
                      <w:szCs w:val="18"/>
                    </w:rPr>
                  </w:pPr>
                  <w:r>
                    <w:rPr>
                      <w:rFonts w:hint="eastAsia"/>
                      <w:sz w:val="21"/>
                      <w:szCs w:val="18"/>
                    </w:rPr>
                    <w:t>-</w:t>
                  </w:r>
                </w:p>
              </w:tc>
            </w:tr>
          </w:tbl>
          <w:p w14:paraId="4D017766">
            <w:pPr>
              <w:pStyle w:val="77"/>
              <w:rPr>
                <w:szCs w:val="21"/>
              </w:rPr>
            </w:pPr>
            <w:r>
              <w:rPr>
                <w:rFonts w:hint="eastAsia"/>
                <w:szCs w:val="21"/>
              </w:rPr>
              <w:t>2、</w:t>
            </w:r>
            <w:r>
              <w:rPr>
                <w:szCs w:val="21"/>
              </w:rPr>
              <w:t>噪声排放标准</w:t>
            </w:r>
          </w:p>
          <w:p w14:paraId="0049A1AA">
            <w:pPr>
              <w:pStyle w:val="76"/>
              <w:ind w:firstLine="480"/>
              <w:rPr>
                <w:szCs w:val="21"/>
              </w:rPr>
            </w:pPr>
            <w:r>
              <w:rPr>
                <w:szCs w:val="21"/>
              </w:rPr>
              <w:t>施工</w:t>
            </w:r>
            <w:r>
              <w:rPr>
                <w:rFonts w:hint="eastAsia"/>
                <w:szCs w:val="21"/>
              </w:rPr>
              <w:t>期</w:t>
            </w:r>
            <w:r>
              <w:rPr>
                <w:szCs w:val="21"/>
              </w:rPr>
              <w:t>噪声执行《建筑施工场界环境噪声排放标准》（GB12523-2011）的标准限值</w:t>
            </w:r>
            <w:r>
              <w:rPr>
                <w:rFonts w:hint="eastAsia"/>
                <w:szCs w:val="21"/>
              </w:rPr>
              <w:t>。</w:t>
            </w:r>
            <w:r>
              <w:t>运营期厂界四周噪声排放</w:t>
            </w:r>
            <w:r>
              <w:rPr>
                <w:rFonts w:hint="eastAsia"/>
                <w:color w:val="000000"/>
                <w:kern w:val="0"/>
              </w:rPr>
              <w:t>依据《鄂尔多斯市（东胜区、康巴什区）声环境功能区划分方案》，项目所在区域为2类声环境功能区。项目也位于城市次干路民族路东侧、文化西路西侧，根据《声环境功能区划分技术规范》（GB/T15190-2014），交通干线相邻区域为2类声环境功能区的，边界线外距离35m</w:t>
            </w:r>
            <w:r>
              <w:rPr>
                <w:color w:val="000000"/>
                <w:kern w:val="0"/>
              </w:rPr>
              <w:t>±</w:t>
            </w:r>
            <w:r>
              <w:rPr>
                <w:rFonts w:hint="eastAsia"/>
                <w:color w:val="000000"/>
                <w:kern w:val="0"/>
              </w:rPr>
              <w:t>5m为4a类声功能区。因此民族路东35m和文化西路西35m范围内为4a类声功能区，剩余为2类声功能区。声环境质量标准值详见下表。</w:t>
            </w:r>
          </w:p>
          <w:p w14:paraId="23CB9F99">
            <w:pPr>
              <w:adjustRightInd w:val="0"/>
              <w:snapToGrid w:val="0"/>
              <w:spacing w:line="372" w:lineRule="auto"/>
              <w:jc w:val="center"/>
              <w:rPr>
                <w:b/>
                <w:bCs/>
                <w:color w:val="000000"/>
                <w:kern w:val="0"/>
                <w:szCs w:val="21"/>
              </w:rPr>
            </w:pPr>
            <w:r>
              <w:rPr>
                <w:rFonts w:hint="eastAsia"/>
                <w:b/>
                <w:bCs/>
                <w:color w:val="000000"/>
                <w:kern w:val="0"/>
                <w:szCs w:val="21"/>
              </w:rPr>
              <w:t>表3-</w:t>
            </w:r>
            <w:r>
              <w:rPr>
                <w:b/>
                <w:bCs/>
                <w:color w:val="000000"/>
                <w:kern w:val="0"/>
                <w:szCs w:val="21"/>
              </w:rPr>
              <w:t>4</w:t>
            </w:r>
            <w:r>
              <w:rPr>
                <w:rFonts w:hint="eastAsia"/>
                <w:b/>
                <w:bCs/>
                <w:color w:val="000000"/>
                <w:kern w:val="0"/>
                <w:szCs w:val="21"/>
              </w:rPr>
              <w:t>噪声排放标准值表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4"/>
              <w:gridCol w:w="1300"/>
              <w:gridCol w:w="1300"/>
            </w:tblGrid>
            <w:tr w14:paraId="5337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8" w:type="pct"/>
                  <w:vAlign w:val="center"/>
                </w:tcPr>
                <w:p w14:paraId="55B663D5">
                  <w:pPr>
                    <w:adjustRightInd w:val="0"/>
                    <w:snapToGrid w:val="0"/>
                    <w:jc w:val="center"/>
                    <w:rPr>
                      <w:b/>
                      <w:bCs/>
                      <w:color w:val="000000"/>
                      <w:kern w:val="0"/>
                      <w:szCs w:val="21"/>
                    </w:rPr>
                  </w:pPr>
                  <w:r>
                    <w:rPr>
                      <w:rFonts w:hint="eastAsia"/>
                      <w:b/>
                      <w:bCs/>
                      <w:color w:val="000000"/>
                      <w:kern w:val="0"/>
                      <w:szCs w:val="21"/>
                    </w:rPr>
                    <w:t>类别</w:t>
                  </w:r>
                </w:p>
              </w:tc>
              <w:tc>
                <w:tcPr>
                  <w:tcW w:w="816" w:type="pct"/>
                  <w:vAlign w:val="center"/>
                </w:tcPr>
                <w:p w14:paraId="5120D3E5">
                  <w:pPr>
                    <w:adjustRightInd w:val="0"/>
                    <w:snapToGrid w:val="0"/>
                    <w:jc w:val="center"/>
                    <w:rPr>
                      <w:b/>
                      <w:bCs/>
                      <w:color w:val="000000"/>
                      <w:kern w:val="0"/>
                      <w:szCs w:val="21"/>
                    </w:rPr>
                  </w:pPr>
                  <w:r>
                    <w:rPr>
                      <w:rFonts w:hint="eastAsia"/>
                      <w:b/>
                      <w:bCs/>
                      <w:color w:val="000000"/>
                      <w:kern w:val="0"/>
                      <w:szCs w:val="21"/>
                    </w:rPr>
                    <w:t>昼间</w:t>
                  </w:r>
                  <w:r>
                    <w:rPr>
                      <w:rFonts w:hint="eastAsia"/>
                      <w:color w:val="000000"/>
                      <w:kern w:val="0"/>
                      <w:szCs w:val="21"/>
                    </w:rPr>
                    <w:t>dB(A)</w:t>
                  </w:r>
                </w:p>
              </w:tc>
              <w:tc>
                <w:tcPr>
                  <w:tcW w:w="816" w:type="pct"/>
                  <w:vAlign w:val="center"/>
                </w:tcPr>
                <w:p w14:paraId="736DD925">
                  <w:pPr>
                    <w:adjustRightInd w:val="0"/>
                    <w:snapToGrid w:val="0"/>
                    <w:jc w:val="center"/>
                    <w:rPr>
                      <w:b/>
                      <w:bCs/>
                      <w:color w:val="000000"/>
                      <w:kern w:val="0"/>
                      <w:szCs w:val="21"/>
                    </w:rPr>
                  </w:pPr>
                  <w:r>
                    <w:rPr>
                      <w:rFonts w:hint="eastAsia"/>
                      <w:b/>
                      <w:bCs/>
                      <w:color w:val="000000"/>
                      <w:kern w:val="0"/>
                      <w:szCs w:val="21"/>
                    </w:rPr>
                    <w:t>夜间</w:t>
                  </w:r>
                  <w:r>
                    <w:rPr>
                      <w:rFonts w:hint="eastAsia"/>
                      <w:color w:val="000000"/>
                      <w:kern w:val="0"/>
                      <w:szCs w:val="21"/>
                    </w:rPr>
                    <w:t>dB(A)</w:t>
                  </w:r>
                </w:p>
              </w:tc>
            </w:tr>
            <w:tr w14:paraId="4A0D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8" w:type="pct"/>
                  <w:vAlign w:val="center"/>
                </w:tcPr>
                <w:p w14:paraId="2C6E192A">
                  <w:pPr>
                    <w:adjustRightInd w:val="0"/>
                    <w:snapToGrid w:val="0"/>
                    <w:jc w:val="center"/>
                    <w:rPr>
                      <w:bCs/>
                      <w:color w:val="000000"/>
                      <w:kern w:val="0"/>
                      <w:szCs w:val="21"/>
                    </w:rPr>
                  </w:pPr>
                  <w:r>
                    <w:rPr>
                      <w:bCs/>
                      <w:szCs w:val="21"/>
                    </w:rPr>
                    <w:t>《建筑施工场界环境噪声排放标准》（GB12523-2011）</w:t>
                  </w:r>
                </w:p>
              </w:tc>
              <w:tc>
                <w:tcPr>
                  <w:tcW w:w="816" w:type="pct"/>
                  <w:vAlign w:val="center"/>
                </w:tcPr>
                <w:p w14:paraId="16C83754">
                  <w:pPr>
                    <w:adjustRightInd w:val="0"/>
                    <w:snapToGrid w:val="0"/>
                    <w:jc w:val="center"/>
                    <w:rPr>
                      <w:b/>
                      <w:bCs/>
                      <w:color w:val="000000"/>
                      <w:kern w:val="0"/>
                      <w:szCs w:val="21"/>
                    </w:rPr>
                  </w:pPr>
                  <w:r>
                    <w:t>70</w:t>
                  </w:r>
                </w:p>
              </w:tc>
              <w:tc>
                <w:tcPr>
                  <w:tcW w:w="816" w:type="pct"/>
                  <w:vAlign w:val="center"/>
                </w:tcPr>
                <w:p w14:paraId="19FF478B">
                  <w:pPr>
                    <w:adjustRightInd w:val="0"/>
                    <w:snapToGrid w:val="0"/>
                    <w:jc w:val="center"/>
                    <w:rPr>
                      <w:b/>
                      <w:bCs/>
                      <w:color w:val="000000"/>
                      <w:kern w:val="0"/>
                      <w:szCs w:val="21"/>
                    </w:rPr>
                  </w:pPr>
                  <w:r>
                    <w:t>55</w:t>
                  </w:r>
                </w:p>
              </w:tc>
            </w:tr>
            <w:tr w14:paraId="2500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8" w:type="pct"/>
                  <w:vAlign w:val="center"/>
                </w:tcPr>
                <w:p w14:paraId="195538E4">
                  <w:pPr>
                    <w:adjustRightInd w:val="0"/>
                    <w:snapToGrid w:val="0"/>
                    <w:jc w:val="center"/>
                    <w:rPr>
                      <w:color w:val="000000"/>
                      <w:kern w:val="0"/>
                      <w:szCs w:val="21"/>
                    </w:rPr>
                  </w:pPr>
                  <w:r>
                    <w:rPr>
                      <w:rFonts w:hint="eastAsia"/>
                      <w:color w:val="000000"/>
                      <w:kern w:val="0"/>
                      <w:szCs w:val="21"/>
                    </w:rPr>
                    <w:t>《</w:t>
                  </w:r>
                  <w:r>
                    <w:t>工业企业厂界环境噪声排放标准</w:t>
                  </w:r>
                  <w:r>
                    <w:rPr>
                      <w:rFonts w:hint="eastAsia"/>
                      <w:color w:val="000000"/>
                      <w:kern w:val="0"/>
                      <w:szCs w:val="21"/>
                    </w:rPr>
                    <w:t>》（GB12348-2008）2类标准</w:t>
                  </w:r>
                </w:p>
              </w:tc>
              <w:tc>
                <w:tcPr>
                  <w:tcW w:w="816" w:type="pct"/>
                  <w:vAlign w:val="center"/>
                </w:tcPr>
                <w:p w14:paraId="7574552C">
                  <w:pPr>
                    <w:adjustRightInd w:val="0"/>
                    <w:snapToGrid w:val="0"/>
                    <w:jc w:val="center"/>
                    <w:rPr>
                      <w:color w:val="000000"/>
                      <w:kern w:val="0"/>
                      <w:szCs w:val="21"/>
                    </w:rPr>
                  </w:pPr>
                  <w:r>
                    <w:rPr>
                      <w:rFonts w:hint="eastAsia"/>
                      <w:color w:val="000000"/>
                      <w:kern w:val="0"/>
                      <w:szCs w:val="21"/>
                    </w:rPr>
                    <w:t>60</w:t>
                  </w:r>
                </w:p>
              </w:tc>
              <w:tc>
                <w:tcPr>
                  <w:tcW w:w="816" w:type="pct"/>
                  <w:vAlign w:val="center"/>
                </w:tcPr>
                <w:p w14:paraId="0AF46ABB">
                  <w:pPr>
                    <w:adjustRightInd w:val="0"/>
                    <w:snapToGrid w:val="0"/>
                    <w:jc w:val="center"/>
                    <w:rPr>
                      <w:color w:val="000000"/>
                      <w:kern w:val="0"/>
                      <w:szCs w:val="21"/>
                    </w:rPr>
                  </w:pPr>
                  <w:r>
                    <w:rPr>
                      <w:rFonts w:hint="eastAsia"/>
                      <w:color w:val="000000"/>
                      <w:kern w:val="0"/>
                      <w:szCs w:val="21"/>
                    </w:rPr>
                    <w:t>50</w:t>
                  </w:r>
                </w:p>
              </w:tc>
            </w:tr>
            <w:tr w14:paraId="621F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8" w:type="pct"/>
                  <w:vAlign w:val="center"/>
                </w:tcPr>
                <w:p w14:paraId="0822AF53">
                  <w:pPr>
                    <w:adjustRightInd w:val="0"/>
                    <w:snapToGrid w:val="0"/>
                    <w:jc w:val="center"/>
                    <w:rPr>
                      <w:color w:val="000000"/>
                      <w:kern w:val="0"/>
                      <w:szCs w:val="21"/>
                    </w:rPr>
                  </w:pPr>
                  <w:r>
                    <w:rPr>
                      <w:rFonts w:hint="eastAsia"/>
                      <w:color w:val="000000"/>
                      <w:kern w:val="0"/>
                      <w:szCs w:val="21"/>
                    </w:rPr>
                    <w:t>《</w:t>
                  </w:r>
                  <w:r>
                    <w:t>工业企业厂界环境噪声排放标准</w:t>
                  </w:r>
                  <w:r>
                    <w:rPr>
                      <w:rFonts w:hint="eastAsia"/>
                      <w:color w:val="000000"/>
                      <w:kern w:val="0"/>
                      <w:szCs w:val="21"/>
                    </w:rPr>
                    <w:t>》（GB12348-2008）4类标准</w:t>
                  </w:r>
                </w:p>
              </w:tc>
              <w:tc>
                <w:tcPr>
                  <w:tcW w:w="816" w:type="pct"/>
                  <w:vAlign w:val="center"/>
                </w:tcPr>
                <w:p w14:paraId="35ACC28B">
                  <w:pPr>
                    <w:adjustRightInd w:val="0"/>
                    <w:snapToGrid w:val="0"/>
                    <w:jc w:val="center"/>
                    <w:rPr>
                      <w:color w:val="000000"/>
                      <w:kern w:val="0"/>
                      <w:szCs w:val="21"/>
                    </w:rPr>
                  </w:pPr>
                  <w:r>
                    <w:rPr>
                      <w:rFonts w:hint="eastAsia"/>
                      <w:color w:val="000000"/>
                      <w:kern w:val="0"/>
                      <w:szCs w:val="21"/>
                    </w:rPr>
                    <w:t>70</w:t>
                  </w:r>
                </w:p>
              </w:tc>
              <w:tc>
                <w:tcPr>
                  <w:tcW w:w="816" w:type="pct"/>
                  <w:vAlign w:val="center"/>
                </w:tcPr>
                <w:p w14:paraId="3FB01B99">
                  <w:pPr>
                    <w:adjustRightInd w:val="0"/>
                    <w:snapToGrid w:val="0"/>
                    <w:jc w:val="center"/>
                    <w:rPr>
                      <w:color w:val="000000"/>
                      <w:kern w:val="0"/>
                      <w:szCs w:val="21"/>
                    </w:rPr>
                  </w:pPr>
                  <w:r>
                    <w:rPr>
                      <w:rFonts w:hint="eastAsia"/>
                      <w:color w:val="000000"/>
                      <w:kern w:val="0"/>
                      <w:szCs w:val="21"/>
                    </w:rPr>
                    <w:t>55</w:t>
                  </w:r>
                </w:p>
              </w:tc>
            </w:tr>
          </w:tbl>
          <w:p w14:paraId="6EA93A51">
            <w:pPr>
              <w:pStyle w:val="77"/>
              <w:rPr>
                <w:szCs w:val="21"/>
              </w:rPr>
            </w:pPr>
            <w:r>
              <w:rPr>
                <w:rFonts w:hint="eastAsia"/>
                <w:szCs w:val="21"/>
              </w:rPr>
              <w:t>3、</w:t>
            </w:r>
            <w:r>
              <w:rPr>
                <w:szCs w:val="21"/>
              </w:rPr>
              <w:t>固体废物排放标准</w:t>
            </w:r>
          </w:p>
          <w:p w14:paraId="6D2F1F12">
            <w:pPr>
              <w:pStyle w:val="76"/>
              <w:ind w:firstLine="480"/>
              <w:rPr>
                <w:szCs w:val="21"/>
              </w:rPr>
            </w:pPr>
            <w:r>
              <w:rPr>
                <w:szCs w:val="21"/>
              </w:rPr>
              <w:t>一般</w:t>
            </w:r>
            <w:r>
              <w:rPr>
                <w:rFonts w:hint="eastAsia"/>
                <w:szCs w:val="21"/>
              </w:rPr>
              <w:t>固体废物</w:t>
            </w:r>
            <w:r>
              <w:rPr>
                <w:szCs w:val="21"/>
              </w:rPr>
              <w:t>执行《</w:t>
            </w:r>
            <w:r>
              <w:fldChar w:fldCharType="begin"/>
            </w:r>
            <w:r>
              <w:instrText xml:space="preserve"> HYPERLINK "http://www.mee.gov.cn/ywgz/fgbz/bz/bzwb/gthw/gtfwwrkzbz/202012/W020201218695845325455.pdf" </w:instrText>
            </w:r>
            <w:r>
              <w:fldChar w:fldCharType="separate"/>
            </w:r>
            <w:r>
              <w:rPr>
                <w:rStyle w:val="57"/>
                <w:color w:val="auto"/>
                <w:szCs w:val="21"/>
                <w:u w:val="none"/>
              </w:rPr>
              <w:t>一般工业固体废物贮存和填埋污染控制标准》（GB18599-2020）</w:t>
            </w:r>
            <w:r>
              <w:rPr>
                <w:rStyle w:val="57"/>
                <w:color w:val="auto"/>
                <w:szCs w:val="21"/>
                <w:u w:val="none"/>
              </w:rPr>
              <w:fldChar w:fldCharType="end"/>
            </w:r>
            <w:r>
              <w:rPr>
                <w:szCs w:val="21"/>
              </w:rPr>
              <w:t>的相关规定；危险</w:t>
            </w:r>
            <w:r>
              <w:rPr>
                <w:rFonts w:hint="eastAsia"/>
                <w:szCs w:val="21"/>
              </w:rPr>
              <w:t>固体</w:t>
            </w:r>
            <w:r>
              <w:rPr>
                <w:szCs w:val="21"/>
              </w:rPr>
              <w:t>废物储存执行《危险废物贮存污染控制标准》（GB18597-20</w:t>
            </w:r>
            <w:r>
              <w:rPr>
                <w:rFonts w:hint="eastAsia"/>
                <w:szCs w:val="21"/>
              </w:rPr>
              <w:t>23</w:t>
            </w:r>
            <w:r>
              <w:rPr>
                <w:szCs w:val="21"/>
              </w:rPr>
              <w:t>）；危险废物收集和运输过程执行《危险废物收集贮存运输技术规范》（HJ2025-2012）。</w:t>
            </w:r>
          </w:p>
        </w:tc>
      </w:tr>
      <w:tr w14:paraId="39AE8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800" w:type="dxa"/>
            <w:vAlign w:val="center"/>
          </w:tcPr>
          <w:p w14:paraId="69D7C402">
            <w:pPr>
              <w:adjustRightInd w:val="0"/>
              <w:snapToGrid w:val="0"/>
              <w:jc w:val="center"/>
              <w:rPr>
                <w:rFonts w:hint="eastAsia" w:ascii="宋体" w:hAnsi="宋体" w:cs="宋体"/>
                <w:kern w:val="0"/>
                <w:sz w:val="24"/>
              </w:rPr>
            </w:pPr>
            <w:r>
              <w:rPr>
                <w:rFonts w:hint="eastAsia" w:ascii="宋体" w:hAnsi="宋体" w:cs="宋体"/>
                <w:kern w:val="0"/>
                <w:sz w:val="24"/>
              </w:rPr>
              <w:t>总量</w:t>
            </w:r>
          </w:p>
          <w:p w14:paraId="1587765E">
            <w:pPr>
              <w:adjustRightInd w:val="0"/>
              <w:snapToGrid w:val="0"/>
              <w:jc w:val="center"/>
              <w:rPr>
                <w:rFonts w:hint="eastAsia" w:ascii="宋体" w:hAnsi="宋体" w:cs="宋体"/>
                <w:kern w:val="0"/>
                <w:sz w:val="24"/>
              </w:rPr>
            </w:pPr>
            <w:r>
              <w:rPr>
                <w:rFonts w:hint="eastAsia" w:ascii="宋体" w:hAnsi="宋体" w:cs="宋体"/>
                <w:kern w:val="0"/>
                <w:sz w:val="24"/>
              </w:rPr>
              <w:t>控制</w:t>
            </w:r>
          </w:p>
          <w:p w14:paraId="08D4AE5F">
            <w:pPr>
              <w:adjustRightInd w:val="0"/>
              <w:snapToGrid w:val="0"/>
              <w:jc w:val="center"/>
              <w:rPr>
                <w:rFonts w:hint="eastAsia" w:ascii="宋体" w:hAnsi="宋体" w:cs="宋体"/>
                <w:kern w:val="0"/>
                <w:szCs w:val="21"/>
              </w:rPr>
            </w:pPr>
            <w:r>
              <w:rPr>
                <w:rFonts w:hint="eastAsia" w:ascii="宋体" w:hAnsi="宋体" w:cs="宋体"/>
                <w:kern w:val="0"/>
                <w:sz w:val="24"/>
              </w:rPr>
              <w:t>指标</w:t>
            </w:r>
          </w:p>
        </w:tc>
        <w:tc>
          <w:tcPr>
            <w:tcW w:w="8190" w:type="dxa"/>
            <w:vAlign w:val="center"/>
          </w:tcPr>
          <w:p w14:paraId="62322B28">
            <w:pPr>
              <w:pStyle w:val="76"/>
              <w:ind w:firstLine="0" w:firstLineChars="0"/>
              <w:jc w:val="center"/>
            </w:pPr>
            <w:r>
              <w:rPr>
                <w:rFonts w:hint="eastAsia"/>
              </w:rPr>
              <w:t>无</w:t>
            </w:r>
          </w:p>
        </w:tc>
      </w:tr>
    </w:tbl>
    <w:p w14:paraId="76FDB3F9">
      <w:pPr>
        <w:pStyle w:val="44"/>
        <w:jc w:val="center"/>
        <w:outlineLvl w:val="0"/>
        <w:rPr>
          <w:rFonts w:hint="eastAsia"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5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2"/>
        <w:gridCol w:w="8679"/>
      </w:tblGrid>
      <w:tr w14:paraId="104BC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8" w:type="pct"/>
            <w:tcMar>
              <w:left w:w="28" w:type="dxa"/>
              <w:right w:w="28" w:type="dxa"/>
            </w:tcMar>
            <w:vAlign w:val="center"/>
          </w:tcPr>
          <w:p w14:paraId="7DEE3F87">
            <w:pPr>
              <w:pStyle w:val="44"/>
              <w:adjustRightInd w:val="0"/>
              <w:snapToGrid w:val="0"/>
              <w:spacing w:before="0" w:beforeAutospacing="0" w:after="0" w:afterAutospacing="0"/>
              <w:jc w:val="center"/>
              <w:rPr>
                <w:rFonts w:hint="eastAsia" w:cs="宋体"/>
                <w:kern w:val="2"/>
                <w:szCs w:val="24"/>
              </w:rPr>
            </w:pPr>
            <w:r>
              <w:rPr>
                <w:rFonts w:hint="eastAsia" w:cs="宋体"/>
                <w:kern w:val="2"/>
                <w:szCs w:val="24"/>
              </w:rPr>
              <w:t>施工</w:t>
            </w:r>
          </w:p>
          <w:p w14:paraId="380829C9">
            <w:pPr>
              <w:pStyle w:val="44"/>
              <w:adjustRightInd w:val="0"/>
              <w:snapToGrid w:val="0"/>
              <w:spacing w:before="0" w:beforeAutospacing="0" w:after="0" w:afterAutospacing="0"/>
              <w:jc w:val="center"/>
              <w:rPr>
                <w:rFonts w:hint="eastAsia" w:cs="宋体"/>
                <w:kern w:val="2"/>
                <w:szCs w:val="24"/>
              </w:rPr>
            </w:pPr>
            <w:r>
              <w:rPr>
                <w:rFonts w:hint="eastAsia" w:cs="宋体"/>
                <w:kern w:val="2"/>
                <w:szCs w:val="24"/>
              </w:rPr>
              <w:t>期环</w:t>
            </w:r>
          </w:p>
          <w:p w14:paraId="2C37D4B8">
            <w:pPr>
              <w:pStyle w:val="44"/>
              <w:adjustRightInd w:val="0"/>
              <w:snapToGrid w:val="0"/>
              <w:spacing w:before="0" w:beforeAutospacing="0" w:after="0" w:afterAutospacing="0"/>
              <w:jc w:val="center"/>
              <w:rPr>
                <w:rFonts w:hint="eastAsia" w:cs="宋体"/>
                <w:kern w:val="2"/>
                <w:szCs w:val="24"/>
              </w:rPr>
            </w:pPr>
            <w:r>
              <w:rPr>
                <w:rFonts w:hint="eastAsia" w:cs="宋体"/>
                <w:kern w:val="2"/>
                <w:szCs w:val="24"/>
              </w:rPr>
              <w:t>境保</w:t>
            </w:r>
          </w:p>
          <w:p w14:paraId="74E8625E">
            <w:pPr>
              <w:pStyle w:val="44"/>
              <w:adjustRightInd w:val="0"/>
              <w:snapToGrid w:val="0"/>
              <w:spacing w:before="0" w:beforeAutospacing="0" w:after="0" w:afterAutospacing="0"/>
              <w:jc w:val="center"/>
              <w:rPr>
                <w:rFonts w:hint="eastAsia" w:cs="宋体"/>
                <w:kern w:val="2"/>
                <w:szCs w:val="24"/>
              </w:rPr>
            </w:pPr>
            <w:r>
              <w:rPr>
                <w:rFonts w:hint="eastAsia" w:cs="宋体"/>
                <w:kern w:val="2"/>
                <w:szCs w:val="24"/>
              </w:rPr>
              <w:t>护措</w:t>
            </w:r>
          </w:p>
          <w:p w14:paraId="1212B3F3">
            <w:pPr>
              <w:pStyle w:val="44"/>
              <w:adjustRightInd w:val="0"/>
              <w:snapToGrid w:val="0"/>
              <w:spacing w:before="0" w:beforeAutospacing="0" w:after="0" w:afterAutospacing="0"/>
              <w:jc w:val="center"/>
              <w:rPr>
                <w:rFonts w:hint="eastAsia" w:cs="宋体"/>
                <w:bCs/>
                <w:kern w:val="2"/>
                <w:sz w:val="21"/>
                <w:szCs w:val="21"/>
              </w:rPr>
            </w:pPr>
            <w:r>
              <w:rPr>
                <w:rFonts w:hint="eastAsia" w:cs="宋体"/>
                <w:bCs/>
                <w:kern w:val="2"/>
                <w:szCs w:val="24"/>
              </w:rPr>
              <w:t>施</w:t>
            </w:r>
          </w:p>
        </w:tc>
        <w:tc>
          <w:tcPr>
            <w:tcW w:w="4832" w:type="pct"/>
          </w:tcPr>
          <w:p w14:paraId="7909EB68">
            <w:pPr>
              <w:pStyle w:val="77"/>
              <w:ind w:firstLine="480" w:firstLineChars="200"/>
              <w:rPr>
                <w:b w:val="0"/>
                <w:bCs/>
                <w:szCs w:val="21"/>
              </w:rPr>
            </w:pPr>
            <w:r>
              <w:rPr>
                <w:rFonts w:hint="eastAsia"/>
                <w:b w:val="0"/>
                <w:bCs/>
                <w:szCs w:val="21"/>
              </w:rPr>
              <w:t>本项目依托现有建筑进行建设，施工期仅进行内部装修、管道布设、设备安装等，主要污染因子有：扬尘、少量挥发性有机废气、噪声、废水和固体废物等。施工期1</w:t>
            </w:r>
            <w:r>
              <w:rPr>
                <w:b w:val="0"/>
                <w:bCs/>
                <w:szCs w:val="21"/>
              </w:rPr>
              <w:t>2</w:t>
            </w:r>
            <w:r>
              <w:rPr>
                <w:rFonts w:hint="eastAsia"/>
                <w:b w:val="0"/>
                <w:bCs/>
                <w:szCs w:val="21"/>
              </w:rPr>
              <w:t>个月，其环境影响随着施工完工而结束。</w:t>
            </w:r>
          </w:p>
          <w:p w14:paraId="50314879">
            <w:pPr>
              <w:pStyle w:val="77"/>
              <w:ind w:firstLine="482" w:firstLineChars="200"/>
              <w:rPr>
                <w:szCs w:val="21"/>
              </w:rPr>
            </w:pPr>
            <w:r>
              <w:rPr>
                <w:rFonts w:hint="eastAsia"/>
                <w:szCs w:val="21"/>
              </w:rPr>
              <w:t>1、废气</w:t>
            </w:r>
          </w:p>
          <w:p w14:paraId="0A446C71">
            <w:pPr>
              <w:pStyle w:val="77"/>
              <w:ind w:firstLine="480" w:firstLineChars="200"/>
              <w:rPr>
                <w:b w:val="0"/>
                <w:bCs/>
                <w:szCs w:val="21"/>
              </w:rPr>
            </w:pPr>
            <w:r>
              <w:rPr>
                <w:rFonts w:hint="eastAsia"/>
                <w:b w:val="0"/>
                <w:bCs/>
                <w:szCs w:val="21"/>
              </w:rPr>
              <w:t>本项目为室内施工，废气主要有扬尘和墙面粉刷产生的少量的挥发性有机气体，为了减少施工扬尘对周围环境的影响，提出以下几项措施：</w:t>
            </w:r>
          </w:p>
          <w:p w14:paraId="1119FA29">
            <w:pPr>
              <w:pStyle w:val="77"/>
              <w:ind w:firstLine="480" w:firstLineChars="200"/>
              <w:rPr>
                <w:b w:val="0"/>
                <w:bCs/>
                <w:szCs w:val="21"/>
              </w:rPr>
            </w:pPr>
            <w:r>
              <w:rPr>
                <w:rFonts w:hint="eastAsia"/>
                <w:b w:val="0"/>
                <w:bCs/>
                <w:szCs w:val="21"/>
              </w:rPr>
              <w:t>（1）在设备安装场地的清理阶段，做到先洒水，后清扫，防止扬尘产生；</w:t>
            </w:r>
          </w:p>
          <w:p w14:paraId="7975E2ED">
            <w:pPr>
              <w:pStyle w:val="77"/>
              <w:ind w:firstLine="480" w:firstLineChars="200"/>
              <w:rPr>
                <w:b w:val="0"/>
                <w:bCs/>
                <w:szCs w:val="21"/>
              </w:rPr>
            </w:pPr>
            <w:r>
              <w:rPr>
                <w:rFonts w:hint="eastAsia"/>
                <w:b w:val="0"/>
                <w:bCs/>
                <w:szCs w:val="21"/>
              </w:rPr>
              <w:t>（3）垃圾运输车辆应尽可能采用密闭车斗，并保证垃圾不遗洒外露。若无密闭车斗，垃圾的装载高度不得超过车辆槽帮上沿，车斗应用苫布遮盖严实。</w:t>
            </w:r>
          </w:p>
          <w:p w14:paraId="01A1FC9B">
            <w:pPr>
              <w:pStyle w:val="77"/>
              <w:ind w:firstLine="480" w:firstLineChars="200"/>
              <w:rPr>
                <w:b w:val="0"/>
                <w:bCs/>
                <w:szCs w:val="21"/>
              </w:rPr>
            </w:pPr>
            <w:r>
              <w:rPr>
                <w:rFonts w:hint="eastAsia"/>
                <w:b w:val="0"/>
                <w:bCs/>
                <w:szCs w:val="21"/>
              </w:rPr>
              <w:t>（4）装修所采用的装修材料（如胶类、密封剂、涂层、涂料、地板、地砖、复合木材、纤维制品、外窗、木门等）均选用环保型材料，不含多余的VOC和甲醛排放，满足《民用建筑工程室内环境污染控制标准》（GB50325-2020）要求。</w:t>
            </w:r>
            <w:r>
              <w:rPr>
                <w:b w:val="0"/>
                <w:bCs/>
                <w:szCs w:val="21"/>
              </w:rPr>
              <w:t xml:space="preserve"> </w:t>
            </w:r>
          </w:p>
          <w:p w14:paraId="273849AB">
            <w:pPr>
              <w:pStyle w:val="77"/>
              <w:ind w:firstLine="480" w:firstLineChars="200"/>
              <w:rPr>
                <w:b w:val="0"/>
                <w:bCs/>
                <w:szCs w:val="21"/>
              </w:rPr>
            </w:pPr>
            <w:r>
              <w:rPr>
                <w:rFonts w:hint="eastAsia"/>
                <w:b w:val="0"/>
                <w:bCs/>
                <w:szCs w:val="21"/>
              </w:rPr>
              <w:t>经采取以上措施后最大限度地降低了施工过程对周围空气环境的不利影响。</w:t>
            </w:r>
          </w:p>
          <w:p w14:paraId="018628E3">
            <w:pPr>
              <w:pStyle w:val="77"/>
              <w:ind w:firstLine="482" w:firstLineChars="200"/>
              <w:rPr>
                <w:szCs w:val="21"/>
              </w:rPr>
            </w:pPr>
            <w:r>
              <w:rPr>
                <w:rFonts w:hint="eastAsia"/>
                <w:szCs w:val="21"/>
              </w:rPr>
              <w:t>2、废水</w:t>
            </w:r>
          </w:p>
          <w:p w14:paraId="58B8379C">
            <w:pPr>
              <w:pStyle w:val="77"/>
              <w:ind w:firstLine="480" w:firstLineChars="200"/>
              <w:rPr>
                <w:b w:val="0"/>
                <w:bCs/>
                <w:szCs w:val="21"/>
              </w:rPr>
            </w:pPr>
            <w:r>
              <w:rPr>
                <w:rFonts w:hint="eastAsia"/>
                <w:b w:val="0"/>
                <w:bCs/>
                <w:szCs w:val="21"/>
              </w:rPr>
              <w:t>施工现场不设宿舍、食堂，施工期间的废水主要是施工人员的生活污水，，依托现有化粪池处理后排至市政污水管网，进入康巴什污水处理厂，对周边地表水环境影响不大。</w:t>
            </w:r>
          </w:p>
          <w:p w14:paraId="6166D48E">
            <w:pPr>
              <w:pStyle w:val="76"/>
              <w:ind w:firstLine="482"/>
              <w:rPr>
                <w:b/>
                <w:bCs/>
                <w:szCs w:val="21"/>
              </w:rPr>
            </w:pPr>
            <w:r>
              <w:rPr>
                <w:rFonts w:hint="eastAsia"/>
                <w:b/>
                <w:bCs/>
                <w:szCs w:val="21"/>
              </w:rPr>
              <w:t>3、噪声</w:t>
            </w:r>
          </w:p>
          <w:p w14:paraId="065260BC">
            <w:pPr>
              <w:pStyle w:val="77"/>
              <w:ind w:firstLine="480" w:firstLineChars="200"/>
              <w:rPr>
                <w:b w:val="0"/>
                <w:bCs/>
                <w:szCs w:val="21"/>
              </w:rPr>
            </w:pPr>
            <w:r>
              <w:rPr>
                <w:rFonts w:hint="eastAsia"/>
                <w:b w:val="0"/>
                <w:bCs/>
                <w:szCs w:val="21"/>
              </w:rPr>
              <w:t>施工期噪声主要来自施工机械设备（如电钻、电锯）使用过程产生的噪声，且部分设备噪声值较高，但施工选用低噪声设备且设备运行时间一般较短，文明施工，禁止大声喧哗，因此项目施工过程噪声对外界的影响相对较小。</w:t>
            </w:r>
          </w:p>
          <w:p w14:paraId="71DE9E45">
            <w:pPr>
              <w:pStyle w:val="77"/>
              <w:ind w:firstLine="480" w:firstLineChars="200"/>
              <w:rPr>
                <w:b w:val="0"/>
                <w:bCs/>
                <w:szCs w:val="21"/>
              </w:rPr>
            </w:pPr>
            <w:r>
              <w:rPr>
                <w:rFonts w:hint="eastAsia"/>
                <w:b w:val="0"/>
                <w:bCs/>
                <w:szCs w:val="21"/>
              </w:rPr>
              <w:t>施工期采取的主要噪声防治措施如下：</w:t>
            </w:r>
          </w:p>
          <w:p w14:paraId="0E3C4E32">
            <w:pPr>
              <w:pStyle w:val="77"/>
              <w:ind w:firstLine="480" w:firstLineChars="200"/>
              <w:rPr>
                <w:b w:val="0"/>
                <w:bCs/>
                <w:szCs w:val="21"/>
              </w:rPr>
            </w:pPr>
            <w:r>
              <w:rPr>
                <w:rFonts w:hint="eastAsia"/>
                <w:b w:val="0"/>
                <w:bCs/>
                <w:szCs w:val="21"/>
              </w:rPr>
              <w:t>（1）在设备选型时尽量采用低噪声设备，设置施工围栏挡板，高噪声施工机械减振处理；</w:t>
            </w:r>
          </w:p>
          <w:p w14:paraId="569F0584">
            <w:pPr>
              <w:pStyle w:val="77"/>
              <w:ind w:firstLine="480" w:firstLineChars="200"/>
              <w:rPr>
                <w:b w:val="0"/>
                <w:bCs/>
                <w:szCs w:val="21"/>
              </w:rPr>
            </w:pPr>
            <w:r>
              <w:rPr>
                <w:rFonts w:hint="eastAsia"/>
                <w:b w:val="0"/>
                <w:bCs/>
                <w:szCs w:val="21"/>
              </w:rPr>
              <w:t>（2）加强管理，按照规定操作机械设备，在挡板、支架拆卸过程中，应遵守作业规定，减少碰撞噪声；</w:t>
            </w:r>
          </w:p>
          <w:p w14:paraId="72E202A1">
            <w:pPr>
              <w:pStyle w:val="77"/>
              <w:ind w:firstLine="480" w:firstLineChars="200"/>
              <w:rPr>
                <w:b w:val="0"/>
                <w:bCs/>
                <w:szCs w:val="21"/>
              </w:rPr>
            </w:pPr>
            <w:r>
              <w:rPr>
                <w:rFonts w:hint="eastAsia"/>
                <w:b w:val="0"/>
                <w:bCs/>
                <w:szCs w:val="21"/>
              </w:rPr>
              <w:t>（3）施工中加强对施工机械维护保养，避免由于设备性能差而增大机械噪声；</w:t>
            </w:r>
          </w:p>
          <w:p w14:paraId="0765A939">
            <w:pPr>
              <w:pStyle w:val="77"/>
              <w:ind w:firstLine="480" w:firstLineChars="200"/>
              <w:rPr>
                <w:b w:val="0"/>
                <w:bCs/>
                <w:szCs w:val="21"/>
              </w:rPr>
            </w:pPr>
            <w:r>
              <w:rPr>
                <w:rFonts w:hint="eastAsia"/>
                <w:b w:val="0"/>
                <w:bCs/>
                <w:szCs w:val="21"/>
              </w:rPr>
              <w:t>（4）精心安排、减少施工噪声影响时间，禁止夜间施工，施工开始前与附近居民做好沟通工作；</w:t>
            </w:r>
          </w:p>
          <w:p w14:paraId="5A7C5E59">
            <w:pPr>
              <w:pStyle w:val="77"/>
              <w:ind w:firstLine="480" w:firstLineChars="200"/>
              <w:rPr>
                <w:b w:val="0"/>
                <w:bCs/>
                <w:szCs w:val="21"/>
              </w:rPr>
            </w:pPr>
            <w:r>
              <w:rPr>
                <w:rFonts w:hint="eastAsia"/>
                <w:b w:val="0"/>
                <w:bCs/>
                <w:szCs w:val="21"/>
              </w:rPr>
              <w:t>（5）制定合理的运输线路，严禁车辆进出工地时鸣笛。</w:t>
            </w:r>
          </w:p>
          <w:p w14:paraId="274B9F6A">
            <w:pPr>
              <w:pStyle w:val="77"/>
              <w:ind w:firstLine="480" w:firstLineChars="200"/>
              <w:rPr>
                <w:b w:val="0"/>
                <w:bCs/>
                <w:szCs w:val="21"/>
              </w:rPr>
            </w:pPr>
            <w:r>
              <w:rPr>
                <w:rFonts w:hint="eastAsia"/>
                <w:b w:val="0"/>
                <w:bCs/>
                <w:szCs w:val="21"/>
              </w:rPr>
              <w:t>经采取以上措施后，施工期噪声对周围环境的影响较小。</w:t>
            </w:r>
          </w:p>
          <w:p w14:paraId="5D5F9A33">
            <w:pPr>
              <w:pStyle w:val="77"/>
              <w:ind w:firstLine="482" w:firstLineChars="200"/>
              <w:rPr>
                <w:szCs w:val="21"/>
              </w:rPr>
            </w:pPr>
            <w:r>
              <w:rPr>
                <w:rFonts w:hint="eastAsia"/>
                <w:szCs w:val="21"/>
              </w:rPr>
              <w:t>4、固体废物</w:t>
            </w:r>
          </w:p>
          <w:p w14:paraId="4A79F29E">
            <w:pPr>
              <w:pStyle w:val="77"/>
              <w:ind w:firstLine="480" w:firstLineChars="200"/>
              <w:rPr>
                <w:b w:val="0"/>
                <w:bCs/>
                <w:szCs w:val="21"/>
              </w:rPr>
            </w:pPr>
            <w:r>
              <w:rPr>
                <w:rFonts w:hint="eastAsia"/>
                <w:b w:val="0"/>
                <w:bCs/>
                <w:szCs w:val="21"/>
              </w:rPr>
              <w:t>施工期固体废物主要为装修垃圾、建筑垃圾及施工人员的生活垃圾。各类垃圾应分类收集，可利用的如包装纸、箱等集中后外售综合利用，其他无回收利用价值的垃圾定期由环卫部门统一清运，不会对周围环境产生太大的影响。</w:t>
            </w:r>
          </w:p>
          <w:p w14:paraId="5EF002C1">
            <w:pPr>
              <w:pStyle w:val="77"/>
              <w:ind w:firstLine="482" w:firstLineChars="200"/>
              <w:rPr>
                <w:szCs w:val="21"/>
              </w:rPr>
            </w:pPr>
            <w:r>
              <w:rPr>
                <w:rFonts w:hint="eastAsia"/>
                <w:szCs w:val="21"/>
              </w:rPr>
              <w:t>5、生态环境影响</w:t>
            </w:r>
          </w:p>
          <w:p w14:paraId="66171B27">
            <w:pPr>
              <w:pStyle w:val="77"/>
              <w:ind w:firstLine="480" w:firstLineChars="200"/>
              <w:rPr>
                <w:b w:val="0"/>
                <w:bCs/>
                <w:szCs w:val="21"/>
              </w:rPr>
            </w:pPr>
            <w:r>
              <w:rPr>
                <w:rFonts w:hint="eastAsia"/>
                <w:b w:val="0"/>
                <w:bCs/>
                <w:szCs w:val="21"/>
              </w:rPr>
              <w:t>本项目在汇能大厦负一层内进行，依托现有建筑进行装修改造，无新增占地，对生态环境无影响。</w:t>
            </w:r>
          </w:p>
          <w:p w14:paraId="22BEE45E">
            <w:pPr>
              <w:pStyle w:val="77"/>
              <w:ind w:firstLine="480" w:firstLineChars="200"/>
              <w:rPr>
                <w:b w:val="0"/>
                <w:bCs/>
                <w:szCs w:val="21"/>
              </w:rPr>
            </w:pPr>
            <w:r>
              <w:rPr>
                <w:rFonts w:hint="eastAsia"/>
                <w:b w:val="0"/>
                <w:bCs/>
                <w:szCs w:val="21"/>
              </w:rPr>
              <w:t>综上所述，施工期影响为短期影响，工程施工结束影响也随之结束，在采取上述相应环保措施的情况下，施工期产生的废气、废水、噪声和固体废物均得到妥善处置，对周围环境影响较小。</w:t>
            </w:r>
          </w:p>
        </w:tc>
      </w:tr>
      <w:tr w14:paraId="21BCE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7" w:type="pct"/>
            <w:tcMar>
              <w:left w:w="28" w:type="dxa"/>
              <w:right w:w="28" w:type="dxa"/>
            </w:tcMar>
            <w:vAlign w:val="center"/>
          </w:tcPr>
          <w:p w14:paraId="456595B0">
            <w:pPr>
              <w:adjustRightInd w:val="0"/>
              <w:snapToGrid w:val="0"/>
              <w:jc w:val="center"/>
              <w:rPr>
                <w:rFonts w:hint="eastAsia" w:ascii="宋体" w:hAnsi="宋体" w:cs="宋体"/>
                <w:bCs/>
                <w:sz w:val="24"/>
              </w:rPr>
            </w:pPr>
            <w:r>
              <w:rPr>
                <w:rFonts w:hint="eastAsia" w:ascii="宋体" w:hAnsi="宋体" w:cs="宋体"/>
                <w:bCs/>
                <w:sz w:val="24"/>
              </w:rPr>
              <w:t>运营</w:t>
            </w:r>
          </w:p>
          <w:p w14:paraId="652C4A24">
            <w:pPr>
              <w:adjustRightInd w:val="0"/>
              <w:snapToGrid w:val="0"/>
              <w:jc w:val="center"/>
              <w:rPr>
                <w:rFonts w:hint="eastAsia" w:ascii="宋体" w:hAnsi="宋体" w:cs="宋体"/>
                <w:bCs/>
                <w:sz w:val="24"/>
              </w:rPr>
            </w:pPr>
            <w:r>
              <w:rPr>
                <w:rFonts w:hint="eastAsia" w:ascii="宋体" w:hAnsi="宋体" w:cs="宋体"/>
                <w:bCs/>
                <w:sz w:val="24"/>
              </w:rPr>
              <w:t>期环</w:t>
            </w:r>
          </w:p>
          <w:p w14:paraId="6F2532AC">
            <w:pPr>
              <w:adjustRightInd w:val="0"/>
              <w:snapToGrid w:val="0"/>
              <w:jc w:val="center"/>
              <w:rPr>
                <w:rFonts w:hint="eastAsia" w:ascii="宋体" w:hAnsi="宋体" w:cs="宋体"/>
                <w:bCs/>
                <w:sz w:val="24"/>
              </w:rPr>
            </w:pPr>
            <w:r>
              <w:rPr>
                <w:rFonts w:hint="eastAsia" w:ascii="宋体" w:hAnsi="宋体" w:cs="宋体"/>
                <w:bCs/>
                <w:sz w:val="24"/>
              </w:rPr>
              <w:t>境影</w:t>
            </w:r>
          </w:p>
          <w:p w14:paraId="0115EA66">
            <w:pPr>
              <w:adjustRightInd w:val="0"/>
              <w:snapToGrid w:val="0"/>
              <w:jc w:val="center"/>
              <w:rPr>
                <w:rFonts w:hint="eastAsia" w:ascii="宋体" w:hAnsi="宋体" w:cs="宋体"/>
                <w:bCs/>
                <w:sz w:val="24"/>
              </w:rPr>
            </w:pPr>
            <w:r>
              <w:rPr>
                <w:rFonts w:hint="eastAsia" w:ascii="宋体" w:hAnsi="宋体" w:cs="宋体"/>
                <w:bCs/>
                <w:sz w:val="24"/>
              </w:rPr>
              <w:t>响和</w:t>
            </w:r>
          </w:p>
          <w:p w14:paraId="40CDEC8C">
            <w:pPr>
              <w:adjustRightInd w:val="0"/>
              <w:snapToGrid w:val="0"/>
              <w:jc w:val="center"/>
              <w:rPr>
                <w:rFonts w:hint="eastAsia" w:ascii="宋体" w:hAnsi="宋体" w:cs="宋体"/>
                <w:bCs/>
                <w:sz w:val="24"/>
              </w:rPr>
            </w:pPr>
            <w:r>
              <w:rPr>
                <w:rFonts w:hint="eastAsia" w:ascii="宋体" w:hAnsi="宋体" w:cs="宋体"/>
                <w:bCs/>
                <w:sz w:val="24"/>
              </w:rPr>
              <w:t>保护</w:t>
            </w:r>
          </w:p>
          <w:p w14:paraId="36F8981E">
            <w:pPr>
              <w:adjustRightInd w:val="0"/>
              <w:snapToGrid w:val="0"/>
              <w:jc w:val="center"/>
              <w:rPr>
                <w:rFonts w:hint="eastAsia" w:ascii="宋体" w:hAnsi="宋体" w:cs="宋体"/>
                <w:bCs/>
                <w:szCs w:val="21"/>
              </w:rPr>
            </w:pPr>
            <w:r>
              <w:rPr>
                <w:rFonts w:hint="eastAsia" w:ascii="宋体" w:hAnsi="宋体" w:cs="宋体"/>
                <w:bCs/>
                <w:sz w:val="24"/>
              </w:rPr>
              <w:t>措施</w:t>
            </w:r>
          </w:p>
        </w:tc>
        <w:tc>
          <w:tcPr>
            <w:tcW w:w="4833" w:type="pct"/>
          </w:tcPr>
          <w:p w14:paraId="6FB6146C">
            <w:pPr>
              <w:pStyle w:val="76"/>
              <w:ind w:firstLine="0" w:firstLineChars="0"/>
              <w:rPr>
                <w:b/>
                <w:bCs/>
              </w:rPr>
            </w:pPr>
            <w:r>
              <w:rPr>
                <w:rFonts w:hint="eastAsia"/>
                <w:b/>
                <w:bCs/>
              </w:rPr>
              <w:t>1、废气</w:t>
            </w:r>
          </w:p>
          <w:p w14:paraId="00755B16">
            <w:pPr>
              <w:pStyle w:val="76"/>
              <w:ind w:firstLine="480"/>
              <w:rPr>
                <w:rFonts w:eastAsiaTheme="minorEastAsia"/>
              </w:rPr>
            </w:pPr>
            <w:r>
              <w:t>本项目CO</w:t>
            </w:r>
            <w:r>
              <w:rPr>
                <w:vertAlign w:val="subscript"/>
              </w:rPr>
              <w:t>2</w:t>
            </w:r>
            <w:r>
              <w:t>驱替实验</w:t>
            </w:r>
            <w:r>
              <w:rPr>
                <w:rFonts w:eastAsiaTheme="minorEastAsia"/>
              </w:rPr>
              <w:t>进行天然气藏岩心注CO</w:t>
            </w:r>
            <w:r>
              <w:rPr>
                <w:rFonts w:eastAsiaTheme="minorEastAsia"/>
                <w:vertAlign w:val="subscript"/>
              </w:rPr>
              <w:t>2</w:t>
            </w:r>
            <w:r>
              <w:rPr>
                <w:rFonts w:eastAsiaTheme="minorEastAsia"/>
              </w:rPr>
              <w:t>驱替CH</w:t>
            </w:r>
            <w:r>
              <w:rPr>
                <w:rFonts w:eastAsiaTheme="minorEastAsia"/>
                <w:vertAlign w:val="subscript"/>
              </w:rPr>
              <w:t>4</w:t>
            </w:r>
            <w:r>
              <w:rPr>
                <w:rFonts w:eastAsiaTheme="minorEastAsia"/>
              </w:rPr>
              <w:t>，会</w:t>
            </w:r>
            <w:r>
              <w:rPr>
                <w:color w:val="000000"/>
                <w:kern w:val="0"/>
                <w:szCs w:val="21"/>
                <w:lang w:bidi="ar"/>
              </w:rPr>
              <w:t>残留少量</w:t>
            </w:r>
            <w:r>
              <w:t>二氧化碳、甲烷</w:t>
            </w:r>
            <w:r>
              <w:rPr>
                <w:rFonts w:hint="eastAsia"/>
              </w:rPr>
              <w:t>；</w:t>
            </w:r>
            <w:r>
              <w:rPr>
                <w:kern w:val="0"/>
                <w:szCs w:val="21"/>
                <w:lang w:bidi="ar"/>
              </w:rPr>
              <w:t>气体组分</w:t>
            </w:r>
            <w:r>
              <w:rPr>
                <w:rFonts w:hint="eastAsia"/>
                <w:kern w:val="0"/>
                <w:szCs w:val="21"/>
                <w:lang w:bidi="ar"/>
              </w:rPr>
              <w:t>测定</w:t>
            </w:r>
            <w:r>
              <w:rPr>
                <w:kern w:val="0"/>
                <w:szCs w:val="21"/>
                <w:lang w:bidi="ar"/>
              </w:rPr>
              <w:t>实验</w:t>
            </w:r>
            <w:r>
              <w:rPr>
                <w:rFonts w:hint="eastAsia"/>
              </w:rPr>
              <w:t>所用的</w:t>
            </w:r>
            <w:r>
              <w:t>气体样品</w:t>
            </w:r>
            <w:r>
              <w:rPr>
                <w:rFonts w:hint="eastAsia"/>
              </w:rPr>
              <w:t>在</w:t>
            </w:r>
            <w:r>
              <w:t>钢瓶贮存过程中会有极少量二氧化碳和甲烷</w:t>
            </w:r>
            <w:r>
              <w:rPr>
                <w:rFonts w:hint="eastAsia"/>
              </w:rPr>
              <w:t>逸散，无法实现燃烧处理，因此由</w:t>
            </w:r>
            <w:r>
              <w:t>CO</w:t>
            </w:r>
            <w:r>
              <w:rPr>
                <w:vertAlign w:val="subscript"/>
              </w:rPr>
              <w:t>2</w:t>
            </w:r>
            <w:r>
              <w:rPr>
                <w:rFonts w:ascii="宋体" w:hAnsi="宋体" w:cs="宋体"/>
                <w:color w:val="000000"/>
                <w:kern w:val="0"/>
                <w:szCs w:val="21"/>
                <w:lang w:bidi="ar"/>
              </w:rPr>
              <w:t>地</w:t>
            </w:r>
            <w:r>
              <w:rPr>
                <w:rFonts w:hint="eastAsia" w:ascii="宋体" w:hAnsi="宋体" w:cs="宋体"/>
                <w:color w:val="000000"/>
                <w:kern w:val="0"/>
                <w:lang w:bidi="ar"/>
              </w:rPr>
              <w:t>质</w:t>
            </w:r>
            <w:r>
              <w:rPr>
                <w:rFonts w:ascii="宋体" w:hAnsi="宋体" w:cs="宋体"/>
                <w:color w:val="000000"/>
                <w:kern w:val="0"/>
                <w:szCs w:val="21"/>
                <w:lang w:bidi="ar"/>
              </w:rPr>
              <w:t>利用与封存实验室</w:t>
            </w:r>
            <w:r>
              <w:rPr>
                <w:rFonts w:hint="eastAsia" w:ascii="宋体" w:hAnsi="宋体" w:cs="宋体"/>
                <w:color w:val="000000"/>
                <w:kern w:val="0"/>
                <w:lang w:bidi="ar"/>
              </w:rPr>
              <w:t>和</w:t>
            </w:r>
            <w:r>
              <w:rPr>
                <w:rFonts w:hint="eastAsia" w:ascii="宋体" w:hAnsi="宋体" w:cs="宋体"/>
                <w:kern w:val="0"/>
                <w:szCs w:val="21"/>
                <w:lang w:bidi="ar"/>
              </w:rPr>
              <w:t>氢气</w:t>
            </w:r>
            <w:r>
              <w:rPr>
                <w:rFonts w:hint="eastAsia" w:ascii="宋体" w:hAnsi="宋体" w:cs="宋体"/>
                <w:kern w:val="0"/>
                <w:lang w:bidi="ar"/>
              </w:rPr>
              <w:t>和</w:t>
            </w:r>
            <w:r>
              <w:rPr>
                <w:rFonts w:hint="eastAsia" w:ascii="宋体" w:hAnsi="宋体" w:cs="宋体"/>
                <w:kern w:val="0"/>
                <w:szCs w:val="21"/>
                <w:lang w:bidi="ar"/>
              </w:rPr>
              <w:t>氦气测试分析</w:t>
            </w:r>
            <w:r>
              <w:rPr>
                <w:rFonts w:hint="eastAsia"/>
              </w:rPr>
              <w:t>实验室的排风装置收集排出室外，对大厦办公人员不产生影响。</w:t>
            </w:r>
          </w:p>
          <w:p w14:paraId="28512098">
            <w:pPr>
              <w:pStyle w:val="76"/>
              <w:ind w:firstLine="0" w:firstLineChars="0"/>
              <w:rPr>
                <w:b/>
                <w:bCs/>
                <w:szCs w:val="21"/>
              </w:rPr>
            </w:pPr>
            <w:r>
              <w:rPr>
                <w:rFonts w:hint="eastAsia"/>
                <w:b/>
                <w:bCs/>
                <w:szCs w:val="21"/>
              </w:rPr>
              <w:t>2、废水</w:t>
            </w:r>
          </w:p>
          <w:p w14:paraId="403CDC15">
            <w:pPr>
              <w:pStyle w:val="76"/>
              <w:ind w:firstLine="480"/>
              <w:rPr>
                <w:szCs w:val="21"/>
              </w:rPr>
            </w:pPr>
            <w:r>
              <w:rPr>
                <w:rFonts w:hint="eastAsia"/>
                <w:szCs w:val="21"/>
              </w:rPr>
              <w:t>（1）废水污染源强产生及处理情况</w:t>
            </w:r>
          </w:p>
          <w:p w14:paraId="1BB785FA">
            <w:pPr>
              <w:pStyle w:val="76"/>
              <w:ind w:firstLine="480"/>
              <w:rPr>
                <w:szCs w:val="21"/>
              </w:rPr>
            </w:pPr>
            <w:r>
              <w:rPr>
                <w:rFonts w:hint="eastAsia"/>
                <w:szCs w:val="21"/>
              </w:rPr>
              <w:t>①浓水</w:t>
            </w:r>
          </w:p>
          <w:p w14:paraId="6D7D3395">
            <w:pPr>
              <w:pStyle w:val="76"/>
              <w:ind w:firstLine="480"/>
              <w:rPr>
                <w:szCs w:val="21"/>
              </w:rPr>
            </w:pPr>
            <w:r>
              <w:rPr>
                <w:rFonts w:hint="eastAsia"/>
                <w:szCs w:val="21"/>
              </w:rPr>
              <w:t>去离子水制备使用的自来水年用量为176.8m</w:t>
            </w:r>
            <w:r>
              <w:rPr>
                <w:rFonts w:hint="eastAsia"/>
                <w:szCs w:val="21"/>
                <w:vertAlign w:val="superscript"/>
              </w:rPr>
              <w:t>3</w:t>
            </w:r>
            <w:r>
              <w:rPr>
                <w:rFonts w:hint="eastAsia"/>
                <w:szCs w:val="21"/>
              </w:rPr>
              <w:t>/a，类比同类型设备，纯水制备率以75%计，则浓水产生量为44.2m</w:t>
            </w:r>
            <w:r>
              <w:rPr>
                <w:rFonts w:hint="eastAsia"/>
                <w:szCs w:val="21"/>
                <w:vertAlign w:val="superscript"/>
              </w:rPr>
              <w:t>3</w:t>
            </w:r>
            <w:r>
              <w:rPr>
                <w:rFonts w:hint="eastAsia"/>
                <w:szCs w:val="21"/>
              </w:rPr>
              <w:t>/a，浓水属于清净下水，主要污染物为CODcr（15mg/L）、BOD5（5mg/L）、SS（15mg/L），符合《污水综合排放标准》（GB8978-1996）中三级标准，</w:t>
            </w:r>
            <w:r>
              <w:rPr>
                <w:rFonts w:hint="eastAsia"/>
              </w:rPr>
              <w:t>直接</w:t>
            </w:r>
            <w:r>
              <w:rPr>
                <w:rFonts w:hint="eastAsia"/>
                <w:szCs w:val="21"/>
              </w:rPr>
              <w:t>排入市政污水管道。</w:t>
            </w:r>
          </w:p>
          <w:p w14:paraId="05082ED1">
            <w:pPr>
              <w:pStyle w:val="76"/>
              <w:ind w:firstLine="480"/>
              <w:rPr>
                <w:szCs w:val="21"/>
              </w:rPr>
            </w:pPr>
            <w:r>
              <w:rPr>
                <w:rFonts w:hint="eastAsia"/>
                <w:szCs w:val="21"/>
              </w:rPr>
              <w:t>②实验器皿清洗废水：实验器皿清洗使用去离子水，年产生废水量132m</w:t>
            </w:r>
            <w:r>
              <w:rPr>
                <w:rFonts w:hint="eastAsia"/>
                <w:szCs w:val="21"/>
                <w:vertAlign w:val="superscript"/>
              </w:rPr>
              <w:t>3</w:t>
            </w:r>
            <w:r>
              <w:rPr>
                <w:rFonts w:hint="eastAsia"/>
                <w:szCs w:val="21"/>
              </w:rPr>
              <w:t>/a，实验器皿清洗废水成分简单，主要以无机废水为主，器皿清洗废水的特征表现为pH范围较大，器皿清洗废水不直接纳入市政污水收集管网，实验室设有酸碱中和池，将清洗废水收集起来，先经中和池处理达到pH6~9后排入市政污水管网，执行《污水综合排放标准》（GB8978-1996）中三级标准。实验室有3处酸碱中和池，容积约为5.6m</w:t>
            </w:r>
            <w:r>
              <w:rPr>
                <w:rFonts w:hint="eastAsia"/>
                <w:szCs w:val="21"/>
                <w:vertAlign w:val="superscript"/>
              </w:rPr>
              <w:t>3</w:t>
            </w:r>
            <w:r>
              <w:rPr>
                <w:rFonts w:hint="eastAsia"/>
                <w:szCs w:val="21"/>
              </w:rPr>
              <w:t>。根据</w:t>
            </w:r>
            <w:r>
              <w:rPr>
                <w:szCs w:val="21"/>
              </w:rPr>
              <w:t>《环境影响评价技术导则地下水环境》（HJ 610-2016）相关要求</w:t>
            </w:r>
            <w:r>
              <w:rPr>
                <w:rFonts w:hint="eastAsia"/>
                <w:szCs w:val="21"/>
              </w:rPr>
              <w:t>，酸碱中和池底板及壁板为一般防渗区，防渗材料应具有耐腐蚀性能或采取防腐蚀措施，等效黏土防渗层Mb≥1.5m，K≤1.0×10</w:t>
            </w:r>
            <w:r>
              <w:rPr>
                <w:rFonts w:hint="eastAsia"/>
                <w:szCs w:val="21"/>
                <w:vertAlign w:val="superscript"/>
              </w:rPr>
              <w:t>-7</w:t>
            </w:r>
            <w:r>
              <w:rPr>
                <w:rFonts w:hint="eastAsia"/>
                <w:szCs w:val="21"/>
              </w:rPr>
              <w:t>cm/s。</w:t>
            </w:r>
          </w:p>
          <w:p w14:paraId="15E4BAA9">
            <w:pPr>
              <w:pStyle w:val="76"/>
              <w:ind w:firstLine="480"/>
              <w:rPr>
                <w:szCs w:val="21"/>
              </w:rPr>
            </w:pPr>
            <w:r>
              <w:rPr>
                <w:rFonts w:hint="eastAsia"/>
                <w:bCs/>
              </w:rPr>
              <w:t>③生活污水：根据给排水分析可知，生活污水产生量为211.2m</w:t>
            </w:r>
            <w:r>
              <w:rPr>
                <w:rFonts w:hint="eastAsia"/>
                <w:bCs/>
                <w:vertAlign w:val="superscript"/>
              </w:rPr>
              <w:t>3</w:t>
            </w:r>
            <w:r>
              <w:rPr>
                <w:rFonts w:hint="eastAsia"/>
                <w:bCs/>
              </w:rPr>
              <w:t>/a。</w:t>
            </w:r>
            <w:r>
              <w:rPr>
                <w:rFonts w:hint="eastAsia"/>
                <w:szCs w:val="21"/>
              </w:rPr>
              <w:t>生活污水主要污染物浓度为CODcr：300mg/L、BOD</w:t>
            </w:r>
            <w:r>
              <w:rPr>
                <w:rFonts w:hint="eastAsia"/>
                <w:szCs w:val="21"/>
                <w:vertAlign w:val="subscript"/>
              </w:rPr>
              <w:t>5</w:t>
            </w:r>
            <w:r>
              <w:rPr>
                <w:rFonts w:hint="eastAsia"/>
                <w:szCs w:val="21"/>
              </w:rPr>
              <w:t>：220mg/L、SS：200mg/L、氨氮：25mg/L。经现有公共化粪池处理后排入市政污水管道，执行《污水综合排放标准》（GB8978-1996）中三级标准。</w:t>
            </w:r>
          </w:p>
          <w:p w14:paraId="52A6B0BE">
            <w:pPr>
              <w:adjustRightInd w:val="0"/>
              <w:snapToGrid w:val="0"/>
              <w:jc w:val="center"/>
              <w:rPr>
                <w:b/>
                <w:color w:val="000000"/>
                <w:szCs w:val="21"/>
              </w:rPr>
            </w:pPr>
            <w:r>
              <w:rPr>
                <w:b/>
                <w:color w:val="000000"/>
                <w:szCs w:val="21"/>
              </w:rPr>
              <w:t>表</w:t>
            </w:r>
            <w:r>
              <w:rPr>
                <w:rFonts w:hint="eastAsia"/>
                <w:b/>
                <w:color w:val="000000"/>
                <w:szCs w:val="21"/>
              </w:rPr>
              <w:t>4-</w:t>
            </w:r>
            <w:r>
              <w:rPr>
                <w:b/>
                <w:color w:val="000000"/>
                <w:szCs w:val="21"/>
              </w:rPr>
              <w:t xml:space="preserve">1  </w:t>
            </w:r>
            <w:r>
              <w:rPr>
                <w:rFonts w:hint="eastAsia"/>
                <w:b/>
                <w:color w:val="000000"/>
                <w:szCs w:val="21"/>
              </w:rPr>
              <w:t>废水污染物排放情况表</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972"/>
              <w:gridCol w:w="1168"/>
              <w:gridCol w:w="1048"/>
              <w:gridCol w:w="972"/>
              <w:gridCol w:w="974"/>
              <w:gridCol w:w="1246"/>
              <w:gridCol w:w="1101"/>
            </w:tblGrid>
            <w:tr w14:paraId="5B98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pct"/>
                  <w:gridSpan w:val="2"/>
                  <w:vAlign w:val="center"/>
                </w:tcPr>
                <w:p w14:paraId="0D45D5BD">
                  <w:pPr>
                    <w:adjustRightInd w:val="0"/>
                    <w:snapToGrid w:val="0"/>
                    <w:jc w:val="center"/>
                    <w:rPr>
                      <w:b/>
                      <w:color w:val="000000"/>
                      <w:szCs w:val="21"/>
                    </w:rPr>
                  </w:pPr>
                  <w:r>
                    <w:rPr>
                      <w:rFonts w:hint="eastAsia"/>
                      <w:b/>
                      <w:color w:val="000000"/>
                      <w:szCs w:val="21"/>
                    </w:rPr>
                    <w:t>污染物名称</w:t>
                  </w:r>
                </w:p>
              </w:tc>
              <w:tc>
                <w:tcPr>
                  <w:tcW w:w="691" w:type="pct"/>
                  <w:vAlign w:val="center"/>
                </w:tcPr>
                <w:p w14:paraId="5CFABC27">
                  <w:pPr>
                    <w:adjustRightInd w:val="0"/>
                    <w:snapToGrid w:val="0"/>
                    <w:jc w:val="center"/>
                    <w:rPr>
                      <w:b/>
                      <w:color w:val="000000"/>
                      <w:szCs w:val="21"/>
                    </w:rPr>
                  </w:pPr>
                  <w:r>
                    <w:rPr>
                      <w:rFonts w:hint="eastAsia"/>
                      <w:b/>
                      <w:color w:val="000000"/>
                      <w:szCs w:val="21"/>
                    </w:rPr>
                    <w:t>水量（</w:t>
                  </w:r>
                  <w:r>
                    <w:rPr>
                      <w:rFonts w:hint="eastAsia"/>
                      <w:b/>
                      <w:szCs w:val="21"/>
                    </w:rPr>
                    <w:t>m</w:t>
                  </w:r>
                  <w:r>
                    <w:rPr>
                      <w:rFonts w:hint="eastAsia"/>
                      <w:b/>
                      <w:szCs w:val="21"/>
                      <w:vertAlign w:val="superscript"/>
                    </w:rPr>
                    <w:t>3</w:t>
                  </w:r>
                  <w:r>
                    <w:rPr>
                      <w:rFonts w:hint="eastAsia"/>
                      <w:b/>
                      <w:szCs w:val="21"/>
                    </w:rPr>
                    <w:t>/a）</w:t>
                  </w:r>
                </w:p>
              </w:tc>
              <w:tc>
                <w:tcPr>
                  <w:tcW w:w="620" w:type="pct"/>
                  <w:vAlign w:val="center"/>
                </w:tcPr>
                <w:p w14:paraId="1A111E14">
                  <w:pPr>
                    <w:adjustRightInd w:val="0"/>
                    <w:snapToGrid w:val="0"/>
                    <w:jc w:val="center"/>
                    <w:rPr>
                      <w:b/>
                      <w:color w:val="000000"/>
                      <w:szCs w:val="21"/>
                    </w:rPr>
                  </w:pPr>
                  <w:r>
                    <w:rPr>
                      <w:rFonts w:hint="eastAsia"/>
                      <w:b/>
                      <w:color w:val="000000"/>
                    </w:rPr>
                    <w:t>产生浓度</w:t>
                  </w:r>
                  <w:r>
                    <w:rPr>
                      <w:b/>
                      <w:color w:val="000000"/>
                    </w:rPr>
                    <w:t>mg/L</w:t>
                  </w:r>
                </w:p>
              </w:tc>
              <w:tc>
                <w:tcPr>
                  <w:tcW w:w="575" w:type="pct"/>
                  <w:vAlign w:val="center"/>
                </w:tcPr>
                <w:p w14:paraId="1DBBAD0D">
                  <w:pPr>
                    <w:adjustRightInd w:val="0"/>
                    <w:snapToGrid w:val="0"/>
                    <w:jc w:val="center"/>
                    <w:rPr>
                      <w:b/>
                      <w:color w:val="000000"/>
                      <w:szCs w:val="21"/>
                    </w:rPr>
                  </w:pPr>
                  <w:r>
                    <w:rPr>
                      <w:rFonts w:hint="eastAsia"/>
                      <w:b/>
                      <w:color w:val="000000"/>
                    </w:rPr>
                    <w:t>产生量</w:t>
                  </w:r>
                  <w:r>
                    <w:rPr>
                      <w:b/>
                      <w:color w:val="000000"/>
                    </w:rPr>
                    <w:t>t/a</w:t>
                  </w:r>
                </w:p>
              </w:tc>
              <w:tc>
                <w:tcPr>
                  <w:tcW w:w="576" w:type="pct"/>
                  <w:vAlign w:val="center"/>
                </w:tcPr>
                <w:p w14:paraId="43EA7FA6">
                  <w:pPr>
                    <w:adjustRightInd w:val="0"/>
                    <w:snapToGrid w:val="0"/>
                    <w:jc w:val="center"/>
                    <w:rPr>
                      <w:b/>
                      <w:color w:val="000000"/>
                      <w:szCs w:val="21"/>
                    </w:rPr>
                  </w:pPr>
                  <w:r>
                    <w:rPr>
                      <w:rFonts w:hint="eastAsia"/>
                      <w:b/>
                      <w:color w:val="000000"/>
                      <w:szCs w:val="21"/>
                    </w:rPr>
                    <w:t>预处理措施</w:t>
                  </w:r>
                </w:p>
              </w:tc>
              <w:tc>
                <w:tcPr>
                  <w:tcW w:w="737" w:type="pct"/>
                  <w:vAlign w:val="center"/>
                </w:tcPr>
                <w:p w14:paraId="162FD86D">
                  <w:pPr>
                    <w:adjustRightInd w:val="0"/>
                    <w:snapToGrid w:val="0"/>
                    <w:jc w:val="center"/>
                    <w:rPr>
                      <w:b/>
                      <w:color w:val="000000"/>
                      <w:szCs w:val="21"/>
                    </w:rPr>
                  </w:pPr>
                  <w:r>
                    <w:rPr>
                      <w:rFonts w:hint="eastAsia"/>
                      <w:b/>
                    </w:rPr>
                    <w:t>排放浓度（</w:t>
                  </w:r>
                  <w:r>
                    <w:rPr>
                      <w:b/>
                    </w:rPr>
                    <w:t>mg/L</w:t>
                  </w:r>
                  <w:r>
                    <w:rPr>
                      <w:rFonts w:hint="eastAsia"/>
                      <w:b/>
                    </w:rPr>
                    <w:t>）</w:t>
                  </w:r>
                </w:p>
              </w:tc>
              <w:tc>
                <w:tcPr>
                  <w:tcW w:w="651" w:type="pct"/>
                  <w:vAlign w:val="center"/>
                </w:tcPr>
                <w:p w14:paraId="448E8E43">
                  <w:pPr>
                    <w:adjustRightInd w:val="0"/>
                    <w:snapToGrid w:val="0"/>
                    <w:jc w:val="center"/>
                    <w:rPr>
                      <w:b/>
                      <w:color w:val="000000"/>
                      <w:szCs w:val="21"/>
                    </w:rPr>
                  </w:pPr>
                  <w:r>
                    <w:rPr>
                      <w:rFonts w:hint="eastAsia"/>
                      <w:b/>
                    </w:rPr>
                    <w:t>排放量（</w:t>
                  </w:r>
                  <w:r>
                    <w:rPr>
                      <w:b/>
                    </w:rPr>
                    <w:t>t/a</w:t>
                  </w:r>
                  <w:r>
                    <w:rPr>
                      <w:rFonts w:hint="eastAsia"/>
                      <w:b/>
                    </w:rPr>
                    <w:t>）</w:t>
                  </w:r>
                </w:p>
              </w:tc>
            </w:tr>
            <w:tr w14:paraId="5485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restart"/>
                  <w:vAlign w:val="center"/>
                </w:tcPr>
                <w:p w14:paraId="0CECBCA9">
                  <w:pPr>
                    <w:adjustRightInd w:val="0"/>
                    <w:snapToGrid w:val="0"/>
                    <w:jc w:val="center"/>
                    <w:rPr>
                      <w:color w:val="000000"/>
                      <w:szCs w:val="21"/>
                    </w:rPr>
                  </w:pPr>
                  <w:r>
                    <w:rPr>
                      <w:rFonts w:hint="eastAsia"/>
                      <w:color w:val="000000"/>
                    </w:rPr>
                    <w:t>浓水</w:t>
                  </w:r>
                </w:p>
              </w:tc>
              <w:tc>
                <w:tcPr>
                  <w:tcW w:w="575" w:type="pct"/>
                  <w:vAlign w:val="center"/>
                </w:tcPr>
                <w:p w14:paraId="76820968">
                  <w:pPr>
                    <w:adjustRightInd w:val="0"/>
                    <w:snapToGrid w:val="0"/>
                    <w:jc w:val="center"/>
                    <w:rPr>
                      <w:color w:val="000000"/>
                      <w:szCs w:val="21"/>
                    </w:rPr>
                  </w:pPr>
                  <w:r>
                    <w:rPr>
                      <w:color w:val="000000"/>
                    </w:rPr>
                    <w:t>CODcr</w:t>
                  </w:r>
                </w:p>
              </w:tc>
              <w:tc>
                <w:tcPr>
                  <w:tcW w:w="691" w:type="pct"/>
                  <w:vMerge w:val="restart"/>
                  <w:vAlign w:val="center"/>
                </w:tcPr>
                <w:p w14:paraId="710E6526">
                  <w:pPr>
                    <w:adjustRightInd w:val="0"/>
                    <w:snapToGrid w:val="0"/>
                    <w:jc w:val="center"/>
                    <w:rPr>
                      <w:rFonts w:hint="eastAsia"/>
                      <w:color w:val="000000"/>
                      <w:szCs w:val="21"/>
                    </w:rPr>
                  </w:pPr>
                  <w:r>
                    <w:rPr>
                      <w:rFonts w:hint="eastAsia"/>
                      <w:color w:val="000000"/>
                      <w:szCs w:val="21"/>
                    </w:rPr>
                    <w:t>44.2</w:t>
                  </w:r>
                </w:p>
              </w:tc>
              <w:tc>
                <w:tcPr>
                  <w:tcW w:w="620" w:type="pct"/>
                  <w:vAlign w:val="center"/>
                </w:tcPr>
                <w:p w14:paraId="504B6721">
                  <w:pPr>
                    <w:adjustRightInd w:val="0"/>
                    <w:snapToGrid w:val="0"/>
                    <w:jc w:val="center"/>
                    <w:rPr>
                      <w:color w:val="000000"/>
                      <w:szCs w:val="21"/>
                    </w:rPr>
                  </w:pPr>
                  <w:r>
                    <w:rPr>
                      <w:rFonts w:hint="eastAsia"/>
                      <w:color w:val="000000"/>
                      <w:szCs w:val="21"/>
                    </w:rPr>
                    <w:t>15</w:t>
                  </w:r>
                </w:p>
              </w:tc>
              <w:tc>
                <w:tcPr>
                  <w:tcW w:w="575" w:type="pct"/>
                  <w:vAlign w:val="center"/>
                </w:tcPr>
                <w:p w14:paraId="77C02E6F">
                  <w:pPr>
                    <w:adjustRightInd w:val="0"/>
                    <w:snapToGrid w:val="0"/>
                    <w:jc w:val="center"/>
                    <w:rPr>
                      <w:color w:val="000000"/>
                      <w:szCs w:val="21"/>
                    </w:rPr>
                  </w:pPr>
                  <w:r>
                    <w:rPr>
                      <w:rFonts w:hint="eastAsia"/>
                      <w:color w:val="000000"/>
                      <w:szCs w:val="21"/>
                    </w:rPr>
                    <w:t>0.001</w:t>
                  </w:r>
                </w:p>
              </w:tc>
              <w:tc>
                <w:tcPr>
                  <w:tcW w:w="576" w:type="pct"/>
                  <w:vMerge w:val="restart"/>
                  <w:vAlign w:val="center"/>
                </w:tcPr>
                <w:p w14:paraId="22C2432D">
                  <w:pPr>
                    <w:adjustRightInd w:val="0"/>
                    <w:snapToGrid w:val="0"/>
                    <w:jc w:val="center"/>
                    <w:rPr>
                      <w:color w:val="000000"/>
                      <w:szCs w:val="21"/>
                    </w:rPr>
                  </w:pPr>
                  <w:r>
                    <w:rPr>
                      <w:rFonts w:hint="eastAsia"/>
                      <w:color w:val="000000"/>
                      <w:szCs w:val="21"/>
                    </w:rPr>
                    <w:t>/</w:t>
                  </w:r>
                </w:p>
              </w:tc>
              <w:tc>
                <w:tcPr>
                  <w:tcW w:w="737" w:type="pct"/>
                  <w:vAlign w:val="center"/>
                </w:tcPr>
                <w:p w14:paraId="1197C9BA">
                  <w:pPr>
                    <w:adjustRightInd w:val="0"/>
                    <w:snapToGrid w:val="0"/>
                    <w:jc w:val="center"/>
                    <w:rPr>
                      <w:color w:val="000000"/>
                      <w:szCs w:val="21"/>
                    </w:rPr>
                  </w:pPr>
                  <w:r>
                    <w:rPr>
                      <w:rFonts w:hint="eastAsia"/>
                      <w:color w:val="000000"/>
                      <w:szCs w:val="21"/>
                    </w:rPr>
                    <w:t>15</w:t>
                  </w:r>
                </w:p>
              </w:tc>
              <w:tc>
                <w:tcPr>
                  <w:tcW w:w="651" w:type="pct"/>
                  <w:vAlign w:val="center"/>
                </w:tcPr>
                <w:p w14:paraId="072296C7">
                  <w:pPr>
                    <w:adjustRightInd w:val="0"/>
                    <w:snapToGrid w:val="0"/>
                    <w:jc w:val="center"/>
                    <w:rPr>
                      <w:color w:val="000000"/>
                      <w:szCs w:val="21"/>
                    </w:rPr>
                  </w:pPr>
                  <w:r>
                    <w:rPr>
                      <w:rFonts w:hint="eastAsia"/>
                      <w:color w:val="000000"/>
                      <w:szCs w:val="21"/>
                    </w:rPr>
                    <w:t>0.001</w:t>
                  </w:r>
                </w:p>
              </w:tc>
            </w:tr>
            <w:tr w14:paraId="44E4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2A764064">
                  <w:pPr>
                    <w:adjustRightInd w:val="0"/>
                    <w:snapToGrid w:val="0"/>
                    <w:jc w:val="center"/>
                    <w:rPr>
                      <w:color w:val="000000"/>
                      <w:szCs w:val="21"/>
                    </w:rPr>
                  </w:pPr>
                </w:p>
              </w:tc>
              <w:tc>
                <w:tcPr>
                  <w:tcW w:w="575" w:type="pct"/>
                  <w:vAlign w:val="center"/>
                </w:tcPr>
                <w:p w14:paraId="76C42377">
                  <w:pPr>
                    <w:adjustRightInd w:val="0"/>
                    <w:snapToGrid w:val="0"/>
                    <w:jc w:val="center"/>
                    <w:rPr>
                      <w:color w:val="000000"/>
                      <w:szCs w:val="21"/>
                    </w:rPr>
                  </w:pPr>
                  <w:r>
                    <w:rPr>
                      <w:color w:val="000000"/>
                    </w:rPr>
                    <w:t>BOD</w:t>
                  </w:r>
                  <w:r>
                    <w:rPr>
                      <w:color w:val="000000"/>
                      <w:vertAlign w:val="subscript"/>
                    </w:rPr>
                    <w:t>5</w:t>
                  </w:r>
                </w:p>
              </w:tc>
              <w:tc>
                <w:tcPr>
                  <w:tcW w:w="691" w:type="pct"/>
                  <w:vMerge w:val="continue"/>
                  <w:vAlign w:val="center"/>
                </w:tcPr>
                <w:p w14:paraId="1590F73A">
                  <w:pPr>
                    <w:adjustRightInd w:val="0"/>
                    <w:snapToGrid w:val="0"/>
                    <w:jc w:val="center"/>
                    <w:rPr>
                      <w:color w:val="000000"/>
                      <w:szCs w:val="21"/>
                    </w:rPr>
                  </w:pPr>
                </w:p>
              </w:tc>
              <w:tc>
                <w:tcPr>
                  <w:tcW w:w="620" w:type="pct"/>
                  <w:vAlign w:val="center"/>
                </w:tcPr>
                <w:p w14:paraId="756916B4">
                  <w:pPr>
                    <w:adjustRightInd w:val="0"/>
                    <w:snapToGrid w:val="0"/>
                    <w:jc w:val="center"/>
                    <w:rPr>
                      <w:color w:val="000000"/>
                      <w:szCs w:val="21"/>
                    </w:rPr>
                  </w:pPr>
                  <w:r>
                    <w:rPr>
                      <w:rFonts w:hint="eastAsia"/>
                      <w:color w:val="000000"/>
                      <w:szCs w:val="21"/>
                    </w:rPr>
                    <w:t>5</w:t>
                  </w:r>
                </w:p>
              </w:tc>
              <w:tc>
                <w:tcPr>
                  <w:tcW w:w="575" w:type="pct"/>
                  <w:vAlign w:val="center"/>
                </w:tcPr>
                <w:p w14:paraId="5B98DECA">
                  <w:pPr>
                    <w:adjustRightInd w:val="0"/>
                    <w:snapToGrid w:val="0"/>
                    <w:jc w:val="center"/>
                    <w:rPr>
                      <w:color w:val="000000"/>
                      <w:szCs w:val="21"/>
                    </w:rPr>
                  </w:pPr>
                  <w:r>
                    <w:rPr>
                      <w:rFonts w:hint="eastAsia"/>
                      <w:color w:val="000000"/>
                      <w:szCs w:val="21"/>
                    </w:rPr>
                    <w:t>0.0002</w:t>
                  </w:r>
                </w:p>
              </w:tc>
              <w:tc>
                <w:tcPr>
                  <w:tcW w:w="576" w:type="pct"/>
                  <w:vMerge w:val="continue"/>
                  <w:vAlign w:val="center"/>
                </w:tcPr>
                <w:p w14:paraId="12A7DEB3">
                  <w:pPr>
                    <w:adjustRightInd w:val="0"/>
                    <w:snapToGrid w:val="0"/>
                    <w:jc w:val="center"/>
                    <w:rPr>
                      <w:color w:val="000000"/>
                      <w:szCs w:val="21"/>
                    </w:rPr>
                  </w:pPr>
                </w:p>
              </w:tc>
              <w:tc>
                <w:tcPr>
                  <w:tcW w:w="737" w:type="pct"/>
                  <w:vAlign w:val="center"/>
                </w:tcPr>
                <w:p w14:paraId="4D174168">
                  <w:pPr>
                    <w:adjustRightInd w:val="0"/>
                    <w:snapToGrid w:val="0"/>
                    <w:jc w:val="center"/>
                    <w:rPr>
                      <w:color w:val="000000"/>
                      <w:szCs w:val="21"/>
                    </w:rPr>
                  </w:pPr>
                  <w:r>
                    <w:rPr>
                      <w:rFonts w:hint="eastAsia"/>
                      <w:color w:val="000000"/>
                      <w:szCs w:val="21"/>
                    </w:rPr>
                    <w:t>5</w:t>
                  </w:r>
                </w:p>
              </w:tc>
              <w:tc>
                <w:tcPr>
                  <w:tcW w:w="651" w:type="pct"/>
                  <w:vAlign w:val="center"/>
                </w:tcPr>
                <w:p w14:paraId="10351E75">
                  <w:pPr>
                    <w:adjustRightInd w:val="0"/>
                    <w:snapToGrid w:val="0"/>
                    <w:jc w:val="center"/>
                    <w:rPr>
                      <w:color w:val="000000"/>
                      <w:szCs w:val="21"/>
                    </w:rPr>
                  </w:pPr>
                  <w:r>
                    <w:rPr>
                      <w:rFonts w:hint="eastAsia"/>
                      <w:color w:val="000000"/>
                      <w:szCs w:val="21"/>
                    </w:rPr>
                    <w:t>0.0002</w:t>
                  </w:r>
                </w:p>
              </w:tc>
            </w:tr>
            <w:tr w14:paraId="6CD6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051242F8">
                  <w:pPr>
                    <w:adjustRightInd w:val="0"/>
                    <w:snapToGrid w:val="0"/>
                    <w:jc w:val="center"/>
                    <w:rPr>
                      <w:color w:val="000000"/>
                      <w:szCs w:val="21"/>
                    </w:rPr>
                  </w:pPr>
                </w:p>
              </w:tc>
              <w:tc>
                <w:tcPr>
                  <w:tcW w:w="575" w:type="pct"/>
                  <w:vAlign w:val="center"/>
                </w:tcPr>
                <w:p w14:paraId="330D5859">
                  <w:pPr>
                    <w:adjustRightInd w:val="0"/>
                    <w:snapToGrid w:val="0"/>
                    <w:jc w:val="center"/>
                    <w:rPr>
                      <w:color w:val="000000"/>
                      <w:szCs w:val="21"/>
                    </w:rPr>
                  </w:pPr>
                  <w:r>
                    <w:rPr>
                      <w:color w:val="000000"/>
                    </w:rPr>
                    <w:t>SS</w:t>
                  </w:r>
                </w:p>
              </w:tc>
              <w:tc>
                <w:tcPr>
                  <w:tcW w:w="691" w:type="pct"/>
                  <w:vMerge w:val="continue"/>
                  <w:vAlign w:val="center"/>
                </w:tcPr>
                <w:p w14:paraId="289FCF54">
                  <w:pPr>
                    <w:adjustRightInd w:val="0"/>
                    <w:snapToGrid w:val="0"/>
                    <w:jc w:val="center"/>
                    <w:rPr>
                      <w:color w:val="000000"/>
                      <w:szCs w:val="21"/>
                    </w:rPr>
                  </w:pPr>
                </w:p>
              </w:tc>
              <w:tc>
                <w:tcPr>
                  <w:tcW w:w="620" w:type="pct"/>
                  <w:vAlign w:val="center"/>
                </w:tcPr>
                <w:p w14:paraId="15E19BF1">
                  <w:pPr>
                    <w:adjustRightInd w:val="0"/>
                    <w:snapToGrid w:val="0"/>
                    <w:jc w:val="center"/>
                    <w:rPr>
                      <w:color w:val="000000"/>
                      <w:szCs w:val="21"/>
                    </w:rPr>
                  </w:pPr>
                  <w:r>
                    <w:rPr>
                      <w:rFonts w:hint="eastAsia"/>
                      <w:color w:val="000000"/>
                      <w:szCs w:val="21"/>
                    </w:rPr>
                    <w:t>15</w:t>
                  </w:r>
                </w:p>
              </w:tc>
              <w:tc>
                <w:tcPr>
                  <w:tcW w:w="575" w:type="pct"/>
                  <w:vAlign w:val="center"/>
                </w:tcPr>
                <w:p w14:paraId="0B28188A">
                  <w:pPr>
                    <w:adjustRightInd w:val="0"/>
                    <w:snapToGrid w:val="0"/>
                    <w:jc w:val="center"/>
                    <w:rPr>
                      <w:color w:val="000000"/>
                      <w:szCs w:val="21"/>
                    </w:rPr>
                  </w:pPr>
                  <w:r>
                    <w:rPr>
                      <w:rFonts w:hint="eastAsia"/>
                      <w:color w:val="000000"/>
                      <w:szCs w:val="21"/>
                    </w:rPr>
                    <w:t>0.001</w:t>
                  </w:r>
                </w:p>
              </w:tc>
              <w:tc>
                <w:tcPr>
                  <w:tcW w:w="576" w:type="pct"/>
                  <w:vMerge w:val="continue"/>
                  <w:vAlign w:val="center"/>
                </w:tcPr>
                <w:p w14:paraId="1C420B26">
                  <w:pPr>
                    <w:adjustRightInd w:val="0"/>
                    <w:snapToGrid w:val="0"/>
                    <w:jc w:val="center"/>
                    <w:rPr>
                      <w:color w:val="000000"/>
                      <w:szCs w:val="21"/>
                    </w:rPr>
                  </w:pPr>
                </w:p>
              </w:tc>
              <w:tc>
                <w:tcPr>
                  <w:tcW w:w="737" w:type="pct"/>
                  <w:vAlign w:val="center"/>
                </w:tcPr>
                <w:p w14:paraId="2CB2804E">
                  <w:pPr>
                    <w:adjustRightInd w:val="0"/>
                    <w:snapToGrid w:val="0"/>
                    <w:jc w:val="center"/>
                    <w:rPr>
                      <w:color w:val="000000"/>
                      <w:szCs w:val="21"/>
                    </w:rPr>
                  </w:pPr>
                  <w:r>
                    <w:rPr>
                      <w:rFonts w:hint="eastAsia"/>
                      <w:color w:val="000000"/>
                      <w:szCs w:val="21"/>
                    </w:rPr>
                    <w:t>15</w:t>
                  </w:r>
                </w:p>
              </w:tc>
              <w:tc>
                <w:tcPr>
                  <w:tcW w:w="651" w:type="pct"/>
                  <w:vAlign w:val="center"/>
                </w:tcPr>
                <w:p w14:paraId="56F0FF76">
                  <w:pPr>
                    <w:adjustRightInd w:val="0"/>
                    <w:snapToGrid w:val="0"/>
                    <w:jc w:val="center"/>
                    <w:rPr>
                      <w:color w:val="000000"/>
                      <w:szCs w:val="21"/>
                    </w:rPr>
                  </w:pPr>
                  <w:r>
                    <w:rPr>
                      <w:rFonts w:hint="eastAsia"/>
                      <w:color w:val="000000"/>
                      <w:szCs w:val="21"/>
                    </w:rPr>
                    <w:t>0.001</w:t>
                  </w:r>
                </w:p>
              </w:tc>
            </w:tr>
            <w:tr w14:paraId="4D71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restart"/>
                  <w:vAlign w:val="center"/>
                </w:tcPr>
                <w:p w14:paraId="004BC9A3">
                  <w:pPr>
                    <w:adjustRightInd w:val="0"/>
                    <w:snapToGrid w:val="0"/>
                    <w:jc w:val="center"/>
                    <w:rPr>
                      <w:color w:val="000000"/>
                      <w:szCs w:val="21"/>
                    </w:rPr>
                  </w:pPr>
                  <w:r>
                    <w:rPr>
                      <w:rFonts w:hint="eastAsia"/>
                      <w:szCs w:val="21"/>
                    </w:rPr>
                    <w:t>实验器皿清洗废水</w:t>
                  </w:r>
                </w:p>
              </w:tc>
              <w:tc>
                <w:tcPr>
                  <w:tcW w:w="575" w:type="pct"/>
                  <w:vAlign w:val="center"/>
                </w:tcPr>
                <w:p w14:paraId="6E6B0EAE">
                  <w:pPr>
                    <w:adjustRightInd w:val="0"/>
                    <w:snapToGrid w:val="0"/>
                    <w:jc w:val="center"/>
                    <w:rPr>
                      <w:color w:val="000000"/>
                      <w:szCs w:val="21"/>
                    </w:rPr>
                  </w:pPr>
                  <w:r>
                    <w:rPr>
                      <w:rFonts w:hint="eastAsia"/>
                      <w:szCs w:val="21"/>
                    </w:rPr>
                    <w:t>pH</w:t>
                  </w:r>
                </w:p>
              </w:tc>
              <w:tc>
                <w:tcPr>
                  <w:tcW w:w="691" w:type="pct"/>
                  <w:vMerge w:val="restart"/>
                  <w:vAlign w:val="center"/>
                </w:tcPr>
                <w:p w14:paraId="76832A7C">
                  <w:pPr>
                    <w:adjustRightInd w:val="0"/>
                    <w:snapToGrid w:val="0"/>
                    <w:jc w:val="center"/>
                    <w:rPr>
                      <w:color w:val="000000"/>
                      <w:szCs w:val="21"/>
                    </w:rPr>
                  </w:pPr>
                  <w:r>
                    <w:rPr>
                      <w:rFonts w:hint="eastAsia"/>
                      <w:color w:val="000000"/>
                      <w:szCs w:val="21"/>
                    </w:rPr>
                    <w:t>132</w:t>
                  </w:r>
                </w:p>
              </w:tc>
              <w:tc>
                <w:tcPr>
                  <w:tcW w:w="620" w:type="pct"/>
                  <w:vAlign w:val="center"/>
                </w:tcPr>
                <w:p w14:paraId="2101C0B3">
                  <w:pPr>
                    <w:adjustRightInd w:val="0"/>
                    <w:snapToGrid w:val="0"/>
                    <w:jc w:val="center"/>
                    <w:rPr>
                      <w:color w:val="000000"/>
                      <w:szCs w:val="21"/>
                    </w:rPr>
                  </w:pPr>
                  <w:r>
                    <w:rPr>
                      <w:rFonts w:hint="eastAsia"/>
                      <w:color w:val="000000"/>
                      <w:szCs w:val="21"/>
                    </w:rPr>
                    <w:t>3~11</w:t>
                  </w:r>
                </w:p>
              </w:tc>
              <w:tc>
                <w:tcPr>
                  <w:tcW w:w="575" w:type="pct"/>
                  <w:vAlign w:val="center"/>
                </w:tcPr>
                <w:p w14:paraId="5B4A593C">
                  <w:pPr>
                    <w:adjustRightInd w:val="0"/>
                    <w:snapToGrid w:val="0"/>
                    <w:jc w:val="center"/>
                    <w:rPr>
                      <w:color w:val="000000"/>
                      <w:szCs w:val="21"/>
                    </w:rPr>
                  </w:pPr>
                  <w:r>
                    <w:rPr>
                      <w:rFonts w:hint="eastAsia"/>
                      <w:color w:val="000000"/>
                      <w:szCs w:val="21"/>
                    </w:rPr>
                    <w:t>/</w:t>
                  </w:r>
                </w:p>
              </w:tc>
              <w:tc>
                <w:tcPr>
                  <w:tcW w:w="576" w:type="pct"/>
                  <w:vMerge w:val="restart"/>
                  <w:vAlign w:val="center"/>
                </w:tcPr>
                <w:p w14:paraId="4E4E3434">
                  <w:pPr>
                    <w:adjustRightInd w:val="0"/>
                    <w:snapToGrid w:val="0"/>
                    <w:jc w:val="center"/>
                    <w:rPr>
                      <w:color w:val="000000"/>
                      <w:szCs w:val="21"/>
                    </w:rPr>
                  </w:pPr>
                  <w:r>
                    <w:rPr>
                      <w:rFonts w:hint="eastAsia"/>
                      <w:color w:val="000000"/>
                      <w:szCs w:val="21"/>
                    </w:rPr>
                    <w:t>酸碱中和池</w:t>
                  </w:r>
                </w:p>
              </w:tc>
              <w:tc>
                <w:tcPr>
                  <w:tcW w:w="737" w:type="pct"/>
                  <w:vAlign w:val="center"/>
                </w:tcPr>
                <w:p w14:paraId="29358DD4">
                  <w:pPr>
                    <w:adjustRightInd w:val="0"/>
                    <w:snapToGrid w:val="0"/>
                    <w:jc w:val="center"/>
                    <w:rPr>
                      <w:color w:val="000000"/>
                      <w:szCs w:val="21"/>
                    </w:rPr>
                  </w:pPr>
                  <w:r>
                    <w:rPr>
                      <w:rFonts w:hint="eastAsia"/>
                      <w:color w:val="000000"/>
                      <w:szCs w:val="21"/>
                    </w:rPr>
                    <w:t>6~9</w:t>
                  </w:r>
                </w:p>
              </w:tc>
              <w:tc>
                <w:tcPr>
                  <w:tcW w:w="651" w:type="pct"/>
                  <w:vAlign w:val="center"/>
                </w:tcPr>
                <w:p w14:paraId="068EB6D1">
                  <w:pPr>
                    <w:adjustRightInd w:val="0"/>
                    <w:snapToGrid w:val="0"/>
                    <w:jc w:val="center"/>
                    <w:rPr>
                      <w:color w:val="000000"/>
                      <w:szCs w:val="21"/>
                    </w:rPr>
                  </w:pPr>
                  <w:r>
                    <w:rPr>
                      <w:rFonts w:hint="eastAsia"/>
                      <w:color w:val="000000"/>
                      <w:szCs w:val="21"/>
                    </w:rPr>
                    <w:t>/</w:t>
                  </w:r>
                </w:p>
              </w:tc>
            </w:tr>
            <w:tr w14:paraId="6B7D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0EA56176">
                  <w:pPr>
                    <w:adjustRightInd w:val="0"/>
                    <w:snapToGrid w:val="0"/>
                    <w:jc w:val="center"/>
                    <w:rPr>
                      <w:color w:val="000000"/>
                      <w:szCs w:val="21"/>
                    </w:rPr>
                  </w:pPr>
                </w:p>
              </w:tc>
              <w:tc>
                <w:tcPr>
                  <w:tcW w:w="575" w:type="pct"/>
                  <w:vAlign w:val="center"/>
                </w:tcPr>
                <w:p w14:paraId="6FBE991F">
                  <w:pPr>
                    <w:adjustRightInd w:val="0"/>
                    <w:snapToGrid w:val="0"/>
                    <w:jc w:val="center"/>
                    <w:rPr>
                      <w:color w:val="000000"/>
                      <w:szCs w:val="21"/>
                    </w:rPr>
                  </w:pPr>
                  <w:r>
                    <w:rPr>
                      <w:rFonts w:hint="eastAsia"/>
                      <w:szCs w:val="21"/>
                    </w:rPr>
                    <w:t>CODcr</w:t>
                  </w:r>
                </w:p>
              </w:tc>
              <w:tc>
                <w:tcPr>
                  <w:tcW w:w="691" w:type="pct"/>
                  <w:vMerge w:val="continue"/>
                  <w:vAlign w:val="center"/>
                </w:tcPr>
                <w:p w14:paraId="7998A3C3">
                  <w:pPr>
                    <w:adjustRightInd w:val="0"/>
                    <w:snapToGrid w:val="0"/>
                    <w:jc w:val="center"/>
                    <w:rPr>
                      <w:color w:val="000000"/>
                      <w:szCs w:val="21"/>
                    </w:rPr>
                  </w:pPr>
                </w:p>
              </w:tc>
              <w:tc>
                <w:tcPr>
                  <w:tcW w:w="620" w:type="pct"/>
                  <w:vAlign w:val="center"/>
                </w:tcPr>
                <w:p w14:paraId="6FCF5D02">
                  <w:pPr>
                    <w:adjustRightInd w:val="0"/>
                    <w:snapToGrid w:val="0"/>
                    <w:jc w:val="center"/>
                    <w:rPr>
                      <w:color w:val="000000"/>
                      <w:szCs w:val="21"/>
                    </w:rPr>
                  </w:pPr>
                  <w:r>
                    <w:rPr>
                      <w:rFonts w:hint="eastAsia"/>
                      <w:color w:val="000000"/>
                      <w:szCs w:val="21"/>
                    </w:rPr>
                    <w:t>150</w:t>
                  </w:r>
                </w:p>
              </w:tc>
              <w:tc>
                <w:tcPr>
                  <w:tcW w:w="575" w:type="pct"/>
                  <w:vAlign w:val="center"/>
                </w:tcPr>
                <w:p w14:paraId="01300899">
                  <w:pPr>
                    <w:adjustRightInd w:val="0"/>
                    <w:snapToGrid w:val="0"/>
                    <w:jc w:val="center"/>
                    <w:rPr>
                      <w:color w:val="000000"/>
                      <w:szCs w:val="21"/>
                    </w:rPr>
                  </w:pPr>
                  <w:r>
                    <w:rPr>
                      <w:rFonts w:hint="eastAsia"/>
                      <w:color w:val="000000"/>
                      <w:szCs w:val="21"/>
                    </w:rPr>
                    <w:t>0.020</w:t>
                  </w:r>
                </w:p>
              </w:tc>
              <w:tc>
                <w:tcPr>
                  <w:tcW w:w="576" w:type="pct"/>
                  <w:vMerge w:val="continue"/>
                  <w:vAlign w:val="center"/>
                </w:tcPr>
                <w:p w14:paraId="2AC6743B">
                  <w:pPr>
                    <w:adjustRightInd w:val="0"/>
                    <w:snapToGrid w:val="0"/>
                    <w:jc w:val="center"/>
                    <w:rPr>
                      <w:color w:val="000000"/>
                      <w:szCs w:val="21"/>
                    </w:rPr>
                  </w:pPr>
                </w:p>
              </w:tc>
              <w:tc>
                <w:tcPr>
                  <w:tcW w:w="737" w:type="pct"/>
                  <w:vAlign w:val="center"/>
                </w:tcPr>
                <w:p w14:paraId="1A65BA14">
                  <w:pPr>
                    <w:adjustRightInd w:val="0"/>
                    <w:snapToGrid w:val="0"/>
                    <w:jc w:val="center"/>
                    <w:rPr>
                      <w:color w:val="000000"/>
                      <w:szCs w:val="21"/>
                    </w:rPr>
                  </w:pPr>
                  <w:r>
                    <w:rPr>
                      <w:rFonts w:hint="eastAsia"/>
                      <w:color w:val="000000"/>
                      <w:szCs w:val="21"/>
                    </w:rPr>
                    <w:t>150</w:t>
                  </w:r>
                </w:p>
              </w:tc>
              <w:tc>
                <w:tcPr>
                  <w:tcW w:w="651" w:type="pct"/>
                  <w:vAlign w:val="center"/>
                </w:tcPr>
                <w:p w14:paraId="4BA04A8C">
                  <w:pPr>
                    <w:adjustRightInd w:val="0"/>
                    <w:snapToGrid w:val="0"/>
                    <w:jc w:val="center"/>
                    <w:rPr>
                      <w:color w:val="000000"/>
                      <w:szCs w:val="21"/>
                    </w:rPr>
                  </w:pPr>
                  <w:r>
                    <w:rPr>
                      <w:rFonts w:hint="eastAsia"/>
                      <w:color w:val="000000"/>
                      <w:szCs w:val="21"/>
                    </w:rPr>
                    <w:t>0.020</w:t>
                  </w:r>
                </w:p>
              </w:tc>
            </w:tr>
            <w:tr w14:paraId="24C4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5635DB17">
                  <w:pPr>
                    <w:adjustRightInd w:val="0"/>
                    <w:snapToGrid w:val="0"/>
                    <w:jc w:val="center"/>
                    <w:rPr>
                      <w:color w:val="000000"/>
                      <w:szCs w:val="21"/>
                    </w:rPr>
                  </w:pPr>
                </w:p>
              </w:tc>
              <w:tc>
                <w:tcPr>
                  <w:tcW w:w="575" w:type="pct"/>
                  <w:vAlign w:val="center"/>
                </w:tcPr>
                <w:p w14:paraId="26E078BD">
                  <w:pPr>
                    <w:adjustRightInd w:val="0"/>
                    <w:snapToGrid w:val="0"/>
                    <w:jc w:val="center"/>
                    <w:rPr>
                      <w:color w:val="000000"/>
                      <w:szCs w:val="21"/>
                    </w:rPr>
                  </w:pPr>
                  <w:r>
                    <w:rPr>
                      <w:rFonts w:hint="eastAsia"/>
                      <w:szCs w:val="21"/>
                    </w:rPr>
                    <w:t>氨氮</w:t>
                  </w:r>
                </w:p>
              </w:tc>
              <w:tc>
                <w:tcPr>
                  <w:tcW w:w="691" w:type="pct"/>
                  <w:vMerge w:val="continue"/>
                  <w:vAlign w:val="center"/>
                </w:tcPr>
                <w:p w14:paraId="6B22DE0A">
                  <w:pPr>
                    <w:adjustRightInd w:val="0"/>
                    <w:snapToGrid w:val="0"/>
                    <w:jc w:val="center"/>
                    <w:rPr>
                      <w:color w:val="000000"/>
                      <w:szCs w:val="21"/>
                    </w:rPr>
                  </w:pPr>
                </w:p>
              </w:tc>
              <w:tc>
                <w:tcPr>
                  <w:tcW w:w="620" w:type="pct"/>
                  <w:vAlign w:val="center"/>
                </w:tcPr>
                <w:p w14:paraId="33AD19EC">
                  <w:pPr>
                    <w:adjustRightInd w:val="0"/>
                    <w:snapToGrid w:val="0"/>
                    <w:jc w:val="center"/>
                    <w:rPr>
                      <w:color w:val="000000"/>
                      <w:szCs w:val="21"/>
                    </w:rPr>
                  </w:pPr>
                  <w:r>
                    <w:rPr>
                      <w:rFonts w:hint="eastAsia"/>
                      <w:color w:val="000000"/>
                      <w:szCs w:val="21"/>
                    </w:rPr>
                    <w:t>20</w:t>
                  </w:r>
                </w:p>
              </w:tc>
              <w:tc>
                <w:tcPr>
                  <w:tcW w:w="575" w:type="pct"/>
                  <w:vAlign w:val="center"/>
                </w:tcPr>
                <w:p w14:paraId="12C848FB">
                  <w:pPr>
                    <w:adjustRightInd w:val="0"/>
                    <w:snapToGrid w:val="0"/>
                    <w:jc w:val="center"/>
                    <w:rPr>
                      <w:color w:val="000000"/>
                      <w:szCs w:val="21"/>
                    </w:rPr>
                  </w:pPr>
                  <w:r>
                    <w:rPr>
                      <w:rFonts w:hint="eastAsia"/>
                      <w:color w:val="000000"/>
                      <w:szCs w:val="21"/>
                    </w:rPr>
                    <w:t>0.003</w:t>
                  </w:r>
                </w:p>
              </w:tc>
              <w:tc>
                <w:tcPr>
                  <w:tcW w:w="576" w:type="pct"/>
                  <w:vMerge w:val="continue"/>
                  <w:vAlign w:val="center"/>
                </w:tcPr>
                <w:p w14:paraId="28A47B49">
                  <w:pPr>
                    <w:adjustRightInd w:val="0"/>
                    <w:snapToGrid w:val="0"/>
                    <w:jc w:val="center"/>
                    <w:rPr>
                      <w:color w:val="000000"/>
                      <w:szCs w:val="21"/>
                    </w:rPr>
                  </w:pPr>
                </w:p>
              </w:tc>
              <w:tc>
                <w:tcPr>
                  <w:tcW w:w="737" w:type="pct"/>
                  <w:vAlign w:val="center"/>
                </w:tcPr>
                <w:p w14:paraId="491A588A">
                  <w:pPr>
                    <w:adjustRightInd w:val="0"/>
                    <w:snapToGrid w:val="0"/>
                    <w:jc w:val="center"/>
                    <w:rPr>
                      <w:color w:val="000000"/>
                      <w:szCs w:val="21"/>
                    </w:rPr>
                  </w:pPr>
                  <w:r>
                    <w:rPr>
                      <w:rFonts w:hint="eastAsia"/>
                      <w:color w:val="000000"/>
                      <w:szCs w:val="21"/>
                    </w:rPr>
                    <w:t>20</w:t>
                  </w:r>
                </w:p>
              </w:tc>
              <w:tc>
                <w:tcPr>
                  <w:tcW w:w="651" w:type="pct"/>
                  <w:vAlign w:val="center"/>
                </w:tcPr>
                <w:p w14:paraId="12C388BE">
                  <w:pPr>
                    <w:adjustRightInd w:val="0"/>
                    <w:snapToGrid w:val="0"/>
                    <w:jc w:val="center"/>
                    <w:rPr>
                      <w:color w:val="000000"/>
                      <w:szCs w:val="21"/>
                    </w:rPr>
                  </w:pPr>
                  <w:r>
                    <w:rPr>
                      <w:rFonts w:hint="eastAsia"/>
                      <w:color w:val="000000"/>
                      <w:szCs w:val="21"/>
                    </w:rPr>
                    <w:t>0.003</w:t>
                  </w:r>
                </w:p>
              </w:tc>
            </w:tr>
            <w:tr w14:paraId="6C45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restart"/>
                  <w:vAlign w:val="center"/>
                </w:tcPr>
                <w:p w14:paraId="74950CD5">
                  <w:pPr>
                    <w:adjustRightInd w:val="0"/>
                    <w:snapToGrid w:val="0"/>
                    <w:jc w:val="center"/>
                    <w:rPr>
                      <w:color w:val="000000"/>
                      <w:szCs w:val="21"/>
                    </w:rPr>
                  </w:pPr>
                  <w:r>
                    <w:rPr>
                      <w:rFonts w:hint="eastAsia"/>
                      <w:color w:val="000000"/>
                    </w:rPr>
                    <w:t>生活污水</w:t>
                  </w:r>
                </w:p>
              </w:tc>
              <w:tc>
                <w:tcPr>
                  <w:tcW w:w="575" w:type="pct"/>
                  <w:vAlign w:val="center"/>
                </w:tcPr>
                <w:p w14:paraId="151A2ABD">
                  <w:pPr>
                    <w:adjustRightInd w:val="0"/>
                    <w:snapToGrid w:val="0"/>
                    <w:jc w:val="center"/>
                    <w:rPr>
                      <w:szCs w:val="21"/>
                    </w:rPr>
                  </w:pPr>
                  <w:r>
                    <w:rPr>
                      <w:rFonts w:hint="eastAsia"/>
                      <w:szCs w:val="21"/>
                    </w:rPr>
                    <w:t>CODcr</w:t>
                  </w:r>
                </w:p>
              </w:tc>
              <w:tc>
                <w:tcPr>
                  <w:tcW w:w="691" w:type="pct"/>
                  <w:vMerge w:val="restart"/>
                  <w:vAlign w:val="center"/>
                </w:tcPr>
                <w:p w14:paraId="27E642BE">
                  <w:pPr>
                    <w:adjustRightInd w:val="0"/>
                    <w:snapToGrid w:val="0"/>
                    <w:jc w:val="center"/>
                    <w:rPr>
                      <w:color w:val="000000"/>
                      <w:szCs w:val="21"/>
                    </w:rPr>
                  </w:pPr>
                  <w:r>
                    <w:rPr>
                      <w:rFonts w:hint="eastAsia"/>
                      <w:color w:val="000000"/>
                    </w:rPr>
                    <w:t>211.2</w:t>
                  </w:r>
                </w:p>
              </w:tc>
              <w:tc>
                <w:tcPr>
                  <w:tcW w:w="620" w:type="pct"/>
                  <w:vAlign w:val="center"/>
                </w:tcPr>
                <w:p w14:paraId="479B41B3">
                  <w:pPr>
                    <w:adjustRightInd w:val="0"/>
                    <w:snapToGrid w:val="0"/>
                    <w:jc w:val="center"/>
                    <w:rPr>
                      <w:color w:val="000000"/>
                      <w:szCs w:val="21"/>
                    </w:rPr>
                  </w:pPr>
                  <w:r>
                    <w:rPr>
                      <w:rFonts w:hint="eastAsia"/>
                      <w:color w:val="000000"/>
                      <w:szCs w:val="21"/>
                    </w:rPr>
                    <w:t>300</w:t>
                  </w:r>
                </w:p>
              </w:tc>
              <w:tc>
                <w:tcPr>
                  <w:tcW w:w="575" w:type="pct"/>
                  <w:vAlign w:val="center"/>
                </w:tcPr>
                <w:p w14:paraId="2A343F3A">
                  <w:pPr>
                    <w:adjustRightInd w:val="0"/>
                    <w:snapToGrid w:val="0"/>
                    <w:jc w:val="center"/>
                    <w:rPr>
                      <w:color w:val="000000"/>
                      <w:szCs w:val="21"/>
                    </w:rPr>
                  </w:pPr>
                  <w:r>
                    <w:rPr>
                      <w:rFonts w:hint="eastAsia"/>
                      <w:color w:val="000000"/>
                      <w:szCs w:val="21"/>
                    </w:rPr>
                    <w:t>0.063</w:t>
                  </w:r>
                </w:p>
              </w:tc>
              <w:tc>
                <w:tcPr>
                  <w:tcW w:w="576" w:type="pct"/>
                  <w:vMerge w:val="restart"/>
                  <w:vAlign w:val="center"/>
                </w:tcPr>
                <w:p w14:paraId="316A6DB0">
                  <w:pPr>
                    <w:adjustRightInd w:val="0"/>
                    <w:snapToGrid w:val="0"/>
                    <w:jc w:val="center"/>
                    <w:rPr>
                      <w:color w:val="000000"/>
                      <w:szCs w:val="21"/>
                    </w:rPr>
                  </w:pPr>
                  <w:r>
                    <w:rPr>
                      <w:rFonts w:hint="eastAsia"/>
                      <w:color w:val="000000"/>
                      <w:szCs w:val="21"/>
                    </w:rPr>
                    <w:t>公共化粪池</w:t>
                  </w:r>
                </w:p>
              </w:tc>
              <w:tc>
                <w:tcPr>
                  <w:tcW w:w="737" w:type="pct"/>
                  <w:vAlign w:val="center"/>
                </w:tcPr>
                <w:p w14:paraId="5AFEB5B4">
                  <w:pPr>
                    <w:adjustRightInd w:val="0"/>
                    <w:snapToGrid w:val="0"/>
                    <w:jc w:val="center"/>
                    <w:rPr>
                      <w:color w:val="000000"/>
                      <w:szCs w:val="21"/>
                    </w:rPr>
                  </w:pPr>
                  <w:r>
                    <w:rPr>
                      <w:rFonts w:hint="eastAsia"/>
                      <w:color w:val="000000"/>
                      <w:szCs w:val="21"/>
                    </w:rPr>
                    <w:t>300</w:t>
                  </w:r>
                </w:p>
              </w:tc>
              <w:tc>
                <w:tcPr>
                  <w:tcW w:w="651" w:type="pct"/>
                  <w:vAlign w:val="center"/>
                </w:tcPr>
                <w:p w14:paraId="788DA024">
                  <w:pPr>
                    <w:adjustRightInd w:val="0"/>
                    <w:snapToGrid w:val="0"/>
                    <w:jc w:val="center"/>
                    <w:rPr>
                      <w:color w:val="000000"/>
                      <w:szCs w:val="21"/>
                    </w:rPr>
                  </w:pPr>
                  <w:r>
                    <w:rPr>
                      <w:rFonts w:hint="eastAsia"/>
                      <w:color w:val="000000"/>
                      <w:szCs w:val="21"/>
                    </w:rPr>
                    <w:t>0.063</w:t>
                  </w:r>
                </w:p>
              </w:tc>
            </w:tr>
            <w:tr w14:paraId="1E5F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0D0B3C7F">
                  <w:pPr>
                    <w:adjustRightInd w:val="0"/>
                    <w:snapToGrid w:val="0"/>
                    <w:jc w:val="center"/>
                    <w:rPr>
                      <w:color w:val="000000"/>
                      <w:szCs w:val="21"/>
                    </w:rPr>
                  </w:pPr>
                </w:p>
              </w:tc>
              <w:tc>
                <w:tcPr>
                  <w:tcW w:w="575" w:type="pct"/>
                  <w:vAlign w:val="center"/>
                </w:tcPr>
                <w:p w14:paraId="031C9EB2">
                  <w:pPr>
                    <w:adjustRightInd w:val="0"/>
                    <w:snapToGrid w:val="0"/>
                    <w:jc w:val="center"/>
                    <w:rPr>
                      <w:szCs w:val="21"/>
                    </w:rPr>
                  </w:pPr>
                  <w:r>
                    <w:rPr>
                      <w:color w:val="000000"/>
                    </w:rPr>
                    <w:t>BOD</w:t>
                  </w:r>
                  <w:r>
                    <w:rPr>
                      <w:color w:val="000000"/>
                      <w:vertAlign w:val="subscript"/>
                    </w:rPr>
                    <w:t>5</w:t>
                  </w:r>
                </w:p>
              </w:tc>
              <w:tc>
                <w:tcPr>
                  <w:tcW w:w="691" w:type="pct"/>
                  <w:vMerge w:val="continue"/>
                  <w:vAlign w:val="center"/>
                </w:tcPr>
                <w:p w14:paraId="7C00BBDF">
                  <w:pPr>
                    <w:adjustRightInd w:val="0"/>
                    <w:snapToGrid w:val="0"/>
                    <w:jc w:val="center"/>
                    <w:rPr>
                      <w:color w:val="000000"/>
                      <w:szCs w:val="21"/>
                    </w:rPr>
                  </w:pPr>
                </w:p>
              </w:tc>
              <w:tc>
                <w:tcPr>
                  <w:tcW w:w="620" w:type="pct"/>
                  <w:vAlign w:val="center"/>
                </w:tcPr>
                <w:p w14:paraId="43345678">
                  <w:pPr>
                    <w:adjustRightInd w:val="0"/>
                    <w:snapToGrid w:val="0"/>
                    <w:jc w:val="center"/>
                    <w:rPr>
                      <w:color w:val="000000"/>
                      <w:szCs w:val="21"/>
                    </w:rPr>
                  </w:pPr>
                  <w:r>
                    <w:rPr>
                      <w:rFonts w:hint="eastAsia"/>
                      <w:color w:val="000000"/>
                      <w:szCs w:val="21"/>
                    </w:rPr>
                    <w:t>220</w:t>
                  </w:r>
                </w:p>
              </w:tc>
              <w:tc>
                <w:tcPr>
                  <w:tcW w:w="575" w:type="pct"/>
                  <w:vAlign w:val="center"/>
                </w:tcPr>
                <w:p w14:paraId="49E61F1F">
                  <w:pPr>
                    <w:adjustRightInd w:val="0"/>
                    <w:snapToGrid w:val="0"/>
                    <w:jc w:val="center"/>
                    <w:rPr>
                      <w:color w:val="000000"/>
                      <w:szCs w:val="21"/>
                    </w:rPr>
                  </w:pPr>
                  <w:r>
                    <w:rPr>
                      <w:rFonts w:hint="eastAsia"/>
                      <w:color w:val="000000"/>
                      <w:szCs w:val="21"/>
                    </w:rPr>
                    <w:t>0.046</w:t>
                  </w:r>
                </w:p>
              </w:tc>
              <w:tc>
                <w:tcPr>
                  <w:tcW w:w="576" w:type="pct"/>
                  <w:vMerge w:val="continue"/>
                  <w:vAlign w:val="center"/>
                </w:tcPr>
                <w:p w14:paraId="1C44C6D3">
                  <w:pPr>
                    <w:adjustRightInd w:val="0"/>
                    <w:snapToGrid w:val="0"/>
                    <w:jc w:val="center"/>
                    <w:rPr>
                      <w:color w:val="000000"/>
                      <w:szCs w:val="21"/>
                    </w:rPr>
                  </w:pPr>
                </w:p>
              </w:tc>
              <w:tc>
                <w:tcPr>
                  <w:tcW w:w="737" w:type="pct"/>
                  <w:vAlign w:val="center"/>
                </w:tcPr>
                <w:p w14:paraId="158C48F9">
                  <w:pPr>
                    <w:adjustRightInd w:val="0"/>
                    <w:snapToGrid w:val="0"/>
                    <w:jc w:val="center"/>
                    <w:rPr>
                      <w:color w:val="000000"/>
                      <w:szCs w:val="21"/>
                    </w:rPr>
                  </w:pPr>
                  <w:r>
                    <w:rPr>
                      <w:rFonts w:hint="eastAsia"/>
                      <w:color w:val="000000"/>
                      <w:szCs w:val="21"/>
                    </w:rPr>
                    <w:t>220</w:t>
                  </w:r>
                </w:p>
              </w:tc>
              <w:tc>
                <w:tcPr>
                  <w:tcW w:w="651" w:type="pct"/>
                  <w:vAlign w:val="center"/>
                </w:tcPr>
                <w:p w14:paraId="41D83466">
                  <w:pPr>
                    <w:adjustRightInd w:val="0"/>
                    <w:snapToGrid w:val="0"/>
                    <w:jc w:val="center"/>
                    <w:rPr>
                      <w:color w:val="000000"/>
                      <w:szCs w:val="21"/>
                    </w:rPr>
                  </w:pPr>
                  <w:r>
                    <w:rPr>
                      <w:rFonts w:hint="eastAsia"/>
                      <w:color w:val="000000"/>
                      <w:szCs w:val="21"/>
                    </w:rPr>
                    <w:t>0.046</w:t>
                  </w:r>
                </w:p>
              </w:tc>
            </w:tr>
            <w:tr w14:paraId="780B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4C93768F">
                  <w:pPr>
                    <w:adjustRightInd w:val="0"/>
                    <w:snapToGrid w:val="0"/>
                    <w:jc w:val="center"/>
                    <w:rPr>
                      <w:color w:val="000000"/>
                      <w:szCs w:val="21"/>
                    </w:rPr>
                  </w:pPr>
                </w:p>
              </w:tc>
              <w:tc>
                <w:tcPr>
                  <w:tcW w:w="575" w:type="pct"/>
                  <w:vAlign w:val="center"/>
                </w:tcPr>
                <w:p w14:paraId="50381EBF">
                  <w:pPr>
                    <w:adjustRightInd w:val="0"/>
                    <w:snapToGrid w:val="0"/>
                    <w:jc w:val="center"/>
                    <w:rPr>
                      <w:szCs w:val="21"/>
                    </w:rPr>
                  </w:pPr>
                  <w:r>
                    <w:rPr>
                      <w:color w:val="000000"/>
                    </w:rPr>
                    <w:t>SS</w:t>
                  </w:r>
                </w:p>
              </w:tc>
              <w:tc>
                <w:tcPr>
                  <w:tcW w:w="691" w:type="pct"/>
                  <w:vMerge w:val="continue"/>
                  <w:vAlign w:val="center"/>
                </w:tcPr>
                <w:p w14:paraId="14005437">
                  <w:pPr>
                    <w:adjustRightInd w:val="0"/>
                    <w:snapToGrid w:val="0"/>
                    <w:jc w:val="center"/>
                    <w:rPr>
                      <w:color w:val="000000"/>
                      <w:szCs w:val="21"/>
                    </w:rPr>
                  </w:pPr>
                </w:p>
              </w:tc>
              <w:tc>
                <w:tcPr>
                  <w:tcW w:w="620" w:type="pct"/>
                  <w:vAlign w:val="center"/>
                </w:tcPr>
                <w:p w14:paraId="6BAB78C0">
                  <w:pPr>
                    <w:adjustRightInd w:val="0"/>
                    <w:snapToGrid w:val="0"/>
                    <w:jc w:val="center"/>
                    <w:rPr>
                      <w:color w:val="000000"/>
                      <w:szCs w:val="21"/>
                    </w:rPr>
                  </w:pPr>
                  <w:r>
                    <w:rPr>
                      <w:rFonts w:hint="eastAsia"/>
                      <w:color w:val="000000"/>
                      <w:szCs w:val="21"/>
                    </w:rPr>
                    <w:t>200</w:t>
                  </w:r>
                </w:p>
              </w:tc>
              <w:tc>
                <w:tcPr>
                  <w:tcW w:w="575" w:type="pct"/>
                  <w:vAlign w:val="center"/>
                </w:tcPr>
                <w:p w14:paraId="2C44557D">
                  <w:pPr>
                    <w:adjustRightInd w:val="0"/>
                    <w:snapToGrid w:val="0"/>
                    <w:jc w:val="center"/>
                    <w:rPr>
                      <w:color w:val="000000"/>
                      <w:szCs w:val="21"/>
                    </w:rPr>
                  </w:pPr>
                  <w:r>
                    <w:rPr>
                      <w:rFonts w:hint="eastAsia"/>
                      <w:color w:val="000000"/>
                      <w:szCs w:val="21"/>
                    </w:rPr>
                    <w:t>0.042</w:t>
                  </w:r>
                </w:p>
              </w:tc>
              <w:tc>
                <w:tcPr>
                  <w:tcW w:w="576" w:type="pct"/>
                  <w:vMerge w:val="continue"/>
                  <w:vAlign w:val="center"/>
                </w:tcPr>
                <w:p w14:paraId="54905A13">
                  <w:pPr>
                    <w:adjustRightInd w:val="0"/>
                    <w:snapToGrid w:val="0"/>
                    <w:jc w:val="center"/>
                    <w:rPr>
                      <w:color w:val="000000"/>
                      <w:szCs w:val="21"/>
                    </w:rPr>
                  </w:pPr>
                </w:p>
              </w:tc>
              <w:tc>
                <w:tcPr>
                  <w:tcW w:w="737" w:type="pct"/>
                  <w:vAlign w:val="center"/>
                </w:tcPr>
                <w:p w14:paraId="40DC778C">
                  <w:pPr>
                    <w:adjustRightInd w:val="0"/>
                    <w:snapToGrid w:val="0"/>
                    <w:jc w:val="center"/>
                    <w:rPr>
                      <w:color w:val="000000"/>
                      <w:szCs w:val="21"/>
                    </w:rPr>
                  </w:pPr>
                  <w:r>
                    <w:rPr>
                      <w:rFonts w:hint="eastAsia"/>
                      <w:color w:val="000000"/>
                      <w:szCs w:val="21"/>
                    </w:rPr>
                    <w:t>200</w:t>
                  </w:r>
                </w:p>
              </w:tc>
              <w:tc>
                <w:tcPr>
                  <w:tcW w:w="651" w:type="pct"/>
                  <w:vAlign w:val="center"/>
                </w:tcPr>
                <w:p w14:paraId="64E31E3C">
                  <w:pPr>
                    <w:adjustRightInd w:val="0"/>
                    <w:snapToGrid w:val="0"/>
                    <w:jc w:val="center"/>
                    <w:rPr>
                      <w:color w:val="000000"/>
                      <w:szCs w:val="21"/>
                    </w:rPr>
                  </w:pPr>
                  <w:r>
                    <w:rPr>
                      <w:rFonts w:hint="eastAsia"/>
                      <w:color w:val="000000"/>
                      <w:szCs w:val="21"/>
                    </w:rPr>
                    <w:t>0.042</w:t>
                  </w:r>
                </w:p>
              </w:tc>
            </w:tr>
            <w:tr w14:paraId="747C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Merge w:val="continue"/>
                  <w:vAlign w:val="center"/>
                </w:tcPr>
                <w:p w14:paraId="188F8378">
                  <w:pPr>
                    <w:adjustRightInd w:val="0"/>
                    <w:snapToGrid w:val="0"/>
                    <w:jc w:val="center"/>
                    <w:rPr>
                      <w:color w:val="000000"/>
                      <w:szCs w:val="21"/>
                    </w:rPr>
                  </w:pPr>
                </w:p>
              </w:tc>
              <w:tc>
                <w:tcPr>
                  <w:tcW w:w="575" w:type="pct"/>
                  <w:vAlign w:val="center"/>
                </w:tcPr>
                <w:p w14:paraId="54B340AC">
                  <w:pPr>
                    <w:adjustRightInd w:val="0"/>
                    <w:snapToGrid w:val="0"/>
                    <w:jc w:val="center"/>
                    <w:rPr>
                      <w:szCs w:val="21"/>
                    </w:rPr>
                  </w:pPr>
                  <w:r>
                    <w:rPr>
                      <w:rFonts w:hint="eastAsia"/>
                      <w:szCs w:val="21"/>
                    </w:rPr>
                    <w:t>氨氮</w:t>
                  </w:r>
                </w:p>
              </w:tc>
              <w:tc>
                <w:tcPr>
                  <w:tcW w:w="691" w:type="pct"/>
                  <w:vMerge w:val="continue"/>
                  <w:vAlign w:val="center"/>
                </w:tcPr>
                <w:p w14:paraId="7BC4FB85">
                  <w:pPr>
                    <w:adjustRightInd w:val="0"/>
                    <w:snapToGrid w:val="0"/>
                    <w:jc w:val="center"/>
                    <w:rPr>
                      <w:color w:val="000000"/>
                      <w:szCs w:val="21"/>
                    </w:rPr>
                  </w:pPr>
                </w:p>
              </w:tc>
              <w:tc>
                <w:tcPr>
                  <w:tcW w:w="620" w:type="pct"/>
                  <w:vAlign w:val="center"/>
                </w:tcPr>
                <w:p w14:paraId="4EF212E1">
                  <w:pPr>
                    <w:adjustRightInd w:val="0"/>
                    <w:snapToGrid w:val="0"/>
                    <w:jc w:val="center"/>
                    <w:rPr>
                      <w:color w:val="000000"/>
                      <w:szCs w:val="21"/>
                    </w:rPr>
                  </w:pPr>
                  <w:r>
                    <w:rPr>
                      <w:rFonts w:hint="eastAsia"/>
                      <w:color w:val="000000"/>
                      <w:szCs w:val="21"/>
                    </w:rPr>
                    <w:t>25</w:t>
                  </w:r>
                </w:p>
              </w:tc>
              <w:tc>
                <w:tcPr>
                  <w:tcW w:w="575" w:type="pct"/>
                  <w:vAlign w:val="center"/>
                </w:tcPr>
                <w:p w14:paraId="37CB1B6E">
                  <w:pPr>
                    <w:adjustRightInd w:val="0"/>
                    <w:snapToGrid w:val="0"/>
                    <w:jc w:val="center"/>
                    <w:rPr>
                      <w:color w:val="000000"/>
                      <w:szCs w:val="21"/>
                    </w:rPr>
                  </w:pPr>
                  <w:r>
                    <w:rPr>
                      <w:rFonts w:hint="eastAsia"/>
                      <w:color w:val="000000"/>
                      <w:szCs w:val="21"/>
                    </w:rPr>
                    <w:t>0.005</w:t>
                  </w:r>
                </w:p>
              </w:tc>
              <w:tc>
                <w:tcPr>
                  <w:tcW w:w="576" w:type="pct"/>
                  <w:vMerge w:val="continue"/>
                  <w:vAlign w:val="center"/>
                </w:tcPr>
                <w:p w14:paraId="05E80EB3">
                  <w:pPr>
                    <w:adjustRightInd w:val="0"/>
                    <w:snapToGrid w:val="0"/>
                    <w:jc w:val="center"/>
                    <w:rPr>
                      <w:color w:val="000000"/>
                      <w:szCs w:val="21"/>
                    </w:rPr>
                  </w:pPr>
                </w:p>
              </w:tc>
              <w:tc>
                <w:tcPr>
                  <w:tcW w:w="737" w:type="pct"/>
                  <w:vAlign w:val="center"/>
                </w:tcPr>
                <w:p w14:paraId="3288A44C">
                  <w:pPr>
                    <w:adjustRightInd w:val="0"/>
                    <w:snapToGrid w:val="0"/>
                    <w:jc w:val="center"/>
                    <w:rPr>
                      <w:color w:val="000000"/>
                      <w:szCs w:val="21"/>
                    </w:rPr>
                  </w:pPr>
                  <w:r>
                    <w:rPr>
                      <w:rFonts w:hint="eastAsia"/>
                      <w:color w:val="000000"/>
                      <w:szCs w:val="21"/>
                    </w:rPr>
                    <w:t>25</w:t>
                  </w:r>
                </w:p>
              </w:tc>
              <w:tc>
                <w:tcPr>
                  <w:tcW w:w="651" w:type="pct"/>
                  <w:vAlign w:val="center"/>
                </w:tcPr>
                <w:p w14:paraId="3F13C516">
                  <w:pPr>
                    <w:adjustRightInd w:val="0"/>
                    <w:snapToGrid w:val="0"/>
                    <w:jc w:val="center"/>
                    <w:rPr>
                      <w:color w:val="000000"/>
                      <w:szCs w:val="21"/>
                    </w:rPr>
                  </w:pPr>
                  <w:r>
                    <w:rPr>
                      <w:rFonts w:hint="eastAsia"/>
                      <w:color w:val="000000"/>
                      <w:szCs w:val="21"/>
                    </w:rPr>
                    <w:t>0.005</w:t>
                  </w:r>
                </w:p>
              </w:tc>
            </w:tr>
          </w:tbl>
          <w:p w14:paraId="11582072">
            <w:pPr>
              <w:adjustRightInd w:val="0"/>
              <w:snapToGrid w:val="0"/>
              <w:jc w:val="center"/>
              <w:rPr>
                <w:b/>
                <w:color w:val="000000"/>
                <w:szCs w:val="21"/>
              </w:rPr>
            </w:pPr>
          </w:p>
          <w:p w14:paraId="454F9A47">
            <w:pPr>
              <w:pStyle w:val="76"/>
              <w:ind w:firstLine="480"/>
              <w:rPr>
                <w:szCs w:val="21"/>
              </w:rPr>
            </w:pPr>
            <w:r>
              <w:rPr>
                <w:rFonts w:hint="eastAsia"/>
                <w:szCs w:val="21"/>
              </w:rPr>
              <w:t>（2）污水处理措施可行性分析</w:t>
            </w:r>
          </w:p>
          <w:p w14:paraId="31FB40AA">
            <w:pPr>
              <w:pStyle w:val="76"/>
              <w:ind w:firstLine="480"/>
              <w:rPr>
                <w:szCs w:val="21"/>
              </w:rPr>
            </w:pPr>
            <w:r>
              <w:rPr>
                <w:rFonts w:hint="eastAsia"/>
                <w:szCs w:val="21"/>
              </w:rPr>
              <w:t>本项目废水通过市政污水管网进入康巴什污水处理厂处理。康巴什污水处理厂2009年投入运行，2018年进行提标改造工程，设计污水处理量为3万m</w:t>
            </w:r>
            <w:r>
              <w:rPr>
                <w:rFonts w:hint="eastAsia"/>
                <w:szCs w:val="21"/>
                <w:vertAlign w:val="superscript"/>
              </w:rPr>
              <w:t>3</w:t>
            </w:r>
            <w:r>
              <w:rPr>
                <w:rFonts w:hint="eastAsia"/>
                <w:szCs w:val="21"/>
              </w:rPr>
              <w:t>/d，目前处理规模约为2.4万m</w:t>
            </w:r>
            <w:r>
              <w:rPr>
                <w:rFonts w:hint="eastAsia"/>
                <w:szCs w:val="21"/>
                <w:vertAlign w:val="superscript"/>
              </w:rPr>
              <w:t>3</w:t>
            </w:r>
            <w:r>
              <w:rPr>
                <w:rFonts w:hint="eastAsia"/>
                <w:szCs w:val="21"/>
              </w:rPr>
              <w:t>/d，有较大的处理余量。康巴什污水处理厂于2008年10月8日通过内蒙古自治区环境保护厅环评审查，文号为内环审（表）[2008]268号。</w:t>
            </w:r>
            <w:r>
              <w:rPr>
                <w:rFonts w:hint="eastAsia"/>
                <w:szCs w:val="21"/>
                <w:lang w:eastAsia="zh-CN"/>
              </w:rPr>
              <w:t>污水处理厂</w:t>
            </w:r>
            <w:r>
              <w:rPr>
                <w:rFonts w:hint="eastAsia"/>
                <w:szCs w:val="21"/>
              </w:rPr>
              <w:t>2010年4月开始运行，2010年9月28日通过原鄂尔多斯市环境保护局环保验收，文号为鄂环察验[2010]25号。于2016年7月23日提标改造工程通过鄂尔多斯市康巴什新区环境保护局环评审查，文号为鄂康环评字[2016]8号。康巴什污水处理厂目前采用的处理工艺见下图：</w:t>
            </w:r>
          </w:p>
          <w:p w14:paraId="2F5F3DDB">
            <w:pPr>
              <w:pStyle w:val="76"/>
              <w:ind w:firstLine="0" w:firstLineChars="0"/>
              <w:rPr>
                <w:szCs w:val="21"/>
              </w:rPr>
            </w:pPr>
            <w:r>
              <w:rPr>
                <w:rFonts w:hint="eastAsia"/>
                <w:b/>
                <w:bCs/>
              </w:rPr>
              <w:drawing>
                <wp:inline distT="0" distB="0" distL="0" distR="0">
                  <wp:extent cx="5317490" cy="2226310"/>
                  <wp:effectExtent l="0" t="0" r="635" b="0"/>
                  <wp:docPr id="734874890" name="图片 73487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74890" name="图片 7348748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17545" cy="2226609"/>
                          </a:xfrm>
                          <a:prstGeom prst="rect">
                            <a:avLst/>
                          </a:prstGeom>
                          <a:noFill/>
                        </pic:spPr>
                      </pic:pic>
                    </a:graphicData>
                  </a:graphic>
                </wp:inline>
              </w:drawing>
            </w:r>
          </w:p>
          <w:p w14:paraId="1EA69FE2">
            <w:pPr>
              <w:pStyle w:val="76"/>
              <w:ind w:firstLine="0" w:firstLineChars="0"/>
              <w:jc w:val="center"/>
              <w:rPr>
                <w:b/>
                <w:bCs/>
                <w:sz w:val="21"/>
                <w:szCs w:val="18"/>
              </w:rPr>
            </w:pPr>
            <w:r>
              <w:rPr>
                <w:rFonts w:hint="eastAsia"/>
                <w:b/>
                <w:bCs/>
                <w:sz w:val="21"/>
                <w:szCs w:val="18"/>
              </w:rPr>
              <w:t>图4</w:t>
            </w:r>
            <w:r>
              <w:rPr>
                <w:b/>
                <w:bCs/>
                <w:sz w:val="21"/>
                <w:szCs w:val="18"/>
              </w:rPr>
              <w:t xml:space="preserve">-1 </w:t>
            </w:r>
            <w:r>
              <w:rPr>
                <w:rFonts w:hint="eastAsia"/>
                <w:b/>
                <w:bCs/>
                <w:sz w:val="21"/>
                <w:szCs w:val="18"/>
              </w:rPr>
              <w:t>康巴什污水处理厂工艺流程图</w:t>
            </w:r>
          </w:p>
          <w:p w14:paraId="475539AF">
            <w:pPr>
              <w:pStyle w:val="76"/>
              <w:ind w:firstLine="480"/>
              <w:rPr>
                <w:szCs w:val="21"/>
              </w:rPr>
            </w:pPr>
            <w:r>
              <w:rPr>
                <w:rFonts w:hint="eastAsia"/>
                <w:szCs w:val="21"/>
              </w:rPr>
              <w:t>本项目进入康巴什污水处理厂的废水经过预处理后水质满足《污水综合排放标准》（GB8978-1996）中三级标准，且废水排放量较小，对康巴什污水处理厂的处理工艺不会造成影响。</w:t>
            </w:r>
          </w:p>
          <w:p w14:paraId="27A1E5D6">
            <w:pPr>
              <w:pStyle w:val="76"/>
              <w:ind w:firstLine="480"/>
              <w:rPr>
                <w:szCs w:val="21"/>
              </w:rPr>
            </w:pPr>
            <w:r>
              <w:rPr>
                <w:rFonts w:hint="eastAsia"/>
                <w:szCs w:val="21"/>
              </w:rPr>
              <w:t>综上，本项目废水水质能够达到康巴什污水处理厂接管要求，项目废水经预处理达标后接入康巴什污水处理厂处理是可行的。</w:t>
            </w:r>
          </w:p>
          <w:p w14:paraId="2B1C4670">
            <w:pPr>
              <w:pStyle w:val="77"/>
              <w:rPr>
                <w:szCs w:val="21"/>
              </w:rPr>
            </w:pPr>
            <w:r>
              <w:rPr>
                <w:rFonts w:hint="eastAsia"/>
                <w:szCs w:val="21"/>
              </w:rPr>
              <w:t>3、噪声</w:t>
            </w:r>
          </w:p>
          <w:p w14:paraId="76C6F134">
            <w:pPr>
              <w:pStyle w:val="76"/>
              <w:ind w:firstLine="480"/>
            </w:pPr>
            <w:r>
              <w:rPr>
                <w:rFonts w:hint="eastAsia"/>
              </w:rPr>
              <w:t>（1）噪声源强分析</w:t>
            </w:r>
          </w:p>
          <w:p w14:paraId="492052C6">
            <w:pPr>
              <w:spacing w:line="360" w:lineRule="auto"/>
              <w:ind w:firstLine="480" w:firstLineChars="200"/>
              <w:rPr>
                <w:bCs/>
                <w:sz w:val="24"/>
              </w:rPr>
            </w:pPr>
            <w:r>
              <w:rPr>
                <w:rFonts w:hint="eastAsia"/>
                <w:bCs/>
                <w:sz w:val="24"/>
              </w:rPr>
              <w:t>本项目运营期主要噪声为实验设备运行和排风机的噪声，多数实验设备的噪声源较小，</w:t>
            </w:r>
            <w:r>
              <w:rPr>
                <w:bCs/>
                <w:sz w:val="24"/>
              </w:rPr>
              <w:t>主要噪声</w:t>
            </w:r>
            <w:r>
              <w:rPr>
                <w:rFonts w:hint="eastAsia"/>
                <w:bCs/>
                <w:sz w:val="24"/>
              </w:rPr>
              <w:t>污染源强</w:t>
            </w:r>
            <w:r>
              <w:rPr>
                <w:bCs/>
                <w:sz w:val="24"/>
              </w:rPr>
              <w:t>见下表。</w:t>
            </w:r>
          </w:p>
          <w:p w14:paraId="78144B92">
            <w:pPr>
              <w:ind w:firstLine="422" w:firstLineChars="200"/>
              <w:jc w:val="center"/>
              <w:rPr>
                <w:b/>
                <w:szCs w:val="21"/>
              </w:rPr>
            </w:pPr>
            <w:r>
              <w:rPr>
                <w:rFonts w:hint="eastAsia"/>
                <w:b/>
                <w:szCs w:val="21"/>
              </w:rPr>
              <w:t>表4</w:t>
            </w:r>
            <w:r>
              <w:rPr>
                <w:b/>
                <w:szCs w:val="21"/>
              </w:rPr>
              <w:t>-2 主要噪声源的噪声值</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660"/>
              <w:gridCol w:w="948"/>
              <w:gridCol w:w="996"/>
              <w:gridCol w:w="624"/>
              <w:gridCol w:w="1035"/>
              <w:gridCol w:w="1158"/>
              <w:gridCol w:w="494"/>
              <w:gridCol w:w="948"/>
            </w:tblGrid>
            <w:tr w14:paraId="1CF8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restart"/>
                  <w:vAlign w:val="center"/>
                </w:tcPr>
                <w:p w14:paraId="281314CB">
                  <w:pPr>
                    <w:jc w:val="center"/>
                    <w:rPr>
                      <w:b/>
                      <w:szCs w:val="21"/>
                    </w:rPr>
                  </w:pPr>
                  <w:r>
                    <w:rPr>
                      <w:rFonts w:hint="eastAsia"/>
                      <w:b/>
                      <w:szCs w:val="21"/>
                    </w:rPr>
                    <w:t>序号</w:t>
                  </w:r>
                </w:p>
              </w:tc>
              <w:tc>
                <w:tcPr>
                  <w:tcW w:w="982" w:type="pct"/>
                  <w:vMerge w:val="restart"/>
                  <w:vAlign w:val="center"/>
                </w:tcPr>
                <w:p w14:paraId="7F117846">
                  <w:pPr>
                    <w:jc w:val="center"/>
                    <w:rPr>
                      <w:b/>
                      <w:szCs w:val="21"/>
                    </w:rPr>
                  </w:pPr>
                  <w:r>
                    <w:rPr>
                      <w:rFonts w:hint="eastAsia"/>
                      <w:b/>
                      <w:szCs w:val="21"/>
                    </w:rPr>
                    <w:t>声源名称</w:t>
                  </w:r>
                </w:p>
              </w:tc>
              <w:tc>
                <w:tcPr>
                  <w:tcW w:w="1519" w:type="pct"/>
                  <w:gridSpan w:val="3"/>
                  <w:vAlign w:val="center"/>
                </w:tcPr>
                <w:p w14:paraId="6CE50FCF">
                  <w:pPr>
                    <w:jc w:val="center"/>
                    <w:rPr>
                      <w:b/>
                      <w:szCs w:val="21"/>
                    </w:rPr>
                  </w:pPr>
                  <w:r>
                    <w:rPr>
                      <w:rFonts w:hint="eastAsia"/>
                      <w:b/>
                      <w:szCs w:val="21"/>
                    </w:rPr>
                    <w:t>空间相对位置/m</w:t>
                  </w:r>
                </w:p>
              </w:tc>
              <w:tc>
                <w:tcPr>
                  <w:tcW w:w="612" w:type="pct"/>
                  <w:vAlign w:val="center"/>
                </w:tcPr>
                <w:p w14:paraId="4E2BAB87">
                  <w:pPr>
                    <w:jc w:val="center"/>
                    <w:rPr>
                      <w:b/>
                      <w:szCs w:val="21"/>
                    </w:rPr>
                  </w:pPr>
                  <w:r>
                    <w:rPr>
                      <w:rFonts w:hint="eastAsia"/>
                      <w:b/>
                      <w:szCs w:val="21"/>
                    </w:rPr>
                    <w:t>声源源强</w:t>
                  </w:r>
                </w:p>
              </w:tc>
              <w:tc>
                <w:tcPr>
                  <w:tcW w:w="685" w:type="pct"/>
                  <w:vMerge w:val="restart"/>
                  <w:vAlign w:val="center"/>
                </w:tcPr>
                <w:p w14:paraId="7C604423">
                  <w:pPr>
                    <w:jc w:val="center"/>
                    <w:rPr>
                      <w:b/>
                      <w:szCs w:val="21"/>
                    </w:rPr>
                  </w:pPr>
                  <w:r>
                    <w:rPr>
                      <w:rFonts w:hint="eastAsia"/>
                      <w:b/>
                      <w:szCs w:val="21"/>
                    </w:rPr>
                    <w:t>声源控制措施</w:t>
                  </w:r>
                </w:p>
              </w:tc>
              <w:tc>
                <w:tcPr>
                  <w:tcW w:w="292" w:type="pct"/>
                  <w:vMerge w:val="restart"/>
                  <w:vAlign w:val="center"/>
                </w:tcPr>
                <w:p w14:paraId="1422FAB6">
                  <w:pPr>
                    <w:jc w:val="center"/>
                    <w:rPr>
                      <w:b/>
                      <w:szCs w:val="21"/>
                    </w:rPr>
                  </w:pPr>
                  <w:r>
                    <w:rPr>
                      <w:rFonts w:hint="eastAsia"/>
                      <w:b/>
                      <w:szCs w:val="21"/>
                    </w:rPr>
                    <w:t>运行时段</w:t>
                  </w:r>
                </w:p>
              </w:tc>
              <w:tc>
                <w:tcPr>
                  <w:tcW w:w="561" w:type="pct"/>
                  <w:vMerge w:val="restart"/>
                  <w:vAlign w:val="center"/>
                </w:tcPr>
                <w:p w14:paraId="2582AD24">
                  <w:pPr>
                    <w:jc w:val="center"/>
                    <w:rPr>
                      <w:b/>
                      <w:szCs w:val="21"/>
                    </w:rPr>
                  </w:pPr>
                  <w:r>
                    <w:rPr>
                      <w:rFonts w:hint="eastAsia"/>
                      <w:b/>
                      <w:szCs w:val="21"/>
                    </w:rPr>
                    <w:t>空气声计权隔声量/dB(A)</w:t>
                  </w:r>
                </w:p>
              </w:tc>
            </w:tr>
            <w:tr w14:paraId="6786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4A68108B">
                  <w:pPr>
                    <w:jc w:val="center"/>
                    <w:rPr>
                      <w:b/>
                      <w:szCs w:val="21"/>
                    </w:rPr>
                  </w:pPr>
                </w:p>
              </w:tc>
              <w:tc>
                <w:tcPr>
                  <w:tcW w:w="982" w:type="pct"/>
                  <w:vMerge w:val="continue"/>
                  <w:vAlign w:val="center"/>
                </w:tcPr>
                <w:p w14:paraId="154F7499">
                  <w:pPr>
                    <w:jc w:val="center"/>
                    <w:rPr>
                      <w:b/>
                      <w:szCs w:val="21"/>
                    </w:rPr>
                  </w:pPr>
                </w:p>
              </w:tc>
              <w:tc>
                <w:tcPr>
                  <w:tcW w:w="561" w:type="pct"/>
                  <w:vAlign w:val="center"/>
                </w:tcPr>
                <w:p w14:paraId="31EC769D">
                  <w:pPr>
                    <w:jc w:val="center"/>
                    <w:rPr>
                      <w:b/>
                      <w:szCs w:val="21"/>
                    </w:rPr>
                  </w:pPr>
                  <w:r>
                    <w:rPr>
                      <w:rFonts w:hint="eastAsia"/>
                      <w:b/>
                      <w:szCs w:val="21"/>
                    </w:rPr>
                    <w:t>X</w:t>
                  </w:r>
                </w:p>
              </w:tc>
              <w:tc>
                <w:tcPr>
                  <w:tcW w:w="589" w:type="pct"/>
                  <w:vAlign w:val="center"/>
                </w:tcPr>
                <w:p w14:paraId="578F28EB">
                  <w:pPr>
                    <w:jc w:val="center"/>
                    <w:rPr>
                      <w:b/>
                      <w:szCs w:val="21"/>
                    </w:rPr>
                  </w:pPr>
                  <w:r>
                    <w:rPr>
                      <w:rFonts w:hint="eastAsia"/>
                      <w:b/>
                      <w:szCs w:val="21"/>
                    </w:rPr>
                    <w:t>Y</w:t>
                  </w:r>
                </w:p>
              </w:tc>
              <w:tc>
                <w:tcPr>
                  <w:tcW w:w="369" w:type="pct"/>
                  <w:vAlign w:val="center"/>
                </w:tcPr>
                <w:p w14:paraId="2A21AEF1">
                  <w:pPr>
                    <w:jc w:val="center"/>
                    <w:rPr>
                      <w:b/>
                      <w:szCs w:val="21"/>
                    </w:rPr>
                  </w:pPr>
                  <w:r>
                    <w:rPr>
                      <w:rFonts w:hint="eastAsia"/>
                      <w:b/>
                      <w:szCs w:val="21"/>
                    </w:rPr>
                    <w:t>Z</w:t>
                  </w:r>
                </w:p>
              </w:tc>
              <w:tc>
                <w:tcPr>
                  <w:tcW w:w="612" w:type="pct"/>
                  <w:vAlign w:val="center"/>
                </w:tcPr>
                <w:p w14:paraId="0160AA92">
                  <w:pPr>
                    <w:jc w:val="center"/>
                    <w:rPr>
                      <w:b/>
                      <w:szCs w:val="21"/>
                    </w:rPr>
                  </w:pPr>
                  <w:r>
                    <w:rPr>
                      <w:rFonts w:hint="eastAsia"/>
                      <w:b/>
                      <w:szCs w:val="21"/>
                    </w:rPr>
                    <w:t>声功率级/dB(A)</w:t>
                  </w:r>
                </w:p>
              </w:tc>
              <w:tc>
                <w:tcPr>
                  <w:tcW w:w="685" w:type="pct"/>
                  <w:vMerge w:val="continue"/>
                  <w:vAlign w:val="center"/>
                </w:tcPr>
                <w:p w14:paraId="747C4474">
                  <w:pPr>
                    <w:jc w:val="center"/>
                    <w:rPr>
                      <w:b/>
                      <w:szCs w:val="21"/>
                    </w:rPr>
                  </w:pPr>
                </w:p>
              </w:tc>
              <w:tc>
                <w:tcPr>
                  <w:tcW w:w="292" w:type="pct"/>
                  <w:vMerge w:val="continue"/>
                  <w:vAlign w:val="center"/>
                </w:tcPr>
                <w:p w14:paraId="5E5B16CB">
                  <w:pPr>
                    <w:jc w:val="center"/>
                    <w:rPr>
                      <w:b/>
                      <w:szCs w:val="21"/>
                    </w:rPr>
                  </w:pPr>
                </w:p>
              </w:tc>
              <w:tc>
                <w:tcPr>
                  <w:tcW w:w="561" w:type="pct"/>
                  <w:vMerge w:val="continue"/>
                  <w:vAlign w:val="center"/>
                </w:tcPr>
                <w:p w14:paraId="24EA5478">
                  <w:pPr>
                    <w:jc w:val="center"/>
                    <w:rPr>
                      <w:b/>
                      <w:szCs w:val="21"/>
                    </w:rPr>
                  </w:pPr>
                </w:p>
              </w:tc>
            </w:tr>
            <w:tr w14:paraId="512C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040D66A2">
                  <w:pPr>
                    <w:jc w:val="center"/>
                    <w:rPr>
                      <w:bCs/>
                      <w:szCs w:val="21"/>
                    </w:rPr>
                  </w:pPr>
                  <w:r>
                    <w:rPr>
                      <w:rFonts w:hint="eastAsia"/>
                      <w:bCs/>
                      <w:szCs w:val="21"/>
                    </w:rPr>
                    <w:t>1</w:t>
                  </w:r>
                </w:p>
              </w:tc>
              <w:tc>
                <w:tcPr>
                  <w:tcW w:w="982" w:type="pct"/>
                  <w:vAlign w:val="center"/>
                </w:tcPr>
                <w:p w14:paraId="11270290">
                  <w:pPr>
                    <w:jc w:val="center"/>
                    <w:rPr>
                      <w:bCs/>
                      <w:szCs w:val="21"/>
                    </w:rPr>
                  </w:pPr>
                  <w:r>
                    <w:rPr>
                      <w:rFonts w:hint="eastAsia"/>
                      <w:bCs/>
                      <w:color w:val="000000"/>
                      <w:kern w:val="0"/>
                      <w:sz w:val="20"/>
                      <w:szCs w:val="20"/>
                    </w:rPr>
                    <w:t>切割机</w:t>
                  </w:r>
                </w:p>
              </w:tc>
              <w:tc>
                <w:tcPr>
                  <w:tcW w:w="561" w:type="pct"/>
                  <w:vAlign w:val="center"/>
                </w:tcPr>
                <w:p w14:paraId="4E1E413F">
                  <w:pPr>
                    <w:jc w:val="center"/>
                    <w:rPr>
                      <w:bCs/>
                      <w:szCs w:val="21"/>
                    </w:rPr>
                  </w:pPr>
                  <w:r>
                    <w:rPr>
                      <w:rFonts w:hint="eastAsia"/>
                      <w:bCs/>
                      <w:szCs w:val="21"/>
                    </w:rPr>
                    <w:t>34.93</w:t>
                  </w:r>
                </w:p>
              </w:tc>
              <w:tc>
                <w:tcPr>
                  <w:tcW w:w="589" w:type="pct"/>
                  <w:vAlign w:val="center"/>
                </w:tcPr>
                <w:p w14:paraId="79B9E5A0">
                  <w:pPr>
                    <w:jc w:val="center"/>
                    <w:rPr>
                      <w:bCs/>
                      <w:szCs w:val="21"/>
                    </w:rPr>
                  </w:pPr>
                  <w:r>
                    <w:rPr>
                      <w:rFonts w:hint="eastAsia"/>
                      <w:bCs/>
                      <w:szCs w:val="21"/>
                    </w:rPr>
                    <w:t>25.51</w:t>
                  </w:r>
                </w:p>
              </w:tc>
              <w:tc>
                <w:tcPr>
                  <w:tcW w:w="369" w:type="pct"/>
                  <w:vAlign w:val="center"/>
                </w:tcPr>
                <w:p w14:paraId="6BAB1FDC">
                  <w:pPr>
                    <w:jc w:val="center"/>
                    <w:rPr>
                      <w:bCs/>
                      <w:szCs w:val="21"/>
                    </w:rPr>
                  </w:pPr>
                  <w:r>
                    <w:rPr>
                      <w:rFonts w:hint="eastAsia"/>
                      <w:bCs/>
                      <w:szCs w:val="21"/>
                    </w:rPr>
                    <w:t>-3</w:t>
                  </w:r>
                </w:p>
              </w:tc>
              <w:tc>
                <w:tcPr>
                  <w:tcW w:w="612" w:type="pct"/>
                  <w:vAlign w:val="center"/>
                </w:tcPr>
                <w:p w14:paraId="4DD30C5F">
                  <w:pPr>
                    <w:jc w:val="center"/>
                    <w:rPr>
                      <w:bCs/>
                      <w:szCs w:val="21"/>
                    </w:rPr>
                  </w:pPr>
                  <w:r>
                    <w:rPr>
                      <w:rFonts w:hint="eastAsia"/>
                      <w:bCs/>
                      <w:szCs w:val="21"/>
                    </w:rPr>
                    <w:t>65</w:t>
                  </w:r>
                </w:p>
              </w:tc>
              <w:tc>
                <w:tcPr>
                  <w:tcW w:w="685" w:type="pct"/>
                  <w:vMerge w:val="restart"/>
                  <w:vAlign w:val="center"/>
                </w:tcPr>
                <w:p w14:paraId="348E78DF">
                  <w:pPr>
                    <w:jc w:val="center"/>
                    <w:rPr>
                      <w:bCs/>
                      <w:szCs w:val="21"/>
                    </w:rPr>
                  </w:pPr>
                  <w:r>
                    <w:rPr>
                      <w:rFonts w:hint="eastAsia"/>
                      <w:bCs/>
                      <w:szCs w:val="21"/>
                    </w:rPr>
                    <w:t>选用低噪声设备</w:t>
                  </w:r>
                  <w:r>
                    <w:rPr>
                      <w:bCs/>
                      <w:szCs w:val="21"/>
                    </w:rPr>
                    <w:t xml:space="preserve"> </w:t>
                  </w:r>
                </w:p>
              </w:tc>
              <w:tc>
                <w:tcPr>
                  <w:tcW w:w="292" w:type="pct"/>
                  <w:vMerge w:val="restart"/>
                  <w:vAlign w:val="center"/>
                </w:tcPr>
                <w:p w14:paraId="58BFCD1D">
                  <w:pPr>
                    <w:jc w:val="center"/>
                    <w:rPr>
                      <w:bCs/>
                      <w:szCs w:val="21"/>
                    </w:rPr>
                  </w:pPr>
                  <w:r>
                    <w:rPr>
                      <w:rFonts w:hint="eastAsia"/>
                      <w:bCs/>
                      <w:szCs w:val="21"/>
                    </w:rPr>
                    <w:t>昼间</w:t>
                  </w:r>
                </w:p>
              </w:tc>
              <w:tc>
                <w:tcPr>
                  <w:tcW w:w="561" w:type="pct"/>
                  <w:vMerge w:val="restart"/>
                  <w:vAlign w:val="center"/>
                </w:tcPr>
                <w:p w14:paraId="2ECF8171">
                  <w:pPr>
                    <w:jc w:val="center"/>
                    <w:rPr>
                      <w:bCs/>
                      <w:szCs w:val="21"/>
                    </w:rPr>
                  </w:pPr>
                  <w:r>
                    <w:rPr>
                      <w:rFonts w:hint="eastAsia"/>
                      <w:bCs/>
                      <w:szCs w:val="21"/>
                    </w:rPr>
                    <w:t>4</w:t>
                  </w:r>
                  <w:r>
                    <w:rPr>
                      <w:bCs/>
                      <w:szCs w:val="21"/>
                    </w:rPr>
                    <w:t>9</w:t>
                  </w:r>
                </w:p>
              </w:tc>
            </w:tr>
            <w:tr w14:paraId="0837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45CEB572">
                  <w:pPr>
                    <w:jc w:val="center"/>
                    <w:rPr>
                      <w:bCs/>
                      <w:szCs w:val="21"/>
                    </w:rPr>
                  </w:pPr>
                  <w:r>
                    <w:rPr>
                      <w:rFonts w:hint="eastAsia"/>
                      <w:bCs/>
                      <w:szCs w:val="21"/>
                    </w:rPr>
                    <w:t>2</w:t>
                  </w:r>
                </w:p>
              </w:tc>
              <w:tc>
                <w:tcPr>
                  <w:tcW w:w="982" w:type="pct"/>
                  <w:vAlign w:val="center"/>
                </w:tcPr>
                <w:p w14:paraId="2613A936">
                  <w:pPr>
                    <w:jc w:val="center"/>
                    <w:rPr>
                      <w:bCs/>
                      <w:color w:val="000000"/>
                      <w:kern w:val="0"/>
                      <w:sz w:val="20"/>
                      <w:szCs w:val="20"/>
                    </w:rPr>
                  </w:pPr>
                  <w:r>
                    <w:rPr>
                      <w:rFonts w:hint="eastAsia"/>
                      <w:bCs/>
                      <w:color w:val="000000"/>
                      <w:kern w:val="0"/>
                      <w:sz w:val="20"/>
                      <w:szCs w:val="20"/>
                    </w:rPr>
                    <w:t>抛光机</w:t>
                  </w:r>
                </w:p>
              </w:tc>
              <w:tc>
                <w:tcPr>
                  <w:tcW w:w="561" w:type="pct"/>
                  <w:vAlign w:val="center"/>
                </w:tcPr>
                <w:p w14:paraId="0C0E0B31">
                  <w:pPr>
                    <w:jc w:val="center"/>
                    <w:rPr>
                      <w:bCs/>
                      <w:szCs w:val="21"/>
                    </w:rPr>
                  </w:pPr>
                  <w:r>
                    <w:rPr>
                      <w:rFonts w:hint="eastAsia"/>
                      <w:bCs/>
                      <w:szCs w:val="21"/>
                    </w:rPr>
                    <w:t>3</w:t>
                  </w:r>
                  <w:r>
                    <w:rPr>
                      <w:bCs/>
                      <w:szCs w:val="21"/>
                    </w:rPr>
                    <w:t>7.13</w:t>
                  </w:r>
                </w:p>
              </w:tc>
              <w:tc>
                <w:tcPr>
                  <w:tcW w:w="589" w:type="pct"/>
                  <w:vAlign w:val="center"/>
                </w:tcPr>
                <w:p w14:paraId="11D001D0">
                  <w:pPr>
                    <w:jc w:val="center"/>
                    <w:rPr>
                      <w:bCs/>
                      <w:szCs w:val="21"/>
                    </w:rPr>
                  </w:pPr>
                  <w:r>
                    <w:rPr>
                      <w:rFonts w:hint="eastAsia"/>
                      <w:bCs/>
                      <w:szCs w:val="21"/>
                    </w:rPr>
                    <w:t>2</w:t>
                  </w:r>
                  <w:r>
                    <w:rPr>
                      <w:bCs/>
                      <w:szCs w:val="21"/>
                    </w:rPr>
                    <w:t>5.51</w:t>
                  </w:r>
                </w:p>
              </w:tc>
              <w:tc>
                <w:tcPr>
                  <w:tcW w:w="369" w:type="pct"/>
                  <w:vAlign w:val="center"/>
                </w:tcPr>
                <w:p w14:paraId="73E24613">
                  <w:pPr>
                    <w:jc w:val="center"/>
                    <w:rPr>
                      <w:bCs/>
                      <w:szCs w:val="21"/>
                    </w:rPr>
                  </w:pPr>
                  <w:r>
                    <w:rPr>
                      <w:rFonts w:hint="eastAsia"/>
                      <w:bCs/>
                      <w:szCs w:val="21"/>
                    </w:rPr>
                    <w:t>-</w:t>
                  </w:r>
                  <w:r>
                    <w:rPr>
                      <w:bCs/>
                      <w:szCs w:val="21"/>
                    </w:rPr>
                    <w:t>3</w:t>
                  </w:r>
                </w:p>
              </w:tc>
              <w:tc>
                <w:tcPr>
                  <w:tcW w:w="612" w:type="pct"/>
                  <w:vAlign w:val="center"/>
                </w:tcPr>
                <w:p w14:paraId="0F1A8014">
                  <w:pPr>
                    <w:jc w:val="center"/>
                    <w:rPr>
                      <w:bCs/>
                      <w:szCs w:val="21"/>
                    </w:rPr>
                  </w:pPr>
                  <w:r>
                    <w:rPr>
                      <w:rFonts w:hint="eastAsia"/>
                      <w:bCs/>
                      <w:szCs w:val="21"/>
                    </w:rPr>
                    <w:t>65</w:t>
                  </w:r>
                </w:p>
              </w:tc>
              <w:tc>
                <w:tcPr>
                  <w:tcW w:w="685" w:type="pct"/>
                  <w:vMerge w:val="continue"/>
                  <w:vAlign w:val="center"/>
                </w:tcPr>
                <w:p w14:paraId="06B032F8">
                  <w:pPr>
                    <w:jc w:val="center"/>
                    <w:rPr>
                      <w:bCs/>
                      <w:szCs w:val="21"/>
                    </w:rPr>
                  </w:pPr>
                </w:p>
              </w:tc>
              <w:tc>
                <w:tcPr>
                  <w:tcW w:w="292" w:type="pct"/>
                  <w:vMerge w:val="continue"/>
                  <w:vAlign w:val="center"/>
                </w:tcPr>
                <w:p w14:paraId="30A0144F">
                  <w:pPr>
                    <w:jc w:val="center"/>
                    <w:rPr>
                      <w:bCs/>
                      <w:szCs w:val="21"/>
                    </w:rPr>
                  </w:pPr>
                </w:p>
              </w:tc>
              <w:tc>
                <w:tcPr>
                  <w:tcW w:w="561" w:type="pct"/>
                  <w:vMerge w:val="continue"/>
                </w:tcPr>
                <w:p w14:paraId="0DB9DF74">
                  <w:pPr>
                    <w:jc w:val="center"/>
                    <w:rPr>
                      <w:bCs/>
                      <w:szCs w:val="21"/>
                    </w:rPr>
                  </w:pPr>
                </w:p>
              </w:tc>
            </w:tr>
            <w:tr w14:paraId="633B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60A466C8">
                  <w:pPr>
                    <w:jc w:val="center"/>
                    <w:rPr>
                      <w:bCs/>
                      <w:szCs w:val="21"/>
                    </w:rPr>
                  </w:pPr>
                  <w:r>
                    <w:rPr>
                      <w:rFonts w:hint="eastAsia"/>
                      <w:bCs/>
                      <w:szCs w:val="21"/>
                    </w:rPr>
                    <w:t>3</w:t>
                  </w:r>
                </w:p>
              </w:tc>
              <w:tc>
                <w:tcPr>
                  <w:tcW w:w="982" w:type="pct"/>
                  <w:vAlign w:val="center"/>
                </w:tcPr>
                <w:p w14:paraId="1E07DEED">
                  <w:pPr>
                    <w:jc w:val="center"/>
                    <w:rPr>
                      <w:bCs/>
                      <w:color w:val="000000"/>
                      <w:kern w:val="0"/>
                      <w:sz w:val="20"/>
                      <w:szCs w:val="20"/>
                    </w:rPr>
                  </w:pPr>
                  <w:r>
                    <w:rPr>
                      <w:rFonts w:hint="eastAsia"/>
                      <w:bCs/>
                      <w:color w:val="000000"/>
                      <w:kern w:val="0"/>
                      <w:sz w:val="20"/>
                      <w:szCs w:val="20"/>
                    </w:rPr>
                    <w:t>抛光机</w:t>
                  </w:r>
                </w:p>
              </w:tc>
              <w:tc>
                <w:tcPr>
                  <w:tcW w:w="561" w:type="pct"/>
                  <w:vAlign w:val="center"/>
                </w:tcPr>
                <w:p w14:paraId="28BBE3E3">
                  <w:pPr>
                    <w:jc w:val="center"/>
                    <w:rPr>
                      <w:bCs/>
                      <w:szCs w:val="21"/>
                    </w:rPr>
                  </w:pPr>
                  <w:r>
                    <w:rPr>
                      <w:rFonts w:hint="eastAsia"/>
                      <w:bCs/>
                      <w:szCs w:val="21"/>
                    </w:rPr>
                    <w:t>3</w:t>
                  </w:r>
                  <w:r>
                    <w:rPr>
                      <w:bCs/>
                      <w:szCs w:val="21"/>
                    </w:rPr>
                    <w:t>3.05</w:t>
                  </w:r>
                </w:p>
              </w:tc>
              <w:tc>
                <w:tcPr>
                  <w:tcW w:w="589" w:type="pct"/>
                  <w:vAlign w:val="center"/>
                </w:tcPr>
                <w:p w14:paraId="4B2241D2">
                  <w:pPr>
                    <w:jc w:val="center"/>
                    <w:rPr>
                      <w:bCs/>
                      <w:szCs w:val="21"/>
                    </w:rPr>
                  </w:pPr>
                  <w:r>
                    <w:rPr>
                      <w:rFonts w:hint="eastAsia"/>
                      <w:bCs/>
                      <w:szCs w:val="21"/>
                    </w:rPr>
                    <w:t>2</w:t>
                  </w:r>
                  <w:r>
                    <w:rPr>
                      <w:bCs/>
                      <w:szCs w:val="21"/>
                    </w:rPr>
                    <w:t>5.79</w:t>
                  </w:r>
                </w:p>
              </w:tc>
              <w:tc>
                <w:tcPr>
                  <w:tcW w:w="369" w:type="pct"/>
                  <w:vAlign w:val="center"/>
                </w:tcPr>
                <w:p w14:paraId="7C4404A1">
                  <w:pPr>
                    <w:jc w:val="center"/>
                    <w:rPr>
                      <w:bCs/>
                      <w:szCs w:val="21"/>
                    </w:rPr>
                  </w:pPr>
                  <w:r>
                    <w:rPr>
                      <w:rFonts w:hint="eastAsia"/>
                      <w:bCs/>
                      <w:szCs w:val="21"/>
                    </w:rPr>
                    <w:t>-</w:t>
                  </w:r>
                  <w:r>
                    <w:rPr>
                      <w:bCs/>
                      <w:szCs w:val="21"/>
                    </w:rPr>
                    <w:t>3</w:t>
                  </w:r>
                </w:p>
              </w:tc>
              <w:tc>
                <w:tcPr>
                  <w:tcW w:w="612" w:type="pct"/>
                  <w:vAlign w:val="center"/>
                </w:tcPr>
                <w:p w14:paraId="3E46617B">
                  <w:pPr>
                    <w:jc w:val="center"/>
                    <w:rPr>
                      <w:bCs/>
                      <w:szCs w:val="21"/>
                    </w:rPr>
                  </w:pPr>
                  <w:r>
                    <w:rPr>
                      <w:rFonts w:hint="eastAsia"/>
                      <w:bCs/>
                      <w:szCs w:val="21"/>
                    </w:rPr>
                    <w:t>65</w:t>
                  </w:r>
                </w:p>
              </w:tc>
              <w:tc>
                <w:tcPr>
                  <w:tcW w:w="685" w:type="pct"/>
                  <w:vMerge w:val="continue"/>
                  <w:vAlign w:val="center"/>
                </w:tcPr>
                <w:p w14:paraId="2D167950">
                  <w:pPr>
                    <w:jc w:val="center"/>
                    <w:rPr>
                      <w:bCs/>
                      <w:szCs w:val="21"/>
                    </w:rPr>
                  </w:pPr>
                </w:p>
              </w:tc>
              <w:tc>
                <w:tcPr>
                  <w:tcW w:w="292" w:type="pct"/>
                  <w:vMerge w:val="continue"/>
                  <w:vAlign w:val="center"/>
                </w:tcPr>
                <w:p w14:paraId="5238AC6E">
                  <w:pPr>
                    <w:jc w:val="center"/>
                    <w:rPr>
                      <w:bCs/>
                      <w:szCs w:val="21"/>
                    </w:rPr>
                  </w:pPr>
                </w:p>
              </w:tc>
              <w:tc>
                <w:tcPr>
                  <w:tcW w:w="561" w:type="pct"/>
                  <w:vMerge w:val="continue"/>
                </w:tcPr>
                <w:p w14:paraId="4D83F9EA">
                  <w:pPr>
                    <w:jc w:val="center"/>
                    <w:rPr>
                      <w:bCs/>
                      <w:szCs w:val="21"/>
                    </w:rPr>
                  </w:pPr>
                </w:p>
              </w:tc>
            </w:tr>
            <w:tr w14:paraId="7AAA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271E8634">
                  <w:pPr>
                    <w:jc w:val="center"/>
                    <w:rPr>
                      <w:bCs/>
                      <w:szCs w:val="21"/>
                    </w:rPr>
                  </w:pPr>
                  <w:r>
                    <w:rPr>
                      <w:rFonts w:hint="eastAsia"/>
                      <w:bCs/>
                      <w:szCs w:val="21"/>
                    </w:rPr>
                    <w:t>4</w:t>
                  </w:r>
                </w:p>
              </w:tc>
              <w:tc>
                <w:tcPr>
                  <w:tcW w:w="982" w:type="pct"/>
                  <w:vAlign w:val="center"/>
                </w:tcPr>
                <w:p w14:paraId="590F46AA">
                  <w:pPr>
                    <w:jc w:val="center"/>
                    <w:rPr>
                      <w:bCs/>
                      <w:color w:val="000000"/>
                      <w:kern w:val="0"/>
                      <w:sz w:val="20"/>
                      <w:szCs w:val="20"/>
                    </w:rPr>
                  </w:pPr>
                  <w:r>
                    <w:rPr>
                      <w:rFonts w:hint="eastAsia"/>
                      <w:bCs/>
                      <w:color w:val="000000"/>
                      <w:kern w:val="0"/>
                      <w:sz w:val="20"/>
                      <w:szCs w:val="20"/>
                    </w:rPr>
                    <w:t>CO</w:t>
                  </w:r>
                  <w:r>
                    <w:rPr>
                      <w:rFonts w:hint="eastAsia"/>
                      <w:bCs/>
                      <w:color w:val="000000"/>
                      <w:kern w:val="0"/>
                      <w:sz w:val="20"/>
                      <w:szCs w:val="20"/>
                      <w:vertAlign w:val="subscript"/>
                    </w:rPr>
                    <w:t>2</w:t>
                  </w:r>
                  <w:r>
                    <w:rPr>
                      <w:rFonts w:hint="eastAsia"/>
                      <w:bCs/>
                      <w:color w:val="000000"/>
                      <w:kern w:val="0"/>
                      <w:sz w:val="20"/>
                      <w:szCs w:val="20"/>
                    </w:rPr>
                    <w:t>捕集设备</w:t>
                  </w:r>
                </w:p>
              </w:tc>
              <w:tc>
                <w:tcPr>
                  <w:tcW w:w="561" w:type="pct"/>
                  <w:vAlign w:val="center"/>
                </w:tcPr>
                <w:p w14:paraId="192CF84E">
                  <w:pPr>
                    <w:jc w:val="center"/>
                    <w:rPr>
                      <w:bCs/>
                      <w:szCs w:val="21"/>
                    </w:rPr>
                  </w:pPr>
                  <w:r>
                    <w:rPr>
                      <w:rFonts w:hint="eastAsia"/>
                      <w:bCs/>
                      <w:szCs w:val="21"/>
                    </w:rPr>
                    <w:t>2</w:t>
                  </w:r>
                  <w:r>
                    <w:rPr>
                      <w:bCs/>
                      <w:szCs w:val="21"/>
                    </w:rPr>
                    <w:t>.75</w:t>
                  </w:r>
                </w:p>
              </w:tc>
              <w:tc>
                <w:tcPr>
                  <w:tcW w:w="589" w:type="pct"/>
                  <w:vAlign w:val="center"/>
                </w:tcPr>
                <w:p w14:paraId="6D3E809B">
                  <w:pPr>
                    <w:jc w:val="center"/>
                    <w:rPr>
                      <w:bCs/>
                      <w:szCs w:val="21"/>
                    </w:rPr>
                  </w:pPr>
                  <w:r>
                    <w:rPr>
                      <w:rFonts w:hint="eastAsia"/>
                      <w:bCs/>
                      <w:szCs w:val="21"/>
                    </w:rPr>
                    <w:t>5</w:t>
                  </w:r>
                  <w:r>
                    <w:rPr>
                      <w:bCs/>
                      <w:szCs w:val="21"/>
                    </w:rPr>
                    <w:t>0.35</w:t>
                  </w:r>
                </w:p>
              </w:tc>
              <w:tc>
                <w:tcPr>
                  <w:tcW w:w="369" w:type="pct"/>
                  <w:vAlign w:val="center"/>
                </w:tcPr>
                <w:p w14:paraId="11D8A3F6">
                  <w:pPr>
                    <w:jc w:val="center"/>
                    <w:rPr>
                      <w:bCs/>
                      <w:szCs w:val="21"/>
                    </w:rPr>
                  </w:pPr>
                  <w:r>
                    <w:rPr>
                      <w:rFonts w:hint="eastAsia"/>
                      <w:bCs/>
                      <w:szCs w:val="21"/>
                    </w:rPr>
                    <w:t>-</w:t>
                  </w:r>
                  <w:r>
                    <w:rPr>
                      <w:bCs/>
                      <w:szCs w:val="21"/>
                    </w:rPr>
                    <w:t>3</w:t>
                  </w:r>
                </w:p>
              </w:tc>
              <w:tc>
                <w:tcPr>
                  <w:tcW w:w="612" w:type="pct"/>
                  <w:vAlign w:val="center"/>
                </w:tcPr>
                <w:p w14:paraId="3F16CC57">
                  <w:pPr>
                    <w:jc w:val="center"/>
                    <w:rPr>
                      <w:bCs/>
                      <w:szCs w:val="21"/>
                    </w:rPr>
                  </w:pPr>
                  <w:r>
                    <w:rPr>
                      <w:rFonts w:hint="eastAsia"/>
                      <w:bCs/>
                      <w:szCs w:val="21"/>
                    </w:rPr>
                    <w:t>65</w:t>
                  </w:r>
                </w:p>
              </w:tc>
              <w:tc>
                <w:tcPr>
                  <w:tcW w:w="685" w:type="pct"/>
                  <w:vMerge w:val="continue"/>
                  <w:vAlign w:val="center"/>
                </w:tcPr>
                <w:p w14:paraId="68A9F361">
                  <w:pPr>
                    <w:jc w:val="center"/>
                    <w:rPr>
                      <w:bCs/>
                      <w:szCs w:val="21"/>
                    </w:rPr>
                  </w:pPr>
                </w:p>
              </w:tc>
              <w:tc>
                <w:tcPr>
                  <w:tcW w:w="292" w:type="pct"/>
                  <w:vMerge w:val="continue"/>
                  <w:vAlign w:val="center"/>
                </w:tcPr>
                <w:p w14:paraId="5AEABEE8">
                  <w:pPr>
                    <w:jc w:val="center"/>
                    <w:rPr>
                      <w:bCs/>
                      <w:szCs w:val="21"/>
                    </w:rPr>
                  </w:pPr>
                </w:p>
              </w:tc>
              <w:tc>
                <w:tcPr>
                  <w:tcW w:w="561" w:type="pct"/>
                  <w:vMerge w:val="continue"/>
                </w:tcPr>
                <w:p w14:paraId="2CCA423A">
                  <w:pPr>
                    <w:jc w:val="center"/>
                    <w:rPr>
                      <w:bCs/>
                      <w:szCs w:val="21"/>
                    </w:rPr>
                  </w:pPr>
                </w:p>
              </w:tc>
            </w:tr>
            <w:tr w14:paraId="6F45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77478211">
                  <w:pPr>
                    <w:jc w:val="center"/>
                    <w:rPr>
                      <w:bCs/>
                      <w:szCs w:val="21"/>
                    </w:rPr>
                  </w:pPr>
                  <w:r>
                    <w:rPr>
                      <w:rFonts w:hint="eastAsia"/>
                      <w:bCs/>
                      <w:szCs w:val="21"/>
                    </w:rPr>
                    <w:t>5</w:t>
                  </w:r>
                </w:p>
              </w:tc>
              <w:tc>
                <w:tcPr>
                  <w:tcW w:w="982" w:type="pct"/>
                  <w:vAlign w:val="center"/>
                </w:tcPr>
                <w:p w14:paraId="0D55C5C8">
                  <w:pPr>
                    <w:jc w:val="center"/>
                    <w:rPr>
                      <w:bCs/>
                      <w:color w:val="000000"/>
                      <w:kern w:val="0"/>
                      <w:sz w:val="20"/>
                      <w:szCs w:val="20"/>
                    </w:rPr>
                  </w:pPr>
                  <w:r>
                    <w:rPr>
                      <w:rFonts w:hint="eastAsia"/>
                      <w:bCs/>
                      <w:color w:val="000000"/>
                      <w:kern w:val="0"/>
                      <w:sz w:val="20"/>
                      <w:szCs w:val="20"/>
                    </w:rPr>
                    <w:t>CO</w:t>
                  </w:r>
                  <w:r>
                    <w:rPr>
                      <w:rFonts w:hint="eastAsia"/>
                      <w:bCs/>
                      <w:color w:val="000000"/>
                      <w:kern w:val="0"/>
                      <w:sz w:val="20"/>
                      <w:szCs w:val="20"/>
                      <w:vertAlign w:val="subscript"/>
                    </w:rPr>
                    <w:t>2</w:t>
                  </w:r>
                  <w:r>
                    <w:rPr>
                      <w:rFonts w:hint="eastAsia"/>
                      <w:bCs/>
                      <w:color w:val="000000"/>
                      <w:kern w:val="0"/>
                      <w:sz w:val="20"/>
                      <w:szCs w:val="20"/>
                    </w:rPr>
                    <w:t>矿化设备</w:t>
                  </w:r>
                </w:p>
              </w:tc>
              <w:tc>
                <w:tcPr>
                  <w:tcW w:w="561" w:type="pct"/>
                  <w:vAlign w:val="center"/>
                </w:tcPr>
                <w:p w14:paraId="16D17CC8">
                  <w:pPr>
                    <w:jc w:val="center"/>
                    <w:rPr>
                      <w:bCs/>
                      <w:szCs w:val="21"/>
                    </w:rPr>
                  </w:pPr>
                  <w:r>
                    <w:rPr>
                      <w:rFonts w:hint="eastAsia"/>
                      <w:bCs/>
                      <w:szCs w:val="21"/>
                    </w:rPr>
                    <w:t>9</w:t>
                  </w:r>
                  <w:r>
                    <w:rPr>
                      <w:bCs/>
                      <w:szCs w:val="21"/>
                    </w:rPr>
                    <w:t>.59</w:t>
                  </w:r>
                </w:p>
              </w:tc>
              <w:tc>
                <w:tcPr>
                  <w:tcW w:w="589" w:type="pct"/>
                  <w:vAlign w:val="center"/>
                </w:tcPr>
                <w:p w14:paraId="7DACCBC2">
                  <w:pPr>
                    <w:jc w:val="center"/>
                    <w:rPr>
                      <w:bCs/>
                      <w:szCs w:val="21"/>
                    </w:rPr>
                  </w:pPr>
                  <w:r>
                    <w:rPr>
                      <w:rFonts w:hint="eastAsia"/>
                      <w:bCs/>
                      <w:szCs w:val="21"/>
                    </w:rPr>
                    <w:t>5</w:t>
                  </w:r>
                  <w:r>
                    <w:rPr>
                      <w:bCs/>
                      <w:szCs w:val="21"/>
                    </w:rPr>
                    <w:t>0.16</w:t>
                  </w:r>
                </w:p>
              </w:tc>
              <w:tc>
                <w:tcPr>
                  <w:tcW w:w="369" w:type="pct"/>
                  <w:vAlign w:val="center"/>
                </w:tcPr>
                <w:p w14:paraId="6911E023">
                  <w:pPr>
                    <w:jc w:val="center"/>
                    <w:rPr>
                      <w:bCs/>
                      <w:szCs w:val="21"/>
                    </w:rPr>
                  </w:pPr>
                  <w:r>
                    <w:rPr>
                      <w:rFonts w:hint="eastAsia"/>
                      <w:bCs/>
                      <w:szCs w:val="21"/>
                    </w:rPr>
                    <w:t>-</w:t>
                  </w:r>
                  <w:r>
                    <w:rPr>
                      <w:bCs/>
                      <w:szCs w:val="21"/>
                    </w:rPr>
                    <w:t>3</w:t>
                  </w:r>
                </w:p>
              </w:tc>
              <w:tc>
                <w:tcPr>
                  <w:tcW w:w="612" w:type="pct"/>
                  <w:vAlign w:val="center"/>
                </w:tcPr>
                <w:p w14:paraId="6DD098EC">
                  <w:pPr>
                    <w:jc w:val="center"/>
                    <w:rPr>
                      <w:bCs/>
                      <w:szCs w:val="21"/>
                    </w:rPr>
                  </w:pPr>
                  <w:r>
                    <w:rPr>
                      <w:rFonts w:hint="eastAsia"/>
                      <w:bCs/>
                      <w:szCs w:val="21"/>
                    </w:rPr>
                    <w:t>65</w:t>
                  </w:r>
                </w:p>
              </w:tc>
              <w:tc>
                <w:tcPr>
                  <w:tcW w:w="685" w:type="pct"/>
                  <w:vMerge w:val="continue"/>
                  <w:vAlign w:val="center"/>
                </w:tcPr>
                <w:p w14:paraId="76877963">
                  <w:pPr>
                    <w:jc w:val="center"/>
                    <w:rPr>
                      <w:bCs/>
                      <w:szCs w:val="21"/>
                    </w:rPr>
                  </w:pPr>
                </w:p>
              </w:tc>
              <w:tc>
                <w:tcPr>
                  <w:tcW w:w="292" w:type="pct"/>
                  <w:vMerge w:val="continue"/>
                  <w:vAlign w:val="center"/>
                </w:tcPr>
                <w:p w14:paraId="4648BB48">
                  <w:pPr>
                    <w:jc w:val="center"/>
                    <w:rPr>
                      <w:bCs/>
                      <w:szCs w:val="21"/>
                    </w:rPr>
                  </w:pPr>
                </w:p>
              </w:tc>
              <w:tc>
                <w:tcPr>
                  <w:tcW w:w="561" w:type="pct"/>
                  <w:vMerge w:val="continue"/>
                </w:tcPr>
                <w:p w14:paraId="5E070756">
                  <w:pPr>
                    <w:jc w:val="center"/>
                    <w:rPr>
                      <w:bCs/>
                      <w:szCs w:val="21"/>
                    </w:rPr>
                  </w:pPr>
                </w:p>
              </w:tc>
            </w:tr>
            <w:tr w14:paraId="28CD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Align w:val="center"/>
                </w:tcPr>
                <w:p w14:paraId="355C4312">
                  <w:pPr>
                    <w:jc w:val="center"/>
                    <w:rPr>
                      <w:bCs/>
                      <w:szCs w:val="21"/>
                    </w:rPr>
                  </w:pPr>
                  <w:r>
                    <w:rPr>
                      <w:rFonts w:hint="eastAsia"/>
                      <w:bCs/>
                      <w:szCs w:val="21"/>
                    </w:rPr>
                    <w:t>6</w:t>
                  </w:r>
                </w:p>
              </w:tc>
              <w:tc>
                <w:tcPr>
                  <w:tcW w:w="982" w:type="pct"/>
                  <w:vAlign w:val="center"/>
                </w:tcPr>
                <w:p w14:paraId="2F85D91E">
                  <w:pPr>
                    <w:jc w:val="center"/>
                    <w:rPr>
                      <w:bCs/>
                      <w:color w:val="000000"/>
                      <w:kern w:val="0"/>
                      <w:sz w:val="20"/>
                      <w:szCs w:val="20"/>
                    </w:rPr>
                  </w:pPr>
                  <w:r>
                    <w:rPr>
                      <w:rFonts w:hint="eastAsia"/>
                      <w:bCs/>
                      <w:color w:val="000000"/>
                      <w:kern w:val="0"/>
                      <w:sz w:val="20"/>
                      <w:szCs w:val="20"/>
                    </w:rPr>
                    <w:t>排风机</w:t>
                  </w:r>
                </w:p>
              </w:tc>
              <w:tc>
                <w:tcPr>
                  <w:tcW w:w="561" w:type="pct"/>
                  <w:vAlign w:val="center"/>
                </w:tcPr>
                <w:p w14:paraId="073C422A">
                  <w:pPr>
                    <w:jc w:val="center"/>
                    <w:rPr>
                      <w:bCs/>
                      <w:szCs w:val="21"/>
                    </w:rPr>
                  </w:pPr>
                  <w:r>
                    <w:rPr>
                      <w:rFonts w:hint="eastAsia"/>
                      <w:bCs/>
                      <w:szCs w:val="21"/>
                    </w:rPr>
                    <w:t>3</w:t>
                  </w:r>
                  <w:r>
                    <w:rPr>
                      <w:bCs/>
                      <w:szCs w:val="21"/>
                    </w:rPr>
                    <w:t>.17</w:t>
                  </w:r>
                </w:p>
              </w:tc>
              <w:tc>
                <w:tcPr>
                  <w:tcW w:w="589" w:type="pct"/>
                  <w:vAlign w:val="center"/>
                </w:tcPr>
                <w:p w14:paraId="2DC306E5">
                  <w:pPr>
                    <w:jc w:val="center"/>
                    <w:rPr>
                      <w:bCs/>
                      <w:szCs w:val="21"/>
                    </w:rPr>
                  </w:pPr>
                  <w:r>
                    <w:rPr>
                      <w:rFonts w:hint="eastAsia"/>
                      <w:bCs/>
                      <w:szCs w:val="21"/>
                    </w:rPr>
                    <w:t>3</w:t>
                  </w:r>
                  <w:r>
                    <w:rPr>
                      <w:bCs/>
                      <w:szCs w:val="21"/>
                    </w:rPr>
                    <w:t>3.5</w:t>
                  </w:r>
                </w:p>
              </w:tc>
              <w:tc>
                <w:tcPr>
                  <w:tcW w:w="369" w:type="pct"/>
                  <w:vAlign w:val="center"/>
                </w:tcPr>
                <w:p w14:paraId="2DEC5D87">
                  <w:pPr>
                    <w:jc w:val="center"/>
                    <w:rPr>
                      <w:bCs/>
                      <w:szCs w:val="21"/>
                    </w:rPr>
                  </w:pPr>
                  <w:r>
                    <w:rPr>
                      <w:rFonts w:hint="eastAsia"/>
                      <w:bCs/>
                      <w:szCs w:val="21"/>
                    </w:rPr>
                    <w:t>-</w:t>
                  </w:r>
                  <w:r>
                    <w:rPr>
                      <w:bCs/>
                      <w:szCs w:val="21"/>
                    </w:rPr>
                    <w:t>3</w:t>
                  </w:r>
                </w:p>
              </w:tc>
              <w:tc>
                <w:tcPr>
                  <w:tcW w:w="612" w:type="pct"/>
                  <w:vAlign w:val="center"/>
                </w:tcPr>
                <w:p w14:paraId="5FCCD1D1">
                  <w:pPr>
                    <w:jc w:val="center"/>
                    <w:rPr>
                      <w:bCs/>
                      <w:szCs w:val="21"/>
                    </w:rPr>
                  </w:pPr>
                  <w:r>
                    <w:rPr>
                      <w:rFonts w:hint="eastAsia"/>
                      <w:bCs/>
                      <w:szCs w:val="21"/>
                    </w:rPr>
                    <w:t>60</w:t>
                  </w:r>
                </w:p>
              </w:tc>
              <w:tc>
                <w:tcPr>
                  <w:tcW w:w="685" w:type="pct"/>
                  <w:vMerge w:val="continue"/>
                  <w:vAlign w:val="center"/>
                </w:tcPr>
                <w:p w14:paraId="4F9A2D98">
                  <w:pPr>
                    <w:jc w:val="center"/>
                    <w:rPr>
                      <w:bCs/>
                      <w:szCs w:val="21"/>
                    </w:rPr>
                  </w:pPr>
                </w:p>
              </w:tc>
              <w:tc>
                <w:tcPr>
                  <w:tcW w:w="292" w:type="pct"/>
                  <w:vMerge w:val="continue"/>
                  <w:vAlign w:val="center"/>
                </w:tcPr>
                <w:p w14:paraId="68D404EC">
                  <w:pPr>
                    <w:jc w:val="center"/>
                    <w:rPr>
                      <w:bCs/>
                      <w:szCs w:val="21"/>
                    </w:rPr>
                  </w:pPr>
                </w:p>
              </w:tc>
              <w:tc>
                <w:tcPr>
                  <w:tcW w:w="561" w:type="pct"/>
                  <w:vMerge w:val="continue"/>
                </w:tcPr>
                <w:p w14:paraId="7DF4975D">
                  <w:pPr>
                    <w:jc w:val="center"/>
                    <w:rPr>
                      <w:bCs/>
                      <w:szCs w:val="21"/>
                    </w:rPr>
                  </w:pPr>
                </w:p>
              </w:tc>
            </w:tr>
          </w:tbl>
          <w:p w14:paraId="5CB227ED">
            <w:pPr>
              <w:rPr>
                <w:b/>
                <w:szCs w:val="21"/>
              </w:rPr>
            </w:pPr>
          </w:p>
          <w:p w14:paraId="3A4A6733">
            <w:pPr>
              <w:pStyle w:val="76"/>
              <w:ind w:firstLine="480"/>
            </w:pPr>
            <w:r>
              <w:rPr>
                <w:rFonts w:hint="eastAsia"/>
              </w:rPr>
              <w:t>（2）声环境影响评价</w:t>
            </w:r>
          </w:p>
          <w:p w14:paraId="5E7A19D5">
            <w:pPr>
              <w:pStyle w:val="76"/>
              <w:ind w:firstLine="480"/>
            </w:pPr>
            <w:r>
              <w:rPr>
                <w:rFonts w:hint="eastAsia"/>
              </w:rPr>
              <w:t>本次噪声影响评价选用《环境影响评价技术导则声环境》（HJ2.4-2021）中点声源的噪声预测模式，模拟主要声源同时排放噪声在采取措施情况下对边界声环境质量叠加影响。本项目为新建项目，噪声源主要受房间隔声、距离衰减影响，将噪声贡献值作为评价量，项目夜间不运行，仅对昼间声环境影响进行评价。预测结果见下表。</w:t>
            </w:r>
          </w:p>
          <w:p w14:paraId="22EE16F5">
            <w:pPr>
              <w:pStyle w:val="76"/>
              <w:ind w:firstLine="0" w:firstLineChars="0"/>
              <w:jc w:val="center"/>
              <w:rPr>
                <w:b/>
                <w:bCs/>
                <w:sz w:val="21"/>
                <w:szCs w:val="21"/>
              </w:rPr>
            </w:pPr>
            <w:r>
              <w:rPr>
                <w:rFonts w:hint="eastAsia"/>
                <w:b/>
                <w:bCs/>
                <w:sz w:val="21"/>
                <w:szCs w:val="21"/>
              </w:rPr>
              <w:t>表4-</w:t>
            </w:r>
            <w:r>
              <w:rPr>
                <w:b/>
                <w:bCs/>
                <w:sz w:val="21"/>
                <w:szCs w:val="21"/>
              </w:rPr>
              <w:t xml:space="preserve">3 </w:t>
            </w:r>
            <w:r>
              <w:rPr>
                <w:rFonts w:hint="eastAsia"/>
                <w:b/>
                <w:bCs/>
                <w:sz w:val="21"/>
                <w:szCs w:val="21"/>
              </w:rPr>
              <w:t>噪声预测结果 单位：dB(A)</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8"/>
              <w:gridCol w:w="2117"/>
              <w:gridCol w:w="1413"/>
              <w:gridCol w:w="1765"/>
            </w:tblGrid>
            <w:tr w14:paraId="52C1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pct"/>
                  <w:vAlign w:val="center"/>
                </w:tcPr>
                <w:p w14:paraId="518F30CE">
                  <w:pPr>
                    <w:pStyle w:val="76"/>
                    <w:spacing w:line="240" w:lineRule="auto"/>
                    <w:ind w:firstLine="0" w:firstLineChars="0"/>
                    <w:jc w:val="center"/>
                    <w:rPr>
                      <w:b/>
                      <w:bCs/>
                      <w:sz w:val="21"/>
                      <w:szCs w:val="21"/>
                    </w:rPr>
                  </w:pPr>
                  <w:r>
                    <w:rPr>
                      <w:rFonts w:hint="eastAsia"/>
                      <w:b/>
                      <w:bCs/>
                      <w:sz w:val="21"/>
                      <w:szCs w:val="21"/>
                    </w:rPr>
                    <w:t>项目</w:t>
                  </w:r>
                </w:p>
              </w:tc>
              <w:tc>
                <w:tcPr>
                  <w:tcW w:w="1252" w:type="pct"/>
                </w:tcPr>
                <w:p w14:paraId="7F70F8EB">
                  <w:pPr>
                    <w:pStyle w:val="76"/>
                    <w:spacing w:line="240" w:lineRule="auto"/>
                    <w:ind w:firstLine="0" w:firstLineChars="0"/>
                    <w:jc w:val="center"/>
                    <w:rPr>
                      <w:b/>
                      <w:bCs/>
                      <w:sz w:val="21"/>
                      <w:szCs w:val="21"/>
                    </w:rPr>
                  </w:pPr>
                  <w:r>
                    <w:rPr>
                      <w:rFonts w:hint="eastAsia"/>
                      <w:b/>
                      <w:bCs/>
                      <w:sz w:val="21"/>
                      <w:szCs w:val="21"/>
                    </w:rPr>
                    <w:t>昼间贡献值</w:t>
                  </w:r>
                </w:p>
              </w:tc>
              <w:tc>
                <w:tcPr>
                  <w:tcW w:w="836" w:type="pct"/>
                  <w:vAlign w:val="center"/>
                </w:tcPr>
                <w:p w14:paraId="09490E99">
                  <w:pPr>
                    <w:pStyle w:val="76"/>
                    <w:spacing w:line="240" w:lineRule="auto"/>
                    <w:ind w:firstLine="0" w:firstLineChars="0"/>
                    <w:jc w:val="center"/>
                    <w:rPr>
                      <w:b/>
                      <w:bCs/>
                      <w:sz w:val="21"/>
                      <w:szCs w:val="21"/>
                    </w:rPr>
                  </w:pPr>
                  <w:r>
                    <w:rPr>
                      <w:rFonts w:hint="eastAsia"/>
                      <w:b/>
                      <w:bCs/>
                      <w:sz w:val="21"/>
                      <w:szCs w:val="21"/>
                    </w:rPr>
                    <w:t>标准值</w:t>
                  </w:r>
                </w:p>
              </w:tc>
              <w:tc>
                <w:tcPr>
                  <w:tcW w:w="1044" w:type="pct"/>
                  <w:vAlign w:val="center"/>
                </w:tcPr>
                <w:p w14:paraId="7A364348">
                  <w:pPr>
                    <w:pStyle w:val="76"/>
                    <w:spacing w:line="240" w:lineRule="auto"/>
                    <w:ind w:firstLine="0" w:firstLineChars="0"/>
                    <w:jc w:val="center"/>
                    <w:rPr>
                      <w:b/>
                      <w:bCs/>
                      <w:sz w:val="21"/>
                      <w:szCs w:val="21"/>
                    </w:rPr>
                  </w:pPr>
                  <w:r>
                    <w:rPr>
                      <w:rFonts w:hint="eastAsia"/>
                      <w:b/>
                      <w:bCs/>
                      <w:sz w:val="21"/>
                      <w:szCs w:val="21"/>
                    </w:rPr>
                    <w:t>达标情况</w:t>
                  </w:r>
                </w:p>
              </w:tc>
            </w:tr>
            <w:tr w14:paraId="0037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pct"/>
                  <w:vAlign w:val="center"/>
                </w:tcPr>
                <w:p w14:paraId="6D45045C">
                  <w:pPr>
                    <w:pStyle w:val="76"/>
                    <w:spacing w:line="240" w:lineRule="auto"/>
                    <w:ind w:firstLine="0" w:firstLineChars="0"/>
                    <w:jc w:val="center"/>
                    <w:rPr>
                      <w:sz w:val="21"/>
                      <w:szCs w:val="21"/>
                    </w:rPr>
                  </w:pPr>
                  <w:r>
                    <w:rPr>
                      <w:rFonts w:hint="eastAsia"/>
                      <w:sz w:val="21"/>
                      <w:szCs w:val="21"/>
                    </w:rPr>
                    <w:t>东厂界</w:t>
                  </w:r>
                </w:p>
              </w:tc>
              <w:tc>
                <w:tcPr>
                  <w:tcW w:w="1252" w:type="pct"/>
                </w:tcPr>
                <w:p w14:paraId="20CFA0D8">
                  <w:pPr>
                    <w:pStyle w:val="76"/>
                    <w:spacing w:line="240" w:lineRule="auto"/>
                    <w:ind w:firstLine="0" w:firstLineChars="0"/>
                    <w:jc w:val="center"/>
                    <w:rPr>
                      <w:sz w:val="21"/>
                      <w:szCs w:val="21"/>
                    </w:rPr>
                  </w:pPr>
                  <w:r>
                    <w:rPr>
                      <w:rFonts w:hint="eastAsia"/>
                      <w:sz w:val="21"/>
                      <w:szCs w:val="21"/>
                    </w:rPr>
                    <w:t>1</w:t>
                  </w:r>
                  <w:r>
                    <w:rPr>
                      <w:sz w:val="21"/>
                      <w:szCs w:val="21"/>
                    </w:rPr>
                    <w:t>0.02</w:t>
                  </w:r>
                </w:p>
              </w:tc>
              <w:tc>
                <w:tcPr>
                  <w:tcW w:w="836" w:type="pct"/>
                  <w:vMerge w:val="restart"/>
                  <w:vAlign w:val="center"/>
                </w:tcPr>
                <w:p w14:paraId="26395323">
                  <w:pPr>
                    <w:pStyle w:val="76"/>
                    <w:spacing w:line="240" w:lineRule="auto"/>
                    <w:ind w:firstLine="0" w:firstLineChars="0"/>
                    <w:jc w:val="center"/>
                    <w:rPr>
                      <w:sz w:val="21"/>
                      <w:szCs w:val="21"/>
                    </w:rPr>
                  </w:pPr>
                  <w:r>
                    <w:rPr>
                      <w:rFonts w:hint="eastAsia"/>
                      <w:sz w:val="21"/>
                      <w:szCs w:val="21"/>
                    </w:rPr>
                    <w:t>60</w:t>
                  </w:r>
                </w:p>
              </w:tc>
              <w:tc>
                <w:tcPr>
                  <w:tcW w:w="1044" w:type="pct"/>
                  <w:vMerge w:val="restart"/>
                  <w:vAlign w:val="center"/>
                </w:tcPr>
                <w:p w14:paraId="7A3A2A45">
                  <w:pPr>
                    <w:pStyle w:val="76"/>
                    <w:spacing w:line="240" w:lineRule="auto"/>
                    <w:ind w:firstLine="0" w:firstLineChars="0"/>
                    <w:jc w:val="center"/>
                    <w:rPr>
                      <w:sz w:val="21"/>
                      <w:szCs w:val="21"/>
                    </w:rPr>
                  </w:pPr>
                  <w:r>
                    <w:rPr>
                      <w:rFonts w:hint="eastAsia"/>
                      <w:sz w:val="21"/>
                      <w:szCs w:val="21"/>
                    </w:rPr>
                    <w:t>达标</w:t>
                  </w:r>
                </w:p>
              </w:tc>
            </w:tr>
            <w:tr w14:paraId="61DE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pct"/>
                  <w:vAlign w:val="center"/>
                </w:tcPr>
                <w:p w14:paraId="5E918A2B">
                  <w:pPr>
                    <w:pStyle w:val="76"/>
                    <w:spacing w:line="240" w:lineRule="auto"/>
                    <w:ind w:firstLine="0" w:firstLineChars="0"/>
                    <w:jc w:val="center"/>
                    <w:rPr>
                      <w:sz w:val="21"/>
                      <w:szCs w:val="21"/>
                    </w:rPr>
                  </w:pPr>
                  <w:r>
                    <w:rPr>
                      <w:rFonts w:hint="eastAsia"/>
                      <w:sz w:val="21"/>
                      <w:szCs w:val="21"/>
                    </w:rPr>
                    <w:t>南厂界</w:t>
                  </w:r>
                </w:p>
              </w:tc>
              <w:tc>
                <w:tcPr>
                  <w:tcW w:w="1252" w:type="pct"/>
                </w:tcPr>
                <w:p w14:paraId="1948EAEC">
                  <w:pPr>
                    <w:pStyle w:val="76"/>
                    <w:spacing w:line="240" w:lineRule="auto"/>
                    <w:ind w:firstLine="0" w:firstLineChars="0"/>
                    <w:jc w:val="center"/>
                    <w:rPr>
                      <w:sz w:val="21"/>
                      <w:szCs w:val="21"/>
                    </w:rPr>
                  </w:pPr>
                  <w:r>
                    <w:rPr>
                      <w:rFonts w:hint="eastAsia"/>
                      <w:sz w:val="21"/>
                      <w:szCs w:val="21"/>
                    </w:rPr>
                    <w:t>1</w:t>
                  </w:r>
                  <w:r>
                    <w:rPr>
                      <w:sz w:val="21"/>
                      <w:szCs w:val="21"/>
                    </w:rPr>
                    <w:t>0.69</w:t>
                  </w:r>
                </w:p>
              </w:tc>
              <w:tc>
                <w:tcPr>
                  <w:tcW w:w="836" w:type="pct"/>
                  <w:vMerge w:val="continue"/>
                  <w:vAlign w:val="center"/>
                </w:tcPr>
                <w:p w14:paraId="781F3FC6">
                  <w:pPr>
                    <w:pStyle w:val="76"/>
                    <w:spacing w:line="240" w:lineRule="auto"/>
                    <w:ind w:firstLine="0" w:firstLineChars="0"/>
                    <w:jc w:val="center"/>
                    <w:rPr>
                      <w:sz w:val="21"/>
                      <w:szCs w:val="21"/>
                    </w:rPr>
                  </w:pPr>
                </w:p>
              </w:tc>
              <w:tc>
                <w:tcPr>
                  <w:tcW w:w="1044" w:type="pct"/>
                  <w:vMerge w:val="continue"/>
                  <w:vAlign w:val="center"/>
                </w:tcPr>
                <w:p w14:paraId="295C500D">
                  <w:pPr>
                    <w:pStyle w:val="76"/>
                    <w:spacing w:line="240" w:lineRule="auto"/>
                    <w:ind w:firstLine="0" w:firstLineChars="0"/>
                    <w:jc w:val="center"/>
                    <w:rPr>
                      <w:sz w:val="21"/>
                      <w:szCs w:val="21"/>
                    </w:rPr>
                  </w:pPr>
                </w:p>
              </w:tc>
            </w:tr>
            <w:tr w14:paraId="7CA7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pct"/>
                  <w:vAlign w:val="center"/>
                </w:tcPr>
                <w:p w14:paraId="32B2B6B0">
                  <w:pPr>
                    <w:pStyle w:val="76"/>
                    <w:spacing w:line="240" w:lineRule="auto"/>
                    <w:ind w:firstLine="0" w:firstLineChars="0"/>
                    <w:jc w:val="center"/>
                    <w:rPr>
                      <w:sz w:val="21"/>
                      <w:szCs w:val="21"/>
                    </w:rPr>
                  </w:pPr>
                  <w:r>
                    <w:rPr>
                      <w:rFonts w:hint="eastAsia"/>
                      <w:sz w:val="21"/>
                      <w:szCs w:val="21"/>
                    </w:rPr>
                    <w:t>西厂界</w:t>
                  </w:r>
                </w:p>
              </w:tc>
              <w:tc>
                <w:tcPr>
                  <w:tcW w:w="1252" w:type="pct"/>
                </w:tcPr>
                <w:p w14:paraId="64F89A6E">
                  <w:pPr>
                    <w:pStyle w:val="76"/>
                    <w:spacing w:line="240" w:lineRule="auto"/>
                    <w:ind w:firstLine="0" w:firstLineChars="0"/>
                    <w:jc w:val="center"/>
                    <w:rPr>
                      <w:sz w:val="21"/>
                      <w:szCs w:val="21"/>
                    </w:rPr>
                  </w:pPr>
                  <w:r>
                    <w:rPr>
                      <w:rFonts w:hint="eastAsia"/>
                      <w:sz w:val="21"/>
                      <w:szCs w:val="21"/>
                    </w:rPr>
                    <w:t>8</w:t>
                  </w:r>
                  <w:r>
                    <w:rPr>
                      <w:sz w:val="21"/>
                      <w:szCs w:val="21"/>
                    </w:rPr>
                    <w:t>.54</w:t>
                  </w:r>
                </w:p>
              </w:tc>
              <w:tc>
                <w:tcPr>
                  <w:tcW w:w="836" w:type="pct"/>
                  <w:vMerge w:val="continue"/>
                  <w:vAlign w:val="center"/>
                </w:tcPr>
                <w:p w14:paraId="51F9F133">
                  <w:pPr>
                    <w:pStyle w:val="76"/>
                    <w:spacing w:line="240" w:lineRule="auto"/>
                    <w:ind w:firstLine="0" w:firstLineChars="0"/>
                    <w:jc w:val="center"/>
                    <w:rPr>
                      <w:sz w:val="21"/>
                      <w:szCs w:val="21"/>
                    </w:rPr>
                  </w:pPr>
                </w:p>
              </w:tc>
              <w:tc>
                <w:tcPr>
                  <w:tcW w:w="1044" w:type="pct"/>
                  <w:vMerge w:val="continue"/>
                  <w:vAlign w:val="center"/>
                </w:tcPr>
                <w:p w14:paraId="71837B6C">
                  <w:pPr>
                    <w:pStyle w:val="76"/>
                    <w:spacing w:line="240" w:lineRule="auto"/>
                    <w:ind w:firstLine="0" w:firstLineChars="0"/>
                    <w:jc w:val="center"/>
                    <w:rPr>
                      <w:sz w:val="21"/>
                      <w:szCs w:val="21"/>
                    </w:rPr>
                  </w:pPr>
                </w:p>
              </w:tc>
            </w:tr>
            <w:tr w14:paraId="3CA7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pct"/>
                  <w:vAlign w:val="center"/>
                </w:tcPr>
                <w:p w14:paraId="30323DE6">
                  <w:pPr>
                    <w:pStyle w:val="76"/>
                    <w:spacing w:line="240" w:lineRule="auto"/>
                    <w:ind w:firstLine="0" w:firstLineChars="0"/>
                    <w:jc w:val="center"/>
                    <w:rPr>
                      <w:sz w:val="21"/>
                      <w:szCs w:val="21"/>
                    </w:rPr>
                  </w:pPr>
                  <w:r>
                    <w:rPr>
                      <w:rFonts w:hint="eastAsia"/>
                      <w:sz w:val="21"/>
                      <w:szCs w:val="21"/>
                    </w:rPr>
                    <w:t>北厂界</w:t>
                  </w:r>
                </w:p>
              </w:tc>
              <w:tc>
                <w:tcPr>
                  <w:tcW w:w="1252" w:type="pct"/>
                </w:tcPr>
                <w:p w14:paraId="0B1FBDED">
                  <w:pPr>
                    <w:pStyle w:val="76"/>
                    <w:spacing w:line="240" w:lineRule="auto"/>
                    <w:ind w:firstLine="0" w:firstLineChars="0"/>
                    <w:jc w:val="center"/>
                    <w:rPr>
                      <w:sz w:val="21"/>
                      <w:szCs w:val="21"/>
                    </w:rPr>
                  </w:pPr>
                  <w:r>
                    <w:rPr>
                      <w:rFonts w:hint="eastAsia"/>
                      <w:sz w:val="21"/>
                      <w:szCs w:val="21"/>
                    </w:rPr>
                    <w:t>1</w:t>
                  </w:r>
                  <w:r>
                    <w:rPr>
                      <w:sz w:val="21"/>
                      <w:szCs w:val="21"/>
                    </w:rPr>
                    <w:t>0.63</w:t>
                  </w:r>
                </w:p>
              </w:tc>
              <w:tc>
                <w:tcPr>
                  <w:tcW w:w="836" w:type="pct"/>
                  <w:vMerge w:val="continue"/>
                  <w:vAlign w:val="center"/>
                </w:tcPr>
                <w:p w14:paraId="7060624C">
                  <w:pPr>
                    <w:pStyle w:val="76"/>
                    <w:spacing w:line="240" w:lineRule="auto"/>
                    <w:ind w:firstLine="0" w:firstLineChars="0"/>
                    <w:jc w:val="center"/>
                    <w:rPr>
                      <w:sz w:val="21"/>
                      <w:szCs w:val="21"/>
                    </w:rPr>
                  </w:pPr>
                </w:p>
              </w:tc>
              <w:tc>
                <w:tcPr>
                  <w:tcW w:w="1044" w:type="pct"/>
                  <w:vMerge w:val="continue"/>
                  <w:vAlign w:val="center"/>
                </w:tcPr>
                <w:p w14:paraId="3FC22B9C">
                  <w:pPr>
                    <w:pStyle w:val="76"/>
                    <w:spacing w:line="240" w:lineRule="auto"/>
                    <w:ind w:firstLine="0" w:firstLineChars="0"/>
                    <w:jc w:val="center"/>
                    <w:rPr>
                      <w:sz w:val="21"/>
                      <w:szCs w:val="21"/>
                    </w:rPr>
                  </w:pPr>
                </w:p>
              </w:tc>
            </w:tr>
            <w:tr w14:paraId="57C6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8" w:type="pct"/>
                  <w:vAlign w:val="center"/>
                </w:tcPr>
                <w:p w14:paraId="4A31C6B1">
                  <w:pPr>
                    <w:pStyle w:val="76"/>
                    <w:spacing w:line="240" w:lineRule="auto"/>
                    <w:ind w:firstLine="0" w:firstLineChars="0"/>
                    <w:jc w:val="center"/>
                    <w:rPr>
                      <w:sz w:val="21"/>
                      <w:szCs w:val="21"/>
                    </w:rPr>
                  </w:pPr>
                  <w:r>
                    <w:rPr>
                      <w:rFonts w:hint="eastAsia"/>
                      <w:sz w:val="21"/>
                      <w:szCs w:val="21"/>
                    </w:rPr>
                    <w:t>汇能科创大厦二层</w:t>
                  </w:r>
                </w:p>
              </w:tc>
              <w:tc>
                <w:tcPr>
                  <w:tcW w:w="1252" w:type="pct"/>
                </w:tcPr>
                <w:p w14:paraId="72A0466B">
                  <w:pPr>
                    <w:pStyle w:val="76"/>
                    <w:spacing w:line="240" w:lineRule="auto"/>
                    <w:ind w:firstLine="0" w:firstLineChars="0"/>
                    <w:jc w:val="center"/>
                    <w:rPr>
                      <w:sz w:val="21"/>
                      <w:szCs w:val="21"/>
                    </w:rPr>
                  </w:pPr>
                  <w:r>
                    <w:rPr>
                      <w:rFonts w:hint="eastAsia"/>
                      <w:sz w:val="21"/>
                      <w:szCs w:val="21"/>
                    </w:rPr>
                    <w:t>6.54</w:t>
                  </w:r>
                </w:p>
              </w:tc>
              <w:tc>
                <w:tcPr>
                  <w:tcW w:w="836" w:type="pct"/>
                  <w:vMerge w:val="continue"/>
                  <w:vAlign w:val="center"/>
                </w:tcPr>
                <w:p w14:paraId="14557D4B">
                  <w:pPr>
                    <w:pStyle w:val="76"/>
                    <w:spacing w:line="240" w:lineRule="auto"/>
                    <w:ind w:firstLine="0" w:firstLineChars="0"/>
                    <w:jc w:val="center"/>
                    <w:rPr>
                      <w:sz w:val="21"/>
                      <w:szCs w:val="21"/>
                    </w:rPr>
                  </w:pPr>
                </w:p>
              </w:tc>
              <w:tc>
                <w:tcPr>
                  <w:tcW w:w="1044" w:type="pct"/>
                  <w:vMerge w:val="continue"/>
                  <w:vAlign w:val="center"/>
                </w:tcPr>
                <w:p w14:paraId="2EB458F9">
                  <w:pPr>
                    <w:pStyle w:val="76"/>
                    <w:spacing w:line="240" w:lineRule="auto"/>
                    <w:ind w:firstLine="0" w:firstLineChars="0"/>
                    <w:jc w:val="center"/>
                    <w:rPr>
                      <w:sz w:val="21"/>
                      <w:szCs w:val="21"/>
                    </w:rPr>
                  </w:pPr>
                </w:p>
              </w:tc>
            </w:tr>
          </w:tbl>
          <w:p w14:paraId="185E3B05">
            <w:pPr>
              <w:pStyle w:val="76"/>
              <w:ind w:firstLine="480"/>
            </w:pPr>
            <w:r>
              <w:rPr>
                <w:rFonts w:hint="eastAsia"/>
              </w:rPr>
              <w:t>汇能科创大厦二层用于办公、培训、医美等行业，结合噪声预测结果可知，经过房间隔声、距离衰减影响，本项目产生的噪声对</w:t>
            </w:r>
            <w:r>
              <w:rPr>
                <w:rFonts w:hint="eastAsia"/>
                <w:lang w:eastAsia="zh-CN"/>
              </w:rPr>
              <w:t>邻近</w:t>
            </w:r>
            <w:r>
              <w:rPr>
                <w:rFonts w:hint="eastAsia"/>
              </w:rPr>
              <w:t>楼层影响较小。</w:t>
            </w:r>
          </w:p>
          <w:p w14:paraId="401D9391">
            <w:pPr>
              <w:pStyle w:val="76"/>
              <w:ind w:firstLine="480"/>
            </w:pPr>
            <w:r>
              <w:rPr>
                <w:rFonts w:hint="eastAsia"/>
              </w:rPr>
              <w:t>（3）噪声污染防治措施</w:t>
            </w:r>
          </w:p>
          <w:p w14:paraId="04C0C07A">
            <w:pPr>
              <w:pStyle w:val="76"/>
              <w:ind w:firstLine="480"/>
            </w:pPr>
            <w:r>
              <w:rPr>
                <w:rFonts w:hint="eastAsia"/>
              </w:rPr>
              <w:t>①</w:t>
            </w:r>
            <w:r>
              <w:t>隔声减震设计应符合《民用建筑隔声设计规范》GB50118-2010及《办公建筑设计标准》（JGJ/T67-2019）要求。</w:t>
            </w:r>
          </w:p>
          <w:p w14:paraId="0920054E">
            <w:pPr>
              <w:pStyle w:val="76"/>
              <w:ind w:firstLine="480"/>
            </w:pPr>
            <w:r>
              <w:rPr>
                <w:rFonts w:hint="eastAsia"/>
              </w:rPr>
              <w:t>②</w:t>
            </w:r>
            <w:r>
              <w:t>水、暖、电、气管穿过墙时，孔洞周边应采取密封隔声措施。</w:t>
            </w:r>
          </w:p>
          <w:p w14:paraId="7B70536C">
            <w:pPr>
              <w:pStyle w:val="76"/>
              <w:ind w:firstLine="480"/>
              <w:rPr>
                <w:szCs w:val="21"/>
              </w:rPr>
            </w:pPr>
            <w:r>
              <w:rPr>
                <w:rFonts w:hint="eastAsia"/>
                <w:szCs w:val="21"/>
              </w:rPr>
              <w:t>采取以上措施后，运营期噪声对周边环境的影响不大。</w:t>
            </w:r>
          </w:p>
          <w:p w14:paraId="18C969C8">
            <w:pPr>
              <w:pStyle w:val="77"/>
              <w:rPr>
                <w:szCs w:val="21"/>
              </w:rPr>
            </w:pPr>
            <w:r>
              <w:rPr>
                <w:szCs w:val="21"/>
              </w:rPr>
              <w:t>4</w:t>
            </w:r>
            <w:r>
              <w:rPr>
                <w:rFonts w:hint="eastAsia"/>
                <w:szCs w:val="21"/>
              </w:rPr>
              <w:t>、固体废物</w:t>
            </w:r>
          </w:p>
          <w:p w14:paraId="6B155C32">
            <w:pPr>
              <w:pStyle w:val="77"/>
              <w:ind w:firstLine="482" w:firstLineChars="200"/>
              <w:rPr>
                <w:szCs w:val="21"/>
              </w:rPr>
            </w:pPr>
            <w:r>
              <w:rPr>
                <w:rFonts w:hint="eastAsia"/>
                <w:szCs w:val="21"/>
              </w:rPr>
              <w:t>（1）一般固体废物</w:t>
            </w:r>
          </w:p>
          <w:p w14:paraId="000917CB">
            <w:pPr>
              <w:pStyle w:val="77"/>
              <w:ind w:firstLine="480" w:firstLineChars="200"/>
              <w:rPr>
                <w:b w:val="0"/>
                <w:bCs/>
                <w:szCs w:val="21"/>
              </w:rPr>
            </w:pPr>
            <w:r>
              <w:rPr>
                <w:rFonts w:hint="eastAsia"/>
                <w:b w:val="0"/>
                <w:bCs/>
                <w:szCs w:val="21"/>
              </w:rPr>
              <w:t>①生活垃圾：生活垃圾产生量按0.5kg/人·d算，共2</w:t>
            </w:r>
            <w:r>
              <w:rPr>
                <w:b w:val="0"/>
                <w:bCs/>
                <w:szCs w:val="21"/>
              </w:rPr>
              <w:t>0</w:t>
            </w:r>
            <w:r>
              <w:rPr>
                <w:rFonts w:hint="eastAsia"/>
                <w:b w:val="0"/>
                <w:bCs/>
                <w:szCs w:val="21"/>
              </w:rPr>
              <w:t>人，年运行264天，则产生量为2</w:t>
            </w:r>
            <w:r>
              <w:rPr>
                <w:b w:val="0"/>
                <w:bCs/>
                <w:szCs w:val="21"/>
              </w:rPr>
              <w:t>.64</w:t>
            </w:r>
            <w:r>
              <w:rPr>
                <w:rFonts w:hint="eastAsia"/>
                <w:b w:val="0"/>
                <w:bCs/>
                <w:szCs w:val="21"/>
              </w:rPr>
              <w:t>t/a。生活垃圾收集到垃圾桶后由当地环卫部门统一处理。</w:t>
            </w:r>
          </w:p>
          <w:p w14:paraId="7A6548FB">
            <w:pPr>
              <w:pStyle w:val="77"/>
              <w:ind w:firstLine="480" w:firstLineChars="200"/>
              <w:rPr>
                <w:b w:val="0"/>
                <w:bCs/>
                <w:szCs w:val="21"/>
              </w:rPr>
            </w:pPr>
            <w:r>
              <w:rPr>
                <w:rFonts w:hint="eastAsia"/>
                <w:b w:val="0"/>
                <w:bCs/>
                <w:szCs w:val="21"/>
              </w:rPr>
              <w:t>②三轴压应力实验、渗透率测量实验、岩石热物性实验和公共理化实验产生的废矸石20kg/a。</w:t>
            </w:r>
          </w:p>
          <w:p w14:paraId="45B5AE74">
            <w:pPr>
              <w:pStyle w:val="77"/>
              <w:ind w:firstLine="480" w:firstLineChars="200"/>
              <w:rPr>
                <w:b w:val="0"/>
                <w:bCs/>
                <w:szCs w:val="21"/>
              </w:rPr>
            </w:pPr>
            <w:r>
              <w:rPr>
                <w:rFonts w:hint="eastAsia"/>
                <w:b w:val="0"/>
                <w:bCs/>
                <w:szCs w:val="21"/>
              </w:rPr>
              <w:t>③储能材料实验室产生的废金属制品400</w:t>
            </w:r>
            <w:r>
              <w:rPr>
                <w:b w:val="0"/>
                <w:bCs/>
                <w:szCs w:val="21"/>
              </w:rPr>
              <w:t>kg/a</w:t>
            </w:r>
            <w:r>
              <w:rPr>
                <w:rFonts w:hint="eastAsia"/>
                <w:b w:val="0"/>
                <w:bCs/>
                <w:szCs w:val="21"/>
              </w:rPr>
              <w:t>。</w:t>
            </w:r>
          </w:p>
          <w:p w14:paraId="45F34B70">
            <w:pPr>
              <w:pStyle w:val="77"/>
              <w:ind w:firstLine="480" w:firstLineChars="200"/>
              <w:rPr>
                <w:b w:val="0"/>
                <w:bCs/>
                <w:szCs w:val="21"/>
              </w:rPr>
            </w:pPr>
            <w:r>
              <w:rPr>
                <w:rFonts w:hint="eastAsia"/>
                <w:b w:val="0"/>
                <w:bCs/>
                <w:szCs w:val="21"/>
              </w:rPr>
              <w:t>④地质储能实验室产生的废混凝土</w:t>
            </w:r>
            <w:r>
              <w:rPr>
                <w:b w:val="0"/>
                <w:bCs/>
                <w:szCs w:val="21"/>
              </w:rPr>
              <w:t>450kg/a</w:t>
            </w:r>
            <w:r>
              <w:rPr>
                <w:rFonts w:hint="eastAsia"/>
                <w:b w:val="0"/>
                <w:bCs/>
                <w:szCs w:val="21"/>
              </w:rPr>
              <w:t>、废岩石</w:t>
            </w:r>
            <w:r>
              <w:rPr>
                <w:b w:val="0"/>
                <w:bCs/>
                <w:szCs w:val="21"/>
              </w:rPr>
              <w:t>350kg/a</w:t>
            </w:r>
            <w:r>
              <w:rPr>
                <w:rFonts w:hint="eastAsia"/>
                <w:b w:val="0"/>
                <w:bCs/>
                <w:szCs w:val="21"/>
              </w:rPr>
              <w:t>。</w:t>
            </w:r>
          </w:p>
          <w:p w14:paraId="651D8347">
            <w:pPr>
              <w:pStyle w:val="77"/>
              <w:ind w:firstLine="480" w:firstLineChars="200"/>
              <w:rPr>
                <w:b w:val="0"/>
                <w:bCs/>
                <w:szCs w:val="21"/>
              </w:rPr>
            </w:pPr>
            <w:r>
              <w:rPr>
                <w:rFonts w:hint="eastAsia"/>
                <w:b w:val="0"/>
                <w:bCs/>
                <w:szCs w:val="21"/>
              </w:rPr>
              <w:t>⑤储能关键金属实验室的去离子水制备仪需要定期更换滤芯和膜，更换周期一般是1年，产生废离子交换树脂、废反渗透膜约5kg/a。</w:t>
            </w:r>
          </w:p>
          <w:p w14:paraId="3CE76BCF">
            <w:pPr>
              <w:pStyle w:val="77"/>
              <w:ind w:firstLine="482" w:firstLineChars="200"/>
              <w:rPr>
                <w:szCs w:val="21"/>
              </w:rPr>
            </w:pPr>
            <w:r>
              <w:rPr>
                <w:rFonts w:hint="eastAsia"/>
                <w:szCs w:val="21"/>
              </w:rPr>
              <w:t>（2）危险废物</w:t>
            </w:r>
          </w:p>
          <w:p w14:paraId="4162D332">
            <w:pPr>
              <w:pStyle w:val="77"/>
              <w:ind w:firstLine="480" w:firstLineChars="200"/>
              <w:rPr>
                <w:b w:val="0"/>
                <w:bCs/>
                <w:szCs w:val="21"/>
              </w:rPr>
            </w:pPr>
            <w:r>
              <w:rPr>
                <w:rFonts w:hint="eastAsia"/>
                <w:b w:val="0"/>
                <w:bCs/>
                <w:szCs w:val="21"/>
              </w:rPr>
              <w:t>①废有机胺溶液</w:t>
            </w:r>
          </w:p>
          <w:p w14:paraId="37F9D277">
            <w:pPr>
              <w:pStyle w:val="77"/>
              <w:ind w:firstLine="480" w:firstLineChars="200"/>
              <w:rPr>
                <w:b w:val="0"/>
                <w:bCs/>
                <w:szCs w:val="21"/>
              </w:rPr>
            </w:pPr>
            <w:r>
              <w:rPr>
                <w:rFonts w:hint="eastAsia"/>
                <w:b w:val="0"/>
                <w:bCs/>
                <w:szCs w:val="21"/>
              </w:rPr>
              <w:t>根据企业提供的资料，有机胺化学试剂的使用量为0.5kg/a。根据《国家危险废物名录</w:t>
            </w:r>
            <w:r>
              <w:rPr>
                <w:rFonts w:hint="eastAsia"/>
                <w:b w:val="0"/>
                <w:bCs/>
                <w:szCs w:val="21"/>
                <w:lang w:eastAsia="zh-CN"/>
              </w:rPr>
              <w:t>（</w:t>
            </w:r>
            <w:r>
              <w:rPr>
                <w:rFonts w:hint="eastAsia"/>
                <w:b w:val="0"/>
                <w:bCs/>
                <w:szCs w:val="21"/>
              </w:rPr>
              <w:t>2021年版</w:t>
            </w:r>
            <w:r>
              <w:rPr>
                <w:rFonts w:hint="eastAsia"/>
                <w:b w:val="0"/>
                <w:bCs/>
                <w:szCs w:val="21"/>
                <w:lang w:eastAsia="zh-CN"/>
              </w:rPr>
              <w:t>）</w:t>
            </w:r>
            <w:r>
              <w:rPr>
                <w:rFonts w:hint="eastAsia"/>
                <w:b w:val="0"/>
                <w:bCs/>
                <w:szCs w:val="21"/>
              </w:rPr>
              <w:t>》，属于危险废物，类别为“HW06废有机溶剂与含有有机溶剂废物”，废物代码：900-404-06。废有机胺溶液暂存于危废暂存间，委托有资质单位处置。</w:t>
            </w:r>
          </w:p>
          <w:p w14:paraId="551F7616">
            <w:pPr>
              <w:pStyle w:val="77"/>
              <w:ind w:firstLine="480" w:firstLineChars="200"/>
              <w:rPr>
                <w:b w:val="0"/>
                <w:bCs/>
                <w:szCs w:val="21"/>
              </w:rPr>
            </w:pPr>
            <w:r>
              <w:rPr>
                <w:rFonts w:hint="eastAsia"/>
                <w:b w:val="0"/>
                <w:bCs/>
                <w:szCs w:val="21"/>
              </w:rPr>
              <w:t>②实验废液</w:t>
            </w:r>
          </w:p>
          <w:p w14:paraId="079CD5D0">
            <w:pPr>
              <w:pStyle w:val="77"/>
              <w:ind w:firstLine="480" w:firstLineChars="200"/>
              <w:rPr>
                <w:b w:val="0"/>
                <w:bCs/>
                <w:szCs w:val="21"/>
              </w:rPr>
            </w:pPr>
            <w:r>
              <w:rPr>
                <w:rFonts w:hint="eastAsia"/>
                <w:b w:val="0"/>
                <w:bCs/>
                <w:szCs w:val="21"/>
              </w:rPr>
              <w:t>产生量0</w:t>
            </w:r>
            <w:r>
              <w:rPr>
                <w:b w:val="0"/>
                <w:bCs/>
                <w:szCs w:val="21"/>
              </w:rPr>
              <w:t>.6</w:t>
            </w:r>
            <w:r>
              <w:rPr>
                <w:rFonts w:hint="eastAsia"/>
                <w:b w:val="0"/>
                <w:bCs/>
                <w:szCs w:val="21"/>
              </w:rPr>
              <w:t>t/a，废物类别：HW49，废物代码：900-047-49，集中收集后暂存于危废暂存间，委托有资质单位处置。</w:t>
            </w:r>
          </w:p>
          <w:p w14:paraId="4DB9F255">
            <w:pPr>
              <w:pStyle w:val="77"/>
              <w:jc w:val="center"/>
              <w:rPr>
                <w:sz w:val="21"/>
                <w:szCs w:val="18"/>
              </w:rPr>
            </w:pPr>
            <w:r>
              <w:rPr>
                <w:rFonts w:hint="eastAsia"/>
                <w:sz w:val="21"/>
                <w:szCs w:val="18"/>
              </w:rPr>
              <w:t>表4</w:t>
            </w:r>
            <w:r>
              <w:rPr>
                <w:sz w:val="21"/>
                <w:szCs w:val="18"/>
              </w:rPr>
              <w:t>-</w:t>
            </w:r>
            <w:r>
              <w:rPr>
                <w:rFonts w:hint="eastAsia"/>
                <w:sz w:val="21"/>
                <w:szCs w:val="18"/>
              </w:rPr>
              <w:t>4</w:t>
            </w:r>
            <w:r>
              <w:rPr>
                <w:sz w:val="21"/>
                <w:szCs w:val="18"/>
              </w:rPr>
              <w:t xml:space="preserve"> </w:t>
            </w:r>
            <w:r>
              <w:rPr>
                <w:rFonts w:hint="eastAsia"/>
                <w:sz w:val="21"/>
                <w:szCs w:val="18"/>
              </w:rPr>
              <w:t>固体废物产排污信息表</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104"/>
              <w:gridCol w:w="717"/>
              <w:gridCol w:w="1196"/>
              <w:gridCol w:w="718"/>
              <w:gridCol w:w="857"/>
              <w:gridCol w:w="1035"/>
              <w:gridCol w:w="2322"/>
            </w:tblGrid>
            <w:tr w14:paraId="7D80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 w:type="pct"/>
                  <w:vAlign w:val="center"/>
                </w:tcPr>
                <w:p w14:paraId="2DD20F4B">
                  <w:pPr>
                    <w:pStyle w:val="77"/>
                    <w:spacing w:line="240" w:lineRule="auto"/>
                    <w:jc w:val="center"/>
                    <w:rPr>
                      <w:sz w:val="21"/>
                      <w:szCs w:val="21"/>
                    </w:rPr>
                  </w:pPr>
                  <w:bookmarkStart w:id="14" w:name="_Hlk173157953"/>
                  <w:r>
                    <w:rPr>
                      <w:rFonts w:hint="eastAsia"/>
                      <w:sz w:val="21"/>
                      <w:szCs w:val="21"/>
                    </w:rPr>
                    <w:t>序号</w:t>
                  </w:r>
                </w:p>
              </w:tc>
              <w:tc>
                <w:tcPr>
                  <w:tcW w:w="670" w:type="pct"/>
                  <w:vAlign w:val="center"/>
                </w:tcPr>
                <w:p w14:paraId="6EA17840">
                  <w:pPr>
                    <w:pStyle w:val="77"/>
                    <w:spacing w:line="240" w:lineRule="auto"/>
                    <w:jc w:val="center"/>
                    <w:rPr>
                      <w:sz w:val="21"/>
                      <w:szCs w:val="21"/>
                    </w:rPr>
                  </w:pPr>
                  <w:r>
                    <w:rPr>
                      <w:rFonts w:hint="eastAsia"/>
                      <w:sz w:val="21"/>
                      <w:szCs w:val="21"/>
                    </w:rPr>
                    <w:t>名称</w:t>
                  </w:r>
                </w:p>
              </w:tc>
              <w:tc>
                <w:tcPr>
                  <w:tcW w:w="441" w:type="pct"/>
                  <w:vAlign w:val="center"/>
                </w:tcPr>
                <w:p w14:paraId="438F1E72">
                  <w:pPr>
                    <w:pStyle w:val="77"/>
                    <w:spacing w:line="240" w:lineRule="auto"/>
                    <w:jc w:val="center"/>
                    <w:rPr>
                      <w:sz w:val="21"/>
                      <w:szCs w:val="21"/>
                    </w:rPr>
                  </w:pPr>
                  <w:r>
                    <w:rPr>
                      <w:rFonts w:hint="eastAsia"/>
                      <w:sz w:val="21"/>
                      <w:szCs w:val="21"/>
                    </w:rPr>
                    <w:t>属性</w:t>
                  </w:r>
                </w:p>
              </w:tc>
              <w:tc>
                <w:tcPr>
                  <w:tcW w:w="588" w:type="pct"/>
                  <w:vAlign w:val="center"/>
                </w:tcPr>
                <w:p w14:paraId="648FC42B">
                  <w:pPr>
                    <w:pStyle w:val="77"/>
                    <w:spacing w:line="240" w:lineRule="auto"/>
                    <w:jc w:val="center"/>
                    <w:rPr>
                      <w:sz w:val="21"/>
                      <w:szCs w:val="21"/>
                    </w:rPr>
                  </w:pPr>
                  <w:r>
                    <w:rPr>
                      <w:rFonts w:hint="eastAsia"/>
                      <w:sz w:val="21"/>
                      <w:szCs w:val="21"/>
                    </w:rPr>
                    <w:t>废物代码</w:t>
                  </w:r>
                </w:p>
              </w:tc>
              <w:tc>
                <w:tcPr>
                  <w:tcW w:w="442" w:type="pct"/>
                  <w:vAlign w:val="center"/>
                </w:tcPr>
                <w:p w14:paraId="7A658DC5">
                  <w:pPr>
                    <w:pStyle w:val="77"/>
                    <w:spacing w:line="240" w:lineRule="auto"/>
                    <w:jc w:val="center"/>
                    <w:rPr>
                      <w:sz w:val="21"/>
                      <w:szCs w:val="21"/>
                    </w:rPr>
                  </w:pPr>
                  <w:r>
                    <w:rPr>
                      <w:rFonts w:hint="eastAsia"/>
                      <w:sz w:val="21"/>
                      <w:szCs w:val="21"/>
                    </w:rPr>
                    <w:t>物理性状</w:t>
                  </w:r>
                </w:p>
              </w:tc>
              <w:tc>
                <w:tcPr>
                  <w:tcW w:w="524" w:type="pct"/>
                  <w:vAlign w:val="center"/>
                </w:tcPr>
                <w:p w14:paraId="24FCAAD7">
                  <w:pPr>
                    <w:pStyle w:val="77"/>
                    <w:spacing w:line="240" w:lineRule="auto"/>
                    <w:jc w:val="center"/>
                    <w:rPr>
                      <w:sz w:val="21"/>
                      <w:szCs w:val="21"/>
                    </w:rPr>
                  </w:pPr>
                  <w:r>
                    <w:rPr>
                      <w:rFonts w:hint="eastAsia"/>
                      <w:sz w:val="21"/>
                      <w:szCs w:val="21"/>
                    </w:rPr>
                    <w:t>危险特性</w:t>
                  </w:r>
                </w:p>
              </w:tc>
              <w:tc>
                <w:tcPr>
                  <w:tcW w:w="629" w:type="pct"/>
                  <w:vAlign w:val="center"/>
                </w:tcPr>
                <w:p w14:paraId="0C32BFB8">
                  <w:pPr>
                    <w:pStyle w:val="77"/>
                    <w:spacing w:line="240" w:lineRule="auto"/>
                    <w:jc w:val="center"/>
                    <w:rPr>
                      <w:sz w:val="21"/>
                      <w:szCs w:val="21"/>
                    </w:rPr>
                  </w:pPr>
                  <w:r>
                    <w:rPr>
                      <w:rFonts w:hint="eastAsia"/>
                      <w:sz w:val="21"/>
                      <w:szCs w:val="21"/>
                    </w:rPr>
                    <w:t>产生量</w:t>
                  </w:r>
                </w:p>
              </w:tc>
              <w:tc>
                <w:tcPr>
                  <w:tcW w:w="1390" w:type="pct"/>
                  <w:vAlign w:val="center"/>
                </w:tcPr>
                <w:p w14:paraId="11F19F82">
                  <w:pPr>
                    <w:pStyle w:val="77"/>
                    <w:spacing w:line="240" w:lineRule="auto"/>
                    <w:jc w:val="center"/>
                    <w:rPr>
                      <w:sz w:val="21"/>
                      <w:szCs w:val="21"/>
                    </w:rPr>
                  </w:pPr>
                  <w:r>
                    <w:rPr>
                      <w:rFonts w:hint="eastAsia"/>
                      <w:sz w:val="21"/>
                      <w:szCs w:val="21"/>
                    </w:rPr>
                    <w:t>处置方式</w:t>
                  </w:r>
                </w:p>
              </w:tc>
            </w:tr>
            <w:tr w14:paraId="4A03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Align w:val="center"/>
                </w:tcPr>
                <w:p w14:paraId="56B9D894">
                  <w:pPr>
                    <w:pStyle w:val="77"/>
                    <w:spacing w:line="240" w:lineRule="auto"/>
                    <w:jc w:val="center"/>
                    <w:rPr>
                      <w:b w:val="0"/>
                      <w:bCs/>
                      <w:sz w:val="21"/>
                      <w:szCs w:val="21"/>
                    </w:rPr>
                  </w:pPr>
                  <w:r>
                    <w:rPr>
                      <w:rFonts w:hint="eastAsia"/>
                      <w:b w:val="0"/>
                      <w:bCs/>
                      <w:sz w:val="21"/>
                      <w:szCs w:val="21"/>
                    </w:rPr>
                    <w:t>1</w:t>
                  </w:r>
                </w:p>
              </w:tc>
              <w:tc>
                <w:tcPr>
                  <w:tcW w:w="670" w:type="pct"/>
                  <w:vAlign w:val="center"/>
                </w:tcPr>
                <w:p w14:paraId="32B68FCA">
                  <w:pPr>
                    <w:pStyle w:val="77"/>
                    <w:spacing w:line="240" w:lineRule="auto"/>
                    <w:jc w:val="center"/>
                    <w:rPr>
                      <w:b w:val="0"/>
                      <w:bCs/>
                      <w:sz w:val="21"/>
                      <w:szCs w:val="21"/>
                    </w:rPr>
                  </w:pPr>
                  <w:r>
                    <w:rPr>
                      <w:rFonts w:hint="eastAsia"/>
                      <w:b w:val="0"/>
                      <w:bCs/>
                      <w:sz w:val="21"/>
                      <w:szCs w:val="21"/>
                    </w:rPr>
                    <w:t>生活垃圾</w:t>
                  </w:r>
                </w:p>
              </w:tc>
              <w:tc>
                <w:tcPr>
                  <w:tcW w:w="441" w:type="pct"/>
                  <w:vMerge w:val="restart"/>
                  <w:vAlign w:val="center"/>
                </w:tcPr>
                <w:p w14:paraId="20B7130C">
                  <w:pPr>
                    <w:pStyle w:val="77"/>
                    <w:spacing w:line="240" w:lineRule="auto"/>
                    <w:jc w:val="center"/>
                    <w:rPr>
                      <w:b w:val="0"/>
                      <w:bCs/>
                      <w:sz w:val="21"/>
                      <w:szCs w:val="21"/>
                    </w:rPr>
                  </w:pPr>
                  <w:r>
                    <w:rPr>
                      <w:rFonts w:hint="eastAsia"/>
                      <w:b w:val="0"/>
                      <w:bCs/>
                      <w:sz w:val="21"/>
                      <w:szCs w:val="21"/>
                    </w:rPr>
                    <w:t>一般固废</w:t>
                  </w:r>
                </w:p>
              </w:tc>
              <w:tc>
                <w:tcPr>
                  <w:tcW w:w="588" w:type="pct"/>
                  <w:vAlign w:val="center"/>
                </w:tcPr>
                <w:p w14:paraId="2A6284F5">
                  <w:pPr>
                    <w:pStyle w:val="77"/>
                    <w:spacing w:line="240" w:lineRule="auto"/>
                    <w:jc w:val="center"/>
                    <w:rPr>
                      <w:b w:val="0"/>
                      <w:bCs/>
                      <w:sz w:val="21"/>
                      <w:szCs w:val="21"/>
                    </w:rPr>
                  </w:pPr>
                  <w:r>
                    <w:rPr>
                      <w:rFonts w:hint="eastAsia"/>
                      <w:b w:val="0"/>
                      <w:bCs/>
                      <w:sz w:val="21"/>
                      <w:szCs w:val="21"/>
                    </w:rPr>
                    <w:t>/</w:t>
                  </w:r>
                </w:p>
              </w:tc>
              <w:tc>
                <w:tcPr>
                  <w:tcW w:w="442" w:type="pct"/>
                  <w:vAlign w:val="center"/>
                </w:tcPr>
                <w:p w14:paraId="20937D6D">
                  <w:pPr>
                    <w:pStyle w:val="77"/>
                    <w:spacing w:line="240" w:lineRule="auto"/>
                    <w:jc w:val="center"/>
                    <w:rPr>
                      <w:b w:val="0"/>
                      <w:bCs/>
                      <w:sz w:val="21"/>
                      <w:szCs w:val="21"/>
                    </w:rPr>
                  </w:pPr>
                  <w:r>
                    <w:rPr>
                      <w:rFonts w:hint="eastAsia"/>
                      <w:b w:val="0"/>
                      <w:bCs/>
                      <w:sz w:val="21"/>
                      <w:szCs w:val="21"/>
                    </w:rPr>
                    <w:t>固态</w:t>
                  </w:r>
                </w:p>
              </w:tc>
              <w:tc>
                <w:tcPr>
                  <w:tcW w:w="524" w:type="pct"/>
                  <w:vAlign w:val="center"/>
                </w:tcPr>
                <w:p w14:paraId="553F90F1">
                  <w:pPr>
                    <w:pStyle w:val="77"/>
                    <w:spacing w:line="240" w:lineRule="auto"/>
                    <w:jc w:val="center"/>
                    <w:rPr>
                      <w:b w:val="0"/>
                      <w:bCs/>
                      <w:sz w:val="21"/>
                      <w:szCs w:val="21"/>
                    </w:rPr>
                  </w:pPr>
                  <w:r>
                    <w:rPr>
                      <w:rFonts w:hint="eastAsia"/>
                      <w:b w:val="0"/>
                      <w:bCs/>
                      <w:sz w:val="21"/>
                      <w:szCs w:val="21"/>
                    </w:rPr>
                    <w:t>/</w:t>
                  </w:r>
                </w:p>
              </w:tc>
              <w:tc>
                <w:tcPr>
                  <w:tcW w:w="629" w:type="pct"/>
                  <w:vAlign w:val="center"/>
                </w:tcPr>
                <w:p w14:paraId="02A85F4C">
                  <w:pPr>
                    <w:pStyle w:val="77"/>
                    <w:spacing w:line="240" w:lineRule="auto"/>
                    <w:jc w:val="center"/>
                    <w:rPr>
                      <w:b w:val="0"/>
                      <w:bCs/>
                      <w:sz w:val="21"/>
                      <w:szCs w:val="21"/>
                    </w:rPr>
                  </w:pPr>
                  <w:r>
                    <w:rPr>
                      <w:rFonts w:hint="eastAsia"/>
                      <w:b w:val="0"/>
                      <w:bCs/>
                      <w:szCs w:val="21"/>
                    </w:rPr>
                    <w:t>2</w:t>
                  </w:r>
                  <w:r>
                    <w:rPr>
                      <w:b w:val="0"/>
                      <w:bCs/>
                      <w:szCs w:val="21"/>
                    </w:rPr>
                    <w:t>.64</w:t>
                  </w:r>
                  <w:r>
                    <w:rPr>
                      <w:rFonts w:hint="eastAsia"/>
                      <w:b w:val="0"/>
                      <w:bCs/>
                      <w:szCs w:val="21"/>
                    </w:rPr>
                    <w:t>t/a</w:t>
                  </w:r>
                </w:p>
              </w:tc>
              <w:tc>
                <w:tcPr>
                  <w:tcW w:w="1390" w:type="pct"/>
                  <w:vAlign w:val="center"/>
                </w:tcPr>
                <w:p w14:paraId="105C8FC0">
                  <w:pPr>
                    <w:pStyle w:val="77"/>
                    <w:spacing w:line="240" w:lineRule="auto"/>
                    <w:rPr>
                      <w:b w:val="0"/>
                      <w:bCs/>
                      <w:szCs w:val="21"/>
                    </w:rPr>
                  </w:pPr>
                  <w:r>
                    <w:rPr>
                      <w:rFonts w:hint="eastAsia"/>
                      <w:b w:val="0"/>
                      <w:bCs/>
                      <w:sz w:val="21"/>
                      <w:szCs w:val="21"/>
                    </w:rPr>
                    <w:t>收集到垃圾桶后由环卫部门统一处理</w:t>
                  </w:r>
                </w:p>
              </w:tc>
            </w:tr>
            <w:tr w14:paraId="40BF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Align w:val="center"/>
                </w:tcPr>
                <w:p w14:paraId="7EC0C83C">
                  <w:pPr>
                    <w:pStyle w:val="77"/>
                    <w:spacing w:line="240" w:lineRule="auto"/>
                    <w:jc w:val="center"/>
                    <w:rPr>
                      <w:b w:val="0"/>
                      <w:bCs/>
                      <w:sz w:val="21"/>
                      <w:szCs w:val="21"/>
                    </w:rPr>
                  </w:pPr>
                  <w:r>
                    <w:rPr>
                      <w:rFonts w:hint="eastAsia"/>
                      <w:b w:val="0"/>
                      <w:bCs/>
                      <w:sz w:val="21"/>
                      <w:szCs w:val="21"/>
                    </w:rPr>
                    <w:t>2</w:t>
                  </w:r>
                </w:p>
              </w:tc>
              <w:tc>
                <w:tcPr>
                  <w:tcW w:w="670" w:type="pct"/>
                  <w:vAlign w:val="center"/>
                </w:tcPr>
                <w:p w14:paraId="44CEAA58">
                  <w:pPr>
                    <w:pStyle w:val="77"/>
                    <w:spacing w:line="240" w:lineRule="auto"/>
                    <w:jc w:val="center"/>
                    <w:rPr>
                      <w:b w:val="0"/>
                      <w:bCs/>
                      <w:sz w:val="21"/>
                      <w:szCs w:val="21"/>
                    </w:rPr>
                  </w:pPr>
                  <w:r>
                    <w:rPr>
                      <w:rFonts w:hint="eastAsia"/>
                      <w:b w:val="0"/>
                      <w:bCs/>
                      <w:sz w:val="21"/>
                      <w:szCs w:val="21"/>
                    </w:rPr>
                    <w:t>废矸石</w:t>
                  </w:r>
                </w:p>
              </w:tc>
              <w:tc>
                <w:tcPr>
                  <w:tcW w:w="441" w:type="pct"/>
                  <w:vMerge w:val="continue"/>
                  <w:vAlign w:val="center"/>
                </w:tcPr>
                <w:p w14:paraId="4769D83F">
                  <w:pPr>
                    <w:pStyle w:val="77"/>
                    <w:spacing w:line="240" w:lineRule="auto"/>
                    <w:ind w:firstLine="422"/>
                    <w:jc w:val="center"/>
                    <w:rPr>
                      <w:b w:val="0"/>
                      <w:bCs/>
                      <w:sz w:val="21"/>
                      <w:szCs w:val="21"/>
                    </w:rPr>
                  </w:pPr>
                </w:p>
              </w:tc>
              <w:tc>
                <w:tcPr>
                  <w:tcW w:w="588" w:type="pct"/>
                  <w:vAlign w:val="center"/>
                </w:tcPr>
                <w:p w14:paraId="4299C067">
                  <w:pPr>
                    <w:pStyle w:val="77"/>
                    <w:spacing w:line="240" w:lineRule="auto"/>
                    <w:jc w:val="center"/>
                    <w:rPr>
                      <w:b w:val="0"/>
                      <w:bCs/>
                      <w:sz w:val="21"/>
                      <w:szCs w:val="21"/>
                    </w:rPr>
                  </w:pPr>
                  <w:r>
                    <w:rPr>
                      <w:rFonts w:hint="eastAsia"/>
                      <w:b w:val="0"/>
                      <w:bCs/>
                      <w:sz w:val="21"/>
                      <w:szCs w:val="21"/>
                    </w:rPr>
                    <w:t>/</w:t>
                  </w:r>
                </w:p>
              </w:tc>
              <w:tc>
                <w:tcPr>
                  <w:tcW w:w="442" w:type="pct"/>
                  <w:vAlign w:val="center"/>
                </w:tcPr>
                <w:p w14:paraId="1F770F41">
                  <w:pPr>
                    <w:pStyle w:val="77"/>
                    <w:spacing w:line="240" w:lineRule="auto"/>
                    <w:jc w:val="center"/>
                    <w:rPr>
                      <w:b w:val="0"/>
                      <w:bCs/>
                      <w:sz w:val="21"/>
                      <w:szCs w:val="21"/>
                    </w:rPr>
                  </w:pPr>
                  <w:r>
                    <w:rPr>
                      <w:rFonts w:hint="eastAsia"/>
                      <w:b w:val="0"/>
                      <w:bCs/>
                      <w:sz w:val="21"/>
                      <w:szCs w:val="21"/>
                    </w:rPr>
                    <w:t>固态</w:t>
                  </w:r>
                </w:p>
              </w:tc>
              <w:tc>
                <w:tcPr>
                  <w:tcW w:w="524" w:type="pct"/>
                  <w:vAlign w:val="center"/>
                </w:tcPr>
                <w:p w14:paraId="3590F04E">
                  <w:pPr>
                    <w:pStyle w:val="77"/>
                    <w:spacing w:line="240" w:lineRule="auto"/>
                    <w:jc w:val="center"/>
                    <w:rPr>
                      <w:b w:val="0"/>
                      <w:bCs/>
                      <w:sz w:val="21"/>
                      <w:szCs w:val="21"/>
                    </w:rPr>
                  </w:pPr>
                  <w:r>
                    <w:rPr>
                      <w:rFonts w:hint="eastAsia"/>
                      <w:b w:val="0"/>
                      <w:bCs/>
                      <w:sz w:val="21"/>
                      <w:szCs w:val="21"/>
                    </w:rPr>
                    <w:t>/</w:t>
                  </w:r>
                </w:p>
              </w:tc>
              <w:tc>
                <w:tcPr>
                  <w:tcW w:w="629" w:type="pct"/>
                  <w:vAlign w:val="center"/>
                </w:tcPr>
                <w:p w14:paraId="145FA2F3">
                  <w:pPr>
                    <w:pStyle w:val="77"/>
                    <w:spacing w:line="240" w:lineRule="auto"/>
                    <w:jc w:val="center"/>
                    <w:rPr>
                      <w:b w:val="0"/>
                      <w:bCs/>
                      <w:sz w:val="21"/>
                      <w:szCs w:val="21"/>
                    </w:rPr>
                  </w:pPr>
                  <w:r>
                    <w:rPr>
                      <w:rFonts w:hint="eastAsia"/>
                      <w:b w:val="0"/>
                      <w:bCs/>
                      <w:sz w:val="21"/>
                      <w:szCs w:val="21"/>
                    </w:rPr>
                    <w:t>2</w:t>
                  </w:r>
                  <w:r>
                    <w:rPr>
                      <w:b w:val="0"/>
                      <w:bCs/>
                      <w:sz w:val="21"/>
                      <w:szCs w:val="21"/>
                    </w:rPr>
                    <w:t>0kg/a</w:t>
                  </w:r>
                </w:p>
              </w:tc>
              <w:tc>
                <w:tcPr>
                  <w:tcW w:w="1390" w:type="pct"/>
                  <w:vMerge w:val="restart"/>
                  <w:vAlign w:val="center"/>
                </w:tcPr>
                <w:p w14:paraId="33FB0A1D">
                  <w:pPr>
                    <w:pStyle w:val="77"/>
                    <w:spacing w:line="240" w:lineRule="auto"/>
                    <w:jc w:val="center"/>
                    <w:rPr>
                      <w:b w:val="0"/>
                      <w:bCs/>
                      <w:sz w:val="21"/>
                      <w:szCs w:val="21"/>
                    </w:rPr>
                  </w:pPr>
                  <w:r>
                    <w:rPr>
                      <w:rFonts w:hint="eastAsia"/>
                      <w:b w:val="0"/>
                      <w:bCs/>
                      <w:sz w:val="21"/>
                      <w:szCs w:val="21"/>
                    </w:rPr>
                    <w:t>收集到一般固废收集桶暂存后由环卫部门统一处理</w:t>
                  </w:r>
                </w:p>
              </w:tc>
            </w:tr>
            <w:tr w14:paraId="725A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15" w:type="pct"/>
                  <w:vAlign w:val="center"/>
                </w:tcPr>
                <w:p w14:paraId="162CE7A0">
                  <w:pPr>
                    <w:pStyle w:val="77"/>
                    <w:spacing w:line="240" w:lineRule="auto"/>
                    <w:jc w:val="center"/>
                    <w:rPr>
                      <w:b w:val="0"/>
                      <w:bCs/>
                      <w:sz w:val="21"/>
                      <w:szCs w:val="21"/>
                    </w:rPr>
                  </w:pPr>
                  <w:r>
                    <w:rPr>
                      <w:rFonts w:hint="eastAsia"/>
                      <w:b w:val="0"/>
                      <w:bCs/>
                      <w:sz w:val="21"/>
                      <w:szCs w:val="21"/>
                    </w:rPr>
                    <w:t>3</w:t>
                  </w:r>
                </w:p>
              </w:tc>
              <w:tc>
                <w:tcPr>
                  <w:tcW w:w="670" w:type="pct"/>
                  <w:vAlign w:val="center"/>
                </w:tcPr>
                <w:p w14:paraId="53BE9C0C">
                  <w:pPr>
                    <w:pStyle w:val="77"/>
                    <w:spacing w:line="240" w:lineRule="auto"/>
                    <w:jc w:val="center"/>
                    <w:rPr>
                      <w:b w:val="0"/>
                      <w:bCs/>
                      <w:sz w:val="21"/>
                      <w:szCs w:val="21"/>
                    </w:rPr>
                  </w:pPr>
                  <w:r>
                    <w:rPr>
                      <w:rFonts w:hint="eastAsia"/>
                      <w:b w:val="0"/>
                      <w:bCs/>
                      <w:sz w:val="21"/>
                      <w:szCs w:val="21"/>
                    </w:rPr>
                    <w:t>废金属制品</w:t>
                  </w:r>
                </w:p>
              </w:tc>
              <w:tc>
                <w:tcPr>
                  <w:tcW w:w="441" w:type="pct"/>
                  <w:vMerge w:val="continue"/>
                  <w:vAlign w:val="center"/>
                </w:tcPr>
                <w:p w14:paraId="527557AB">
                  <w:pPr>
                    <w:pStyle w:val="77"/>
                    <w:spacing w:line="240" w:lineRule="auto"/>
                    <w:ind w:firstLine="422"/>
                    <w:jc w:val="center"/>
                    <w:rPr>
                      <w:b w:val="0"/>
                      <w:bCs/>
                      <w:sz w:val="21"/>
                      <w:szCs w:val="21"/>
                    </w:rPr>
                  </w:pPr>
                </w:p>
              </w:tc>
              <w:tc>
                <w:tcPr>
                  <w:tcW w:w="588" w:type="pct"/>
                  <w:vAlign w:val="center"/>
                </w:tcPr>
                <w:p w14:paraId="7AB116C1">
                  <w:pPr>
                    <w:pStyle w:val="77"/>
                    <w:spacing w:line="240" w:lineRule="auto"/>
                    <w:jc w:val="center"/>
                    <w:rPr>
                      <w:b w:val="0"/>
                      <w:bCs/>
                      <w:sz w:val="21"/>
                      <w:szCs w:val="21"/>
                    </w:rPr>
                  </w:pPr>
                  <w:r>
                    <w:rPr>
                      <w:rFonts w:hint="eastAsia"/>
                      <w:b w:val="0"/>
                      <w:bCs/>
                      <w:sz w:val="21"/>
                      <w:szCs w:val="21"/>
                    </w:rPr>
                    <w:t>/</w:t>
                  </w:r>
                </w:p>
              </w:tc>
              <w:tc>
                <w:tcPr>
                  <w:tcW w:w="442" w:type="pct"/>
                  <w:vAlign w:val="center"/>
                </w:tcPr>
                <w:p w14:paraId="76C2EFEF">
                  <w:pPr>
                    <w:pStyle w:val="77"/>
                    <w:spacing w:line="240" w:lineRule="auto"/>
                    <w:jc w:val="center"/>
                    <w:rPr>
                      <w:b w:val="0"/>
                      <w:bCs/>
                      <w:sz w:val="21"/>
                      <w:szCs w:val="21"/>
                    </w:rPr>
                  </w:pPr>
                  <w:r>
                    <w:rPr>
                      <w:rFonts w:hint="eastAsia"/>
                      <w:b w:val="0"/>
                      <w:bCs/>
                      <w:sz w:val="21"/>
                      <w:szCs w:val="21"/>
                    </w:rPr>
                    <w:t>固态</w:t>
                  </w:r>
                </w:p>
              </w:tc>
              <w:tc>
                <w:tcPr>
                  <w:tcW w:w="524" w:type="pct"/>
                  <w:vAlign w:val="center"/>
                </w:tcPr>
                <w:p w14:paraId="2F7B8D8D">
                  <w:pPr>
                    <w:pStyle w:val="77"/>
                    <w:spacing w:line="240" w:lineRule="auto"/>
                    <w:jc w:val="center"/>
                    <w:rPr>
                      <w:b w:val="0"/>
                      <w:bCs/>
                      <w:sz w:val="21"/>
                      <w:szCs w:val="21"/>
                    </w:rPr>
                  </w:pPr>
                  <w:r>
                    <w:rPr>
                      <w:rFonts w:hint="eastAsia"/>
                      <w:b w:val="0"/>
                      <w:bCs/>
                      <w:sz w:val="21"/>
                      <w:szCs w:val="21"/>
                    </w:rPr>
                    <w:t>/</w:t>
                  </w:r>
                </w:p>
              </w:tc>
              <w:tc>
                <w:tcPr>
                  <w:tcW w:w="629" w:type="pct"/>
                  <w:vAlign w:val="center"/>
                </w:tcPr>
                <w:p w14:paraId="31F21917">
                  <w:pPr>
                    <w:pStyle w:val="77"/>
                    <w:spacing w:line="240" w:lineRule="auto"/>
                    <w:jc w:val="center"/>
                    <w:rPr>
                      <w:b w:val="0"/>
                      <w:bCs/>
                      <w:sz w:val="21"/>
                      <w:szCs w:val="21"/>
                    </w:rPr>
                  </w:pPr>
                  <w:r>
                    <w:rPr>
                      <w:rFonts w:hint="eastAsia"/>
                      <w:b w:val="0"/>
                      <w:bCs/>
                      <w:sz w:val="21"/>
                      <w:szCs w:val="21"/>
                    </w:rPr>
                    <w:t>400kg/a</w:t>
                  </w:r>
                </w:p>
              </w:tc>
              <w:tc>
                <w:tcPr>
                  <w:tcW w:w="1390" w:type="pct"/>
                  <w:vMerge w:val="continue"/>
                  <w:vAlign w:val="center"/>
                </w:tcPr>
                <w:p w14:paraId="2FB94A0B">
                  <w:pPr>
                    <w:pStyle w:val="77"/>
                    <w:spacing w:line="240" w:lineRule="auto"/>
                    <w:ind w:firstLine="422"/>
                    <w:jc w:val="center"/>
                    <w:rPr>
                      <w:b w:val="0"/>
                      <w:bCs/>
                      <w:sz w:val="21"/>
                      <w:szCs w:val="21"/>
                    </w:rPr>
                  </w:pPr>
                </w:p>
              </w:tc>
            </w:tr>
            <w:tr w14:paraId="09A9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Align w:val="center"/>
                </w:tcPr>
                <w:p w14:paraId="0E73F6EC">
                  <w:pPr>
                    <w:pStyle w:val="77"/>
                    <w:spacing w:line="240" w:lineRule="auto"/>
                    <w:jc w:val="center"/>
                    <w:rPr>
                      <w:b w:val="0"/>
                      <w:bCs/>
                      <w:sz w:val="21"/>
                      <w:szCs w:val="21"/>
                    </w:rPr>
                  </w:pPr>
                  <w:r>
                    <w:rPr>
                      <w:rFonts w:hint="eastAsia"/>
                      <w:b w:val="0"/>
                      <w:bCs/>
                      <w:sz w:val="21"/>
                      <w:szCs w:val="21"/>
                    </w:rPr>
                    <w:t>4</w:t>
                  </w:r>
                </w:p>
              </w:tc>
              <w:tc>
                <w:tcPr>
                  <w:tcW w:w="670" w:type="pct"/>
                  <w:vAlign w:val="center"/>
                </w:tcPr>
                <w:p w14:paraId="11D462ED">
                  <w:pPr>
                    <w:pStyle w:val="77"/>
                    <w:spacing w:line="240" w:lineRule="auto"/>
                    <w:jc w:val="center"/>
                    <w:rPr>
                      <w:b w:val="0"/>
                      <w:bCs/>
                      <w:sz w:val="21"/>
                      <w:szCs w:val="21"/>
                    </w:rPr>
                  </w:pPr>
                  <w:r>
                    <w:rPr>
                      <w:rFonts w:hint="eastAsia"/>
                      <w:b w:val="0"/>
                      <w:bCs/>
                      <w:sz w:val="21"/>
                      <w:szCs w:val="21"/>
                    </w:rPr>
                    <w:t>废混凝土</w:t>
                  </w:r>
                </w:p>
              </w:tc>
              <w:tc>
                <w:tcPr>
                  <w:tcW w:w="441" w:type="pct"/>
                  <w:vMerge w:val="continue"/>
                  <w:vAlign w:val="center"/>
                </w:tcPr>
                <w:p w14:paraId="1BE3D180">
                  <w:pPr>
                    <w:pStyle w:val="77"/>
                    <w:spacing w:line="240" w:lineRule="auto"/>
                    <w:ind w:firstLine="422"/>
                    <w:jc w:val="center"/>
                    <w:rPr>
                      <w:b w:val="0"/>
                      <w:bCs/>
                      <w:sz w:val="21"/>
                      <w:szCs w:val="21"/>
                    </w:rPr>
                  </w:pPr>
                </w:p>
              </w:tc>
              <w:tc>
                <w:tcPr>
                  <w:tcW w:w="588" w:type="pct"/>
                  <w:vAlign w:val="center"/>
                </w:tcPr>
                <w:p w14:paraId="0DE8E635">
                  <w:pPr>
                    <w:pStyle w:val="77"/>
                    <w:spacing w:line="240" w:lineRule="auto"/>
                    <w:jc w:val="center"/>
                    <w:rPr>
                      <w:b w:val="0"/>
                      <w:bCs/>
                      <w:sz w:val="21"/>
                      <w:szCs w:val="21"/>
                    </w:rPr>
                  </w:pPr>
                  <w:r>
                    <w:rPr>
                      <w:rFonts w:hint="eastAsia"/>
                      <w:b w:val="0"/>
                      <w:bCs/>
                      <w:sz w:val="21"/>
                      <w:szCs w:val="21"/>
                    </w:rPr>
                    <w:t>/</w:t>
                  </w:r>
                </w:p>
              </w:tc>
              <w:tc>
                <w:tcPr>
                  <w:tcW w:w="442" w:type="pct"/>
                  <w:vAlign w:val="center"/>
                </w:tcPr>
                <w:p w14:paraId="3AD43667">
                  <w:pPr>
                    <w:pStyle w:val="77"/>
                    <w:spacing w:line="240" w:lineRule="auto"/>
                    <w:jc w:val="center"/>
                    <w:rPr>
                      <w:b w:val="0"/>
                      <w:bCs/>
                      <w:sz w:val="21"/>
                      <w:szCs w:val="21"/>
                    </w:rPr>
                  </w:pPr>
                  <w:r>
                    <w:rPr>
                      <w:rFonts w:hint="eastAsia"/>
                      <w:b w:val="0"/>
                      <w:bCs/>
                      <w:sz w:val="21"/>
                      <w:szCs w:val="21"/>
                    </w:rPr>
                    <w:t>固态</w:t>
                  </w:r>
                </w:p>
              </w:tc>
              <w:tc>
                <w:tcPr>
                  <w:tcW w:w="524" w:type="pct"/>
                  <w:vAlign w:val="center"/>
                </w:tcPr>
                <w:p w14:paraId="7A37DB44">
                  <w:pPr>
                    <w:pStyle w:val="77"/>
                    <w:spacing w:line="240" w:lineRule="auto"/>
                    <w:jc w:val="center"/>
                    <w:rPr>
                      <w:b w:val="0"/>
                      <w:bCs/>
                      <w:sz w:val="21"/>
                      <w:szCs w:val="21"/>
                    </w:rPr>
                  </w:pPr>
                  <w:r>
                    <w:rPr>
                      <w:rFonts w:hint="eastAsia"/>
                      <w:b w:val="0"/>
                      <w:bCs/>
                      <w:sz w:val="21"/>
                      <w:szCs w:val="21"/>
                    </w:rPr>
                    <w:t>/</w:t>
                  </w:r>
                </w:p>
              </w:tc>
              <w:tc>
                <w:tcPr>
                  <w:tcW w:w="629" w:type="pct"/>
                  <w:vAlign w:val="center"/>
                </w:tcPr>
                <w:p w14:paraId="4BE3B557">
                  <w:pPr>
                    <w:pStyle w:val="77"/>
                    <w:spacing w:line="240" w:lineRule="auto"/>
                    <w:jc w:val="center"/>
                    <w:rPr>
                      <w:b w:val="0"/>
                      <w:bCs/>
                      <w:sz w:val="21"/>
                      <w:szCs w:val="21"/>
                    </w:rPr>
                  </w:pPr>
                  <w:r>
                    <w:rPr>
                      <w:rFonts w:hint="eastAsia"/>
                      <w:b w:val="0"/>
                      <w:bCs/>
                      <w:sz w:val="21"/>
                      <w:szCs w:val="21"/>
                    </w:rPr>
                    <w:t>450kg/a</w:t>
                  </w:r>
                </w:p>
              </w:tc>
              <w:tc>
                <w:tcPr>
                  <w:tcW w:w="1390" w:type="pct"/>
                  <w:vMerge w:val="continue"/>
                  <w:vAlign w:val="center"/>
                </w:tcPr>
                <w:p w14:paraId="79B0AB56">
                  <w:pPr>
                    <w:pStyle w:val="77"/>
                    <w:spacing w:line="240" w:lineRule="auto"/>
                    <w:ind w:firstLine="422"/>
                    <w:jc w:val="center"/>
                    <w:rPr>
                      <w:b w:val="0"/>
                      <w:bCs/>
                      <w:sz w:val="21"/>
                      <w:szCs w:val="21"/>
                    </w:rPr>
                  </w:pPr>
                </w:p>
              </w:tc>
            </w:tr>
            <w:tr w14:paraId="7A46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 w:type="pct"/>
                  <w:vAlign w:val="center"/>
                </w:tcPr>
                <w:p w14:paraId="5749E279">
                  <w:pPr>
                    <w:pStyle w:val="77"/>
                    <w:spacing w:line="240" w:lineRule="auto"/>
                    <w:jc w:val="center"/>
                    <w:rPr>
                      <w:b w:val="0"/>
                      <w:bCs/>
                      <w:sz w:val="21"/>
                      <w:szCs w:val="21"/>
                    </w:rPr>
                  </w:pPr>
                  <w:r>
                    <w:rPr>
                      <w:rFonts w:hint="eastAsia"/>
                      <w:b w:val="0"/>
                      <w:bCs/>
                      <w:sz w:val="21"/>
                      <w:szCs w:val="21"/>
                    </w:rPr>
                    <w:t>5</w:t>
                  </w:r>
                </w:p>
              </w:tc>
              <w:tc>
                <w:tcPr>
                  <w:tcW w:w="670" w:type="pct"/>
                  <w:vAlign w:val="center"/>
                </w:tcPr>
                <w:p w14:paraId="48821439">
                  <w:pPr>
                    <w:pStyle w:val="77"/>
                    <w:spacing w:line="240" w:lineRule="auto"/>
                    <w:jc w:val="center"/>
                    <w:rPr>
                      <w:b w:val="0"/>
                      <w:bCs/>
                      <w:sz w:val="21"/>
                      <w:szCs w:val="21"/>
                    </w:rPr>
                  </w:pPr>
                  <w:r>
                    <w:rPr>
                      <w:rFonts w:hint="eastAsia"/>
                      <w:b w:val="0"/>
                      <w:bCs/>
                      <w:sz w:val="21"/>
                      <w:szCs w:val="21"/>
                    </w:rPr>
                    <w:t>废岩石</w:t>
                  </w:r>
                </w:p>
              </w:tc>
              <w:tc>
                <w:tcPr>
                  <w:tcW w:w="441" w:type="pct"/>
                  <w:vMerge w:val="continue"/>
                  <w:vAlign w:val="center"/>
                </w:tcPr>
                <w:p w14:paraId="414EA77F">
                  <w:pPr>
                    <w:pStyle w:val="77"/>
                    <w:spacing w:line="240" w:lineRule="auto"/>
                    <w:ind w:firstLine="422"/>
                    <w:jc w:val="center"/>
                    <w:rPr>
                      <w:b w:val="0"/>
                      <w:bCs/>
                      <w:sz w:val="21"/>
                      <w:szCs w:val="21"/>
                    </w:rPr>
                  </w:pPr>
                </w:p>
              </w:tc>
              <w:tc>
                <w:tcPr>
                  <w:tcW w:w="588" w:type="pct"/>
                  <w:vAlign w:val="center"/>
                </w:tcPr>
                <w:p w14:paraId="017C9659">
                  <w:pPr>
                    <w:pStyle w:val="77"/>
                    <w:spacing w:line="240" w:lineRule="auto"/>
                    <w:jc w:val="center"/>
                    <w:rPr>
                      <w:b w:val="0"/>
                      <w:bCs/>
                      <w:sz w:val="21"/>
                      <w:szCs w:val="21"/>
                    </w:rPr>
                  </w:pPr>
                  <w:r>
                    <w:rPr>
                      <w:rFonts w:hint="eastAsia"/>
                      <w:b w:val="0"/>
                      <w:bCs/>
                      <w:sz w:val="21"/>
                      <w:szCs w:val="21"/>
                    </w:rPr>
                    <w:t>/</w:t>
                  </w:r>
                </w:p>
              </w:tc>
              <w:tc>
                <w:tcPr>
                  <w:tcW w:w="442" w:type="pct"/>
                  <w:vAlign w:val="center"/>
                </w:tcPr>
                <w:p w14:paraId="23A07454">
                  <w:pPr>
                    <w:pStyle w:val="77"/>
                    <w:spacing w:line="240" w:lineRule="auto"/>
                    <w:jc w:val="center"/>
                    <w:rPr>
                      <w:b w:val="0"/>
                      <w:bCs/>
                      <w:sz w:val="21"/>
                      <w:szCs w:val="21"/>
                    </w:rPr>
                  </w:pPr>
                  <w:r>
                    <w:rPr>
                      <w:rFonts w:hint="eastAsia"/>
                      <w:b w:val="0"/>
                      <w:bCs/>
                      <w:sz w:val="21"/>
                      <w:szCs w:val="21"/>
                    </w:rPr>
                    <w:t>固态</w:t>
                  </w:r>
                </w:p>
              </w:tc>
              <w:tc>
                <w:tcPr>
                  <w:tcW w:w="524" w:type="pct"/>
                  <w:vAlign w:val="center"/>
                </w:tcPr>
                <w:p w14:paraId="5D9B837F">
                  <w:pPr>
                    <w:pStyle w:val="77"/>
                    <w:spacing w:line="240" w:lineRule="auto"/>
                    <w:jc w:val="center"/>
                    <w:rPr>
                      <w:b w:val="0"/>
                      <w:bCs/>
                      <w:sz w:val="21"/>
                      <w:szCs w:val="21"/>
                    </w:rPr>
                  </w:pPr>
                  <w:r>
                    <w:rPr>
                      <w:rFonts w:hint="eastAsia"/>
                      <w:b w:val="0"/>
                      <w:bCs/>
                      <w:sz w:val="21"/>
                      <w:szCs w:val="21"/>
                    </w:rPr>
                    <w:t>/</w:t>
                  </w:r>
                </w:p>
              </w:tc>
              <w:tc>
                <w:tcPr>
                  <w:tcW w:w="629" w:type="pct"/>
                  <w:vAlign w:val="center"/>
                </w:tcPr>
                <w:p w14:paraId="32108155">
                  <w:pPr>
                    <w:pStyle w:val="77"/>
                    <w:spacing w:line="240" w:lineRule="auto"/>
                    <w:jc w:val="center"/>
                    <w:rPr>
                      <w:b w:val="0"/>
                      <w:bCs/>
                      <w:sz w:val="21"/>
                      <w:szCs w:val="21"/>
                    </w:rPr>
                  </w:pPr>
                  <w:r>
                    <w:rPr>
                      <w:rFonts w:hint="eastAsia"/>
                      <w:b w:val="0"/>
                      <w:bCs/>
                      <w:sz w:val="21"/>
                      <w:szCs w:val="21"/>
                    </w:rPr>
                    <w:t>350kg/a</w:t>
                  </w:r>
                </w:p>
              </w:tc>
              <w:tc>
                <w:tcPr>
                  <w:tcW w:w="1390" w:type="pct"/>
                  <w:vMerge w:val="continue"/>
                  <w:vAlign w:val="center"/>
                </w:tcPr>
                <w:p w14:paraId="3E3E621C">
                  <w:pPr>
                    <w:pStyle w:val="77"/>
                    <w:spacing w:line="240" w:lineRule="auto"/>
                    <w:ind w:firstLine="422"/>
                    <w:jc w:val="center"/>
                    <w:rPr>
                      <w:b w:val="0"/>
                      <w:bCs/>
                      <w:sz w:val="21"/>
                      <w:szCs w:val="21"/>
                    </w:rPr>
                  </w:pPr>
                </w:p>
              </w:tc>
            </w:tr>
            <w:tr w14:paraId="0355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 w:type="pct"/>
                  <w:vAlign w:val="center"/>
                </w:tcPr>
                <w:p w14:paraId="03F10C0A">
                  <w:pPr>
                    <w:pStyle w:val="77"/>
                    <w:spacing w:line="240" w:lineRule="auto"/>
                    <w:jc w:val="center"/>
                    <w:rPr>
                      <w:b w:val="0"/>
                      <w:bCs/>
                      <w:sz w:val="21"/>
                      <w:szCs w:val="21"/>
                    </w:rPr>
                  </w:pPr>
                  <w:r>
                    <w:rPr>
                      <w:rFonts w:hint="eastAsia"/>
                      <w:b w:val="0"/>
                      <w:bCs/>
                      <w:sz w:val="21"/>
                      <w:szCs w:val="21"/>
                    </w:rPr>
                    <w:t>6</w:t>
                  </w:r>
                </w:p>
              </w:tc>
              <w:tc>
                <w:tcPr>
                  <w:tcW w:w="670" w:type="pct"/>
                  <w:vAlign w:val="center"/>
                </w:tcPr>
                <w:p w14:paraId="51679EB1">
                  <w:pPr>
                    <w:pStyle w:val="77"/>
                    <w:spacing w:line="240" w:lineRule="auto"/>
                    <w:jc w:val="center"/>
                    <w:rPr>
                      <w:b w:val="0"/>
                      <w:bCs/>
                      <w:sz w:val="21"/>
                      <w:szCs w:val="21"/>
                    </w:rPr>
                  </w:pPr>
                  <w:r>
                    <w:rPr>
                      <w:rFonts w:hint="eastAsia"/>
                      <w:b w:val="0"/>
                      <w:bCs/>
                      <w:sz w:val="21"/>
                      <w:szCs w:val="21"/>
                    </w:rPr>
                    <w:t>废离子交换树脂、废反渗透膜</w:t>
                  </w:r>
                </w:p>
              </w:tc>
              <w:tc>
                <w:tcPr>
                  <w:tcW w:w="441" w:type="pct"/>
                  <w:vMerge w:val="continue"/>
                  <w:vAlign w:val="center"/>
                </w:tcPr>
                <w:p w14:paraId="0F3FDBF2">
                  <w:pPr>
                    <w:pStyle w:val="77"/>
                    <w:spacing w:line="240" w:lineRule="auto"/>
                    <w:ind w:firstLine="422"/>
                    <w:jc w:val="center"/>
                    <w:rPr>
                      <w:b w:val="0"/>
                      <w:bCs/>
                      <w:sz w:val="21"/>
                      <w:szCs w:val="21"/>
                    </w:rPr>
                  </w:pPr>
                </w:p>
              </w:tc>
              <w:tc>
                <w:tcPr>
                  <w:tcW w:w="588" w:type="pct"/>
                  <w:vAlign w:val="center"/>
                </w:tcPr>
                <w:p w14:paraId="1FE59F1E">
                  <w:pPr>
                    <w:pStyle w:val="77"/>
                    <w:spacing w:line="240" w:lineRule="auto"/>
                    <w:jc w:val="center"/>
                    <w:rPr>
                      <w:b w:val="0"/>
                      <w:bCs/>
                      <w:sz w:val="21"/>
                      <w:szCs w:val="21"/>
                    </w:rPr>
                  </w:pPr>
                  <w:r>
                    <w:rPr>
                      <w:rFonts w:hint="eastAsia"/>
                      <w:b w:val="0"/>
                      <w:bCs/>
                      <w:sz w:val="21"/>
                      <w:szCs w:val="21"/>
                    </w:rPr>
                    <w:t>/</w:t>
                  </w:r>
                </w:p>
              </w:tc>
              <w:tc>
                <w:tcPr>
                  <w:tcW w:w="442" w:type="pct"/>
                  <w:vAlign w:val="center"/>
                </w:tcPr>
                <w:p w14:paraId="47161153">
                  <w:pPr>
                    <w:pStyle w:val="77"/>
                    <w:spacing w:line="240" w:lineRule="auto"/>
                    <w:jc w:val="center"/>
                    <w:rPr>
                      <w:b w:val="0"/>
                      <w:bCs/>
                      <w:sz w:val="21"/>
                      <w:szCs w:val="21"/>
                    </w:rPr>
                  </w:pPr>
                  <w:r>
                    <w:rPr>
                      <w:rFonts w:hint="eastAsia"/>
                      <w:b w:val="0"/>
                      <w:bCs/>
                      <w:sz w:val="21"/>
                      <w:szCs w:val="21"/>
                    </w:rPr>
                    <w:t>固态</w:t>
                  </w:r>
                </w:p>
              </w:tc>
              <w:tc>
                <w:tcPr>
                  <w:tcW w:w="524" w:type="pct"/>
                  <w:vAlign w:val="center"/>
                </w:tcPr>
                <w:p w14:paraId="34A3654F">
                  <w:pPr>
                    <w:pStyle w:val="77"/>
                    <w:spacing w:line="240" w:lineRule="auto"/>
                    <w:jc w:val="center"/>
                    <w:rPr>
                      <w:b w:val="0"/>
                      <w:bCs/>
                      <w:sz w:val="21"/>
                      <w:szCs w:val="21"/>
                    </w:rPr>
                  </w:pPr>
                  <w:r>
                    <w:rPr>
                      <w:rFonts w:hint="eastAsia"/>
                      <w:b w:val="0"/>
                      <w:bCs/>
                      <w:sz w:val="21"/>
                      <w:szCs w:val="21"/>
                    </w:rPr>
                    <w:t>/</w:t>
                  </w:r>
                </w:p>
              </w:tc>
              <w:tc>
                <w:tcPr>
                  <w:tcW w:w="629" w:type="pct"/>
                  <w:vAlign w:val="center"/>
                </w:tcPr>
                <w:p w14:paraId="7B725E76">
                  <w:pPr>
                    <w:pStyle w:val="77"/>
                    <w:spacing w:line="240" w:lineRule="auto"/>
                    <w:jc w:val="center"/>
                    <w:rPr>
                      <w:b w:val="0"/>
                      <w:bCs/>
                      <w:sz w:val="21"/>
                      <w:szCs w:val="21"/>
                    </w:rPr>
                  </w:pPr>
                  <w:r>
                    <w:rPr>
                      <w:rFonts w:hint="eastAsia"/>
                      <w:b w:val="0"/>
                      <w:bCs/>
                      <w:sz w:val="21"/>
                      <w:szCs w:val="21"/>
                    </w:rPr>
                    <w:t>5 kg/a</w:t>
                  </w:r>
                </w:p>
              </w:tc>
              <w:tc>
                <w:tcPr>
                  <w:tcW w:w="1390" w:type="pct"/>
                  <w:vMerge w:val="continue"/>
                  <w:vAlign w:val="center"/>
                </w:tcPr>
                <w:p w14:paraId="6D9EE21B">
                  <w:pPr>
                    <w:pStyle w:val="77"/>
                    <w:spacing w:line="240" w:lineRule="auto"/>
                    <w:ind w:firstLine="422"/>
                    <w:jc w:val="center"/>
                    <w:rPr>
                      <w:b w:val="0"/>
                      <w:bCs/>
                      <w:sz w:val="21"/>
                      <w:szCs w:val="21"/>
                    </w:rPr>
                  </w:pPr>
                </w:p>
              </w:tc>
            </w:tr>
            <w:tr w14:paraId="3EFC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 w:type="pct"/>
                  <w:vAlign w:val="center"/>
                </w:tcPr>
                <w:p w14:paraId="7124FAED">
                  <w:pPr>
                    <w:pStyle w:val="77"/>
                    <w:spacing w:line="240" w:lineRule="auto"/>
                    <w:jc w:val="center"/>
                    <w:rPr>
                      <w:b w:val="0"/>
                      <w:bCs/>
                      <w:sz w:val="21"/>
                      <w:szCs w:val="21"/>
                    </w:rPr>
                  </w:pPr>
                  <w:r>
                    <w:rPr>
                      <w:rFonts w:hint="eastAsia"/>
                      <w:b w:val="0"/>
                      <w:bCs/>
                      <w:sz w:val="21"/>
                      <w:szCs w:val="21"/>
                    </w:rPr>
                    <w:t>7</w:t>
                  </w:r>
                </w:p>
              </w:tc>
              <w:tc>
                <w:tcPr>
                  <w:tcW w:w="670" w:type="pct"/>
                  <w:vAlign w:val="center"/>
                </w:tcPr>
                <w:p w14:paraId="32BB41FF">
                  <w:pPr>
                    <w:pStyle w:val="77"/>
                    <w:spacing w:line="240" w:lineRule="auto"/>
                    <w:jc w:val="center"/>
                    <w:rPr>
                      <w:b w:val="0"/>
                      <w:bCs/>
                      <w:sz w:val="21"/>
                      <w:szCs w:val="21"/>
                    </w:rPr>
                  </w:pPr>
                  <w:r>
                    <w:rPr>
                      <w:rFonts w:hint="eastAsia"/>
                      <w:b w:val="0"/>
                      <w:bCs/>
                      <w:sz w:val="21"/>
                      <w:szCs w:val="21"/>
                    </w:rPr>
                    <w:t>废有机胺溶液</w:t>
                  </w:r>
                </w:p>
              </w:tc>
              <w:tc>
                <w:tcPr>
                  <w:tcW w:w="441" w:type="pct"/>
                  <w:vMerge w:val="restart"/>
                  <w:vAlign w:val="center"/>
                </w:tcPr>
                <w:p w14:paraId="54DFB3C5">
                  <w:pPr>
                    <w:pStyle w:val="77"/>
                    <w:spacing w:line="240" w:lineRule="auto"/>
                    <w:jc w:val="center"/>
                    <w:rPr>
                      <w:b w:val="0"/>
                      <w:bCs/>
                      <w:sz w:val="21"/>
                      <w:szCs w:val="21"/>
                    </w:rPr>
                  </w:pPr>
                  <w:r>
                    <w:rPr>
                      <w:rFonts w:hint="eastAsia"/>
                      <w:b w:val="0"/>
                      <w:bCs/>
                      <w:sz w:val="21"/>
                      <w:szCs w:val="21"/>
                    </w:rPr>
                    <w:t>危险废物</w:t>
                  </w:r>
                </w:p>
              </w:tc>
              <w:tc>
                <w:tcPr>
                  <w:tcW w:w="588" w:type="pct"/>
                  <w:vAlign w:val="center"/>
                </w:tcPr>
                <w:p w14:paraId="25006821">
                  <w:pPr>
                    <w:pStyle w:val="77"/>
                    <w:spacing w:line="240" w:lineRule="auto"/>
                    <w:jc w:val="center"/>
                    <w:rPr>
                      <w:b w:val="0"/>
                      <w:bCs/>
                      <w:sz w:val="21"/>
                      <w:szCs w:val="21"/>
                    </w:rPr>
                  </w:pPr>
                  <w:r>
                    <w:rPr>
                      <w:b w:val="0"/>
                      <w:bCs/>
                      <w:sz w:val="21"/>
                      <w:szCs w:val="21"/>
                    </w:rPr>
                    <w:t>HW06</w:t>
                  </w:r>
                </w:p>
                <w:p w14:paraId="1BA7927B">
                  <w:pPr>
                    <w:pStyle w:val="77"/>
                    <w:spacing w:line="240" w:lineRule="auto"/>
                    <w:jc w:val="center"/>
                    <w:rPr>
                      <w:b w:val="0"/>
                      <w:bCs/>
                      <w:sz w:val="21"/>
                      <w:szCs w:val="21"/>
                    </w:rPr>
                  </w:pPr>
                  <w:r>
                    <w:rPr>
                      <w:b w:val="0"/>
                      <w:bCs/>
                      <w:sz w:val="21"/>
                      <w:szCs w:val="21"/>
                    </w:rPr>
                    <w:t>900-404-06</w:t>
                  </w:r>
                </w:p>
              </w:tc>
              <w:tc>
                <w:tcPr>
                  <w:tcW w:w="442" w:type="pct"/>
                  <w:vAlign w:val="center"/>
                </w:tcPr>
                <w:p w14:paraId="06AB4005">
                  <w:pPr>
                    <w:pStyle w:val="77"/>
                    <w:spacing w:line="240" w:lineRule="auto"/>
                    <w:jc w:val="center"/>
                    <w:rPr>
                      <w:b w:val="0"/>
                      <w:bCs/>
                      <w:sz w:val="21"/>
                      <w:szCs w:val="21"/>
                    </w:rPr>
                  </w:pPr>
                  <w:r>
                    <w:rPr>
                      <w:rFonts w:hint="eastAsia"/>
                      <w:b w:val="0"/>
                      <w:bCs/>
                      <w:sz w:val="21"/>
                      <w:szCs w:val="21"/>
                    </w:rPr>
                    <w:t>液态</w:t>
                  </w:r>
                </w:p>
              </w:tc>
              <w:tc>
                <w:tcPr>
                  <w:tcW w:w="524" w:type="pct"/>
                  <w:vAlign w:val="center"/>
                </w:tcPr>
                <w:p w14:paraId="72C3B04B">
                  <w:pPr>
                    <w:pStyle w:val="77"/>
                    <w:spacing w:line="240" w:lineRule="auto"/>
                    <w:jc w:val="center"/>
                    <w:rPr>
                      <w:b w:val="0"/>
                      <w:bCs/>
                      <w:sz w:val="21"/>
                      <w:szCs w:val="21"/>
                    </w:rPr>
                  </w:pPr>
                  <w:r>
                    <w:rPr>
                      <w:rFonts w:hint="eastAsia"/>
                      <w:b w:val="0"/>
                      <w:bCs/>
                      <w:sz w:val="21"/>
                      <w:szCs w:val="21"/>
                    </w:rPr>
                    <w:t>T，I，R</w:t>
                  </w:r>
                </w:p>
              </w:tc>
              <w:tc>
                <w:tcPr>
                  <w:tcW w:w="629" w:type="pct"/>
                  <w:vAlign w:val="center"/>
                </w:tcPr>
                <w:p w14:paraId="584F1B17">
                  <w:pPr>
                    <w:pStyle w:val="77"/>
                    <w:spacing w:line="240" w:lineRule="auto"/>
                    <w:jc w:val="center"/>
                    <w:rPr>
                      <w:b w:val="0"/>
                      <w:bCs/>
                      <w:sz w:val="21"/>
                      <w:szCs w:val="21"/>
                    </w:rPr>
                  </w:pPr>
                  <w:r>
                    <w:rPr>
                      <w:rFonts w:hint="eastAsia"/>
                      <w:b w:val="0"/>
                      <w:bCs/>
                      <w:sz w:val="21"/>
                      <w:szCs w:val="21"/>
                    </w:rPr>
                    <w:t>0.5kg</w:t>
                  </w:r>
                  <w:r>
                    <w:rPr>
                      <w:b w:val="0"/>
                      <w:bCs/>
                      <w:sz w:val="21"/>
                      <w:szCs w:val="21"/>
                    </w:rPr>
                    <w:t>/a</w:t>
                  </w:r>
                </w:p>
              </w:tc>
              <w:tc>
                <w:tcPr>
                  <w:tcW w:w="1390" w:type="pct"/>
                  <w:vMerge w:val="restart"/>
                  <w:vAlign w:val="center"/>
                </w:tcPr>
                <w:p w14:paraId="6DCF2648">
                  <w:pPr>
                    <w:pStyle w:val="77"/>
                    <w:spacing w:line="240" w:lineRule="auto"/>
                    <w:jc w:val="center"/>
                    <w:rPr>
                      <w:b w:val="0"/>
                      <w:bCs/>
                      <w:sz w:val="21"/>
                      <w:szCs w:val="21"/>
                    </w:rPr>
                  </w:pPr>
                  <w:r>
                    <w:rPr>
                      <w:rFonts w:hint="eastAsia"/>
                      <w:b w:val="0"/>
                      <w:bCs/>
                      <w:sz w:val="21"/>
                      <w:szCs w:val="21"/>
                    </w:rPr>
                    <w:t>暂存于危废暂存间，委托有资质的机构处理</w:t>
                  </w:r>
                </w:p>
              </w:tc>
            </w:tr>
            <w:tr w14:paraId="71E9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Align w:val="center"/>
                </w:tcPr>
                <w:p w14:paraId="79880919">
                  <w:pPr>
                    <w:pStyle w:val="77"/>
                    <w:spacing w:line="240" w:lineRule="auto"/>
                    <w:jc w:val="center"/>
                    <w:rPr>
                      <w:b w:val="0"/>
                      <w:bCs/>
                      <w:sz w:val="21"/>
                      <w:szCs w:val="21"/>
                    </w:rPr>
                  </w:pPr>
                  <w:r>
                    <w:rPr>
                      <w:rFonts w:hint="eastAsia"/>
                      <w:b w:val="0"/>
                      <w:bCs/>
                      <w:sz w:val="21"/>
                      <w:szCs w:val="21"/>
                    </w:rPr>
                    <w:t>8</w:t>
                  </w:r>
                </w:p>
              </w:tc>
              <w:tc>
                <w:tcPr>
                  <w:tcW w:w="670" w:type="pct"/>
                  <w:vAlign w:val="center"/>
                </w:tcPr>
                <w:p w14:paraId="72D1F153">
                  <w:pPr>
                    <w:pStyle w:val="77"/>
                    <w:spacing w:line="240" w:lineRule="auto"/>
                    <w:jc w:val="center"/>
                    <w:rPr>
                      <w:b w:val="0"/>
                      <w:bCs/>
                      <w:sz w:val="21"/>
                      <w:szCs w:val="21"/>
                    </w:rPr>
                  </w:pPr>
                  <w:r>
                    <w:rPr>
                      <w:rFonts w:hint="eastAsia"/>
                      <w:b w:val="0"/>
                      <w:bCs/>
                      <w:sz w:val="21"/>
                      <w:szCs w:val="21"/>
                    </w:rPr>
                    <w:t>实验废液</w:t>
                  </w:r>
                </w:p>
              </w:tc>
              <w:tc>
                <w:tcPr>
                  <w:tcW w:w="441" w:type="pct"/>
                  <w:vMerge w:val="continue"/>
                  <w:vAlign w:val="center"/>
                </w:tcPr>
                <w:p w14:paraId="7B23F70F">
                  <w:pPr>
                    <w:pStyle w:val="77"/>
                    <w:spacing w:line="240" w:lineRule="auto"/>
                    <w:ind w:firstLine="422"/>
                    <w:jc w:val="center"/>
                    <w:rPr>
                      <w:b w:val="0"/>
                      <w:bCs/>
                      <w:sz w:val="21"/>
                      <w:szCs w:val="21"/>
                    </w:rPr>
                  </w:pPr>
                </w:p>
              </w:tc>
              <w:tc>
                <w:tcPr>
                  <w:tcW w:w="588" w:type="pct"/>
                  <w:vAlign w:val="center"/>
                </w:tcPr>
                <w:p w14:paraId="2DC9E8AC">
                  <w:pPr>
                    <w:pStyle w:val="77"/>
                    <w:spacing w:line="240" w:lineRule="auto"/>
                    <w:jc w:val="center"/>
                    <w:rPr>
                      <w:b w:val="0"/>
                      <w:bCs/>
                      <w:sz w:val="21"/>
                      <w:szCs w:val="21"/>
                    </w:rPr>
                  </w:pPr>
                  <w:r>
                    <w:rPr>
                      <w:b w:val="0"/>
                      <w:bCs/>
                      <w:sz w:val="21"/>
                      <w:szCs w:val="21"/>
                    </w:rPr>
                    <w:t>HW49</w:t>
                  </w:r>
                </w:p>
                <w:p w14:paraId="35EFC974">
                  <w:pPr>
                    <w:pStyle w:val="77"/>
                    <w:spacing w:line="240" w:lineRule="auto"/>
                    <w:jc w:val="center"/>
                    <w:rPr>
                      <w:b w:val="0"/>
                      <w:bCs/>
                      <w:sz w:val="21"/>
                      <w:szCs w:val="21"/>
                    </w:rPr>
                  </w:pPr>
                  <w:r>
                    <w:rPr>
                      <w:b w:val="0"/>
                      <w:bCs/>
                      <w:sz w:val="21"/>
                      <w:szCs w:val="21"/>
                    </w:rPr>
                    <w:t>900-047-49</w:t>
                  </w:r>
                </w:p>
              </w:tc>
              <w:tc>
                <w:tcPr>
                  <w:tcW w:w="442" w:type="pct"/>
                  <w:vAlign w:val="center"/>
                </w:tcPr>
                <w:p w14:paraId="4B103F1B">
                  <w:pPr>
                    <w:pStyle w:val="77"/>
                    <w:spacing w:line="240" w:lineRule="auto"/>
                    <w:jc w:val="center"/>
                    <w:rPr>
                      <w:b w:val="0"/>
                      <w:bCs/>
                      <w:sz w:val="21"/>
                      <w:szCs w:val="21"/>
                    </w:rPr>
                  </w:pPr>
                  <w:r>
                    <w:rPr>
                      <w:rFonts w:hint="eastAsia"/>
                      <w:b w:val="0"/>
                      <w:bCs/>
                      <w:sz w:val="21"/>
                      <w:szCs w:val="21"/>
                    </w:rPr>
                    <w:t>液态</w:t>
                  </w:r>
                </w:p>
              </w:tc>
              <w:tc>
                <w:tcPr>
                  <w:tcW w:w="524" w:type="pct"/>
                  <w:vAlign w:val="center"/>
                </w:tcPr>
                <w:p w14:paraId="4951D217">
                  <w:pPr>
                    <w:pStyle w:val="77"/>
                    <w:spacing w:line="240" w:lineRule="auto"/>
                    <w:jc w:val="center"/>
                    <w:rPr>
                      <w:b w:val="0"/>
                      <w:bCs/>
                      <w:sz w:val="21"/>
                      <w:szCs w:val="21"/>
                    </w:rPr>
                  </w:pPr>
                  <w:r>
                    <w:rPr>
                      <w:rFonts w:hint="eastAsia"/>
                      <w:b w:val="0"/>
                      <w:bCs/>
                      <w:sz w:val="21"/>
                      <w:szCs w:val="21"/>
                    </w:rPr>
                    <w:t>C，I，R</w:t>
                  </w:r>
                </w:p>
              </w:tc>
              <w:tc>
                <w:tcPr>
                  <w:tcW w:w="629" w:type="pct"/>
                  <w:vAlign w:val="center"/>
                </w:tcPr>
                <w:p w14:paraId="62F589AE">
                  <w:pPr>
                    <w:pStyle w:val="77"/>
                    <w:spacing w:line="240" w:lineRule="auto"/>
                    <w:jc w:val="center"/>
                    <w:rPr>
                      <w:b w:val="0"/>
                      <w:bCs/>
                      <w:sz w:val="21"/>
                      <w:szCs w:val="21"/>
                    </w:rPr>
                  </w:pPr>
                  <w:r>
                    <w:rPr>
                      <w:b w:val="0"/>
                      <w:bCs/>
                      <w:sz w:val="21"/>
                      <w:szCs w:val="21"/>
                    </w:rPr>
                    <w:t>0.6</w:t>
                  </w:r>
                  <w:r>
                    <w:rPr>
                      <w:rFonts w:hint="eastAsia"/>
                      <w:b w:val="0"/>
                      <w:bCs/>
                      <w:sz w:val="21"/>
                      <w:szCs w:val="21"/>
                    </w:rPr>
                    <w:t>t/a</w:t>
                  </w:r>
                </w:p>
              </w:tc>
              <w:tc>
                <w:tcPr>
                  <w:tcW w:w="1390" w:type="pct"/>
                  <w:vMerge w:val="continue"/>
                  <w:vAlign w:val="center"/>
                </w:tcPr>
                <w:p w14:paraId="00AFC370">
                  <w:pPr>
                    <w:pStyle w:val="77"/>
                    <w:spacing w:line="240" w:lineRule="auto"/>
                    <w:ind w:firstLine="422"/>
                    <w:jc w:val="center"/>
                    <w:rPr>
                      <w:b w:val="0"/>
                      <w:bCs/>
                      <w:sz w:val="21"/>
                      <w:szCs w:val="21"/>
                    </w:rPr>
                  </w:pPr>
                </w:p>
              </w:tc>
            </w:tr>
            <w:bookmarkEnd w:id="14"/>
          </w:tbl>
          <w:p w14:paraId="037483A5">
            <w:pPr>
              <w:pStyle w:val="77"/>
              <w:ind w:firstLine="480" w:firstLineChars="200"/>
              <w:rPr>
                <w:b w:val="0"/>
                <w:bCs/>
                <w:szCs w:val="21"/>
              </w:rPr>
            </w:pPr>
            <w:r>
              <w:rPr>
                <w:rFonts w:hint="eastAsia"/>
                <w:b w:val="0"/>
                <w:bCs/>
                <w:szCs w:val="21"/>
              </w:rPr>
              <w:t>（3）一般固废暂存设施和管理要求</w:t>
            </w:r>
          </w:p>
          <w:p w14:paraId="27EAFC7A">
            <w:pPr>
              <w:pStyle w:val="77"/>
              <w:ind w:firstLine="480" w:firstLineChars="200"/>
              <w:rPr>
                <w:b w:val="0"/>
                <w:bCs/>
                <w:szCs w:val="21"/>
              </w:rPr>
            </w:pPr>
            <w:r>
              <w:rPr>
                <w:rFonts w:hint="eastAsia"/>
                <w:b w:val="0"/>
                <w:bCs/>
                <w:szCs w:val="21"/>
              </w:rPr>
              <w:t>本项目产生的一般固废设置收集桶暂存。按照《一般工业固体废物储存、处置场污染控制标准》（GB18599-2020）的要求，建设必要的固废分类收集和临时贮存设施，具体要求如下：</w:t>
            </w:r>
          </w:p>
          <w:p w14:paraId="7CE49C40">
            <w:pPr>
              <w:pStyle w:val="77"/>
              <w:ind w:firstLine="480" w:firstLineChars="200"/>
              <w:rPr>
                <w:b w:val="0"/>
                <w:bCs/>
                <w:szCs w:val="21"/>
              </w:rPr>
            </w:pPr>
            <w:r>
              <w:rPr>
                <w:rFonts w:hint="eastAsia"/>
                <w:b w:val="0"/>
                <w:bCs/>
                <w:szCs w:val="21"/>
              </w:rPr>
              <w:t>①一般固体废物应分类收集、储存，不能混存，也不允许将危险废物和生活垃圾混入；</w:t>
            </w:r>
          </w:p>
          <w:p w14:paraId="694B2B79">
            <w:pPr>
              <w:pStyle w:val="77"/>
              <w:ind w:firstLine="480" w:firstLineChars="200"/>
              <w:rPr>
                <w:b w:val="0"/>
                <w:bCs/>
                <w:szCs w:val="21"/>
              </w:rPr>
            </w:pPr>
            <w:r>
              <w:rPr>
                <w:rFonts w:hint="eastAsia"/>
                <w:b w:val="0"/>
                <w:bCs/>
                <w:szCs w:val="21"/>
              </w:rPr>
              <w:t>②一般固体废物临时储存地点不允许露天堆放，以防雨水冲刷，雨水通过场地四周导流渠流向雨水排放管；临时堆放场地为水泥铺设地面，以防渗漏。</w:t>
            </w:r>
          </w:p>
          <w:p w14:paraId="03CFB447">
            <w:pPr>
              <w:pStyle w:val="77"/>
              <w:ind w:firstLine="480" w:firstLineChars="200"/>
              <w:rPr>
                <w:b w:val="0"/>
                <w:bCs/>
                <w:szCs w:val="21"/>
              </w:rPr>
            </w:pPr>
            <w:r>
              <w:rPr>
                <w:rFonts w:hint="eastAsia"/>
                <w:b w:val="0"/>
                <w:bCs/>
                <w:szCs w:val="21"/>
              </w:rPr>
              <w:t>③储存</w:t>
            </w:r>
            <w:r>
              <w:rPr>
                <w:rFonts w:hint="eastAsia"/>
                <w:b w:val="0"/>
                <w:bCs/>
                <w:szCs w:val="21"/>
                <w:lang w:eastAsia="zh-CN"/>
              </w:rPr>
              <w:t>场所</w:t>
            </w:r>
            <w:r>
              <w:rPr>
                <w:rFonts w:hint="eastAsia"/>
                <w:b w:val="0"/>
                <w:bCs/>
                <w:szCs w:val="21"/>
              </w:rPr>
              <w:t>应加强监督管理，按《环境保护图形标志固体废物贮存（处置）场》GB15562.2-1995设置环境保护图形标志。</w:t>
            </w:r>
          </w:p>
          <w:p w14:paraId="5243A9CF">
            <w:pPr>
              <w:pStyle w:val="77"/>
              <w:ind w:firstLine="480" w:firstLineChars="200"/>
              <w:rPr>
                <w:b w:val="0"/>
                <w:bCs/>
                <w:szCs w:val="21"/>
              </w:rPr>
            </w:pPr>
            <w:r>
              <w:rPr>
                <w:rFonts w:hint="eastAsia"/>
                <w:b w:val="0"/>
                <w:bCs/>
                <w:szCs w:val="21"/>
              </w:rPr>
              <w:t>④建立档案制度，将临时储存的一般固体废物的种类、数量和外运的一般固体废物的种类、数量详细记录在案，长期保存，供随时查阅。</w:t>
            </w:r>
          </w:p>
          <w:p w14:paraId="35397730">
            <w:pPr>
              <w:pStyle w:val="77"/>
              <w:ind w:firstLine="480" w:firstLineChars="200"/>
              <w:rPr>
                <w:b w:val="0"/>
                <w:bCs/>
                <w:szCs w:val="21"/>
              </w:rPr>
            </w:pPr>
            <w:r>
              <w:rPr>
                <w:rFonts w:hint="eastAsia"/>
                <w:b w:val="0"/>
                <w:bCs/>
                <w:szCs w:val="21"/>
              </w:rPr>
              <w:t>（3）危险废物暂存设施和管理要求</w:t>
            </w:r>
          </w:p>
          <w:p w14:paraId="25E2A1E1">
            <w:pPr>
              <w:pStyle w:val="77"/>
              <w:ind w:firstLine="480" w:firstLineChars="200"/>
              <w:rPr>
                <w:b w:val="0"/>
                <w:bCs/>
                <w:szCs w:val="21"/>
              </w:rPr>
            </w:pPr>
            <w:r>
              <w:rPr>
                <w:rFonts w:hint="eastAsia"/>
                <w:b w:val="0"/>
                <w:bCs/>
                <w:szCs w:val="21"/>
              </w:rPr>
              <w:t>危险废物暂存间面积12m</w:t>
            </w:r>
            <w:r>
              <w:rPr>
                <w:rFonts w:hint="eastAsia"/>
                <w:b w:val="0"/>
                <w:bCs/>
                <w:szCs w:val="21"/>
                <w:vertAlign w:val="superscript"/>
              </w:rPr>
              <w:t>2</w:t>
            </w:r>
            <w:r>
              <w:rPr>
                <w:rFonts w:hint="eastAsia"/>
                <w:b w:val="0"/>
                <w:bCs/>
                <w:szCs w:val="21"/>
              </w:rPr>
              <w:t>，危险废物暂存应符合《危险废物贮存污染控制标准》（GB18597-2023）、《固体废物处理处置技术规范》、《危险废物收集、贮存、运输技术规范》中相关规定，其具体要求如下：</w:t>
            </w:r>
          </w:p>
          <w:p w14:paraId="08F35E85">
            <w:pPr>
              <w:pStyle w:val="77"/>
              <w:ind w:firstLine="480" w:firstLineChars="200"/>
              <w:rPr>
                <w:b w:val="0"/>
                <w:bCs/>
                <w:szCs w:val="21"/>
              </w:rPr>
            </w:pPr>
            <w:r>
              <w:rPr>
                <w:rFonts w:hint="eastAsia"/>
                <w:b w:val="0"/>
                <w:bCs/>
                <w:szCs w:val="21"/>
              </w:rPr>
              <w:t>①危险废物暂存间</w:t>
            </w:r>
            <w:r>
              <w:rPr>
                <w:b w:val="0"/>
                <w:bCs/>
                <w:szCs w:val="21"/>
              </w:rPr>
              <w:t>地面与裙脚应采取表面防渗措施；表面防渗材料应与所接触的物料或污染物相容，可采用抗渗混凝土、高密度聚乙烯膜、钠基膨润土防水毯或其他防渗性能等效的材料。</w:t>
            </w:r>
          </w:p>
          <w:p w14:paraId="210AEF14">
            <w:pPr>
              <w:pStyle w:val="77"/>
              <w:ind w:firstLine="480" w:firstLineChars="200"/>
              <w:rPr>
                <w:b w:val="0"/>
                <w:bCs/>
                <w:szCs w:val="21"/>
              </w:rPr>
            </w:pPr>
            <w:r>
              <w:rPr>
                <w:rFonts w:hint="eastAsia"/>
                <w:b w:val="0"/>
                <w:bCs/>
                <w:szCs w:val="21"/>
              </w:rPr>
              <w:t>②含化学物质的废液应根据其化学特性选择合适方法用收集桶或者用密闭容器存放，容器标签必须标明废物种类、贮存时间，定期处理。</w:t>
            </w:r>
          </w:p>
          <w:p w14:paraId="1A4C7A27">
            <w:pPr>
              <w:pStyle w:val="77"/>
              <w:ind w:firstLine="480" w:firstLineChars="200"/>
              <w:rPr>
                <w:b w:val="0"/>
                <w:bCs/>
                <w:szCs w:val="21"/>
              </w:rPr>
            </w:pPr>
            <w:r>
              <w:rPr>
                <w:rFonts w:hint="eastAsia"/>
                <w:b w:val="0"/>
                <w:bCs/>
                <w:szCs w:val="21"/>
              </w:rPr>
              <w:t>③危险废物必须采取符合国家环境保护标准的防护措施，并不得超过一年；确需延长期限的，必须报经原批准经营许可证的环境保护行政主管部门批准；法律、行政法规另有规定的除外。</w:t>
            </w:r>
          </w:p>
          <w:p w14:paraId="75BBB902">
            <w:pPr>
              <w:pStyle w:val="77"/>
              <w:ind w:firstLine="480" w:firstLineChars="200"/>
              <w:rPr>
                <w:b w:val="0"/>
                <w:bCs/>
                <w:szCs w:val="21"/>
              </w:rPr>
            </w:pPr>
            <w:r>
              <w:rPr>
                <w:rFonts w:hint="eastAsia"/>
                <w:b w:val="0"/>
                <w:bCs/>
                <w:szCs w:val="21"/>
              </w:rPr>
              <w:t>④不相容的危险废物不应堆放在一起，应分别存放或存放在不渗透间隔分开的区域内，每个部分都应有防漏裙脚或储漏盘，防漏裙脚或储漏盘的材料应与危险废物相容。</w:t>
            </w:r>
          </w:p>
          <w:p w14:paraId="73836474">
            <w:pPr>
              <w:pStyle w:val="77"/>
              <w:ind w:firstLine="480" w:firstLineChars="200"/>
              <w:rPr>
                <w:b w:val="0"/>
                <w:bCs/>
                <w:szCs w:val="21"/>
              </w:rPr>
            </w:pPr>
            <w:r>
              <w:rPr>
                <w:rFonts w:hint="eastAsia"/>
                <w:b w:val="0"/>
                <w:bCs/>
                <w:szCs w:val="21"/>
              </w:rPr>
              <w:t>⑤应当使用符合标准的容器盛装危险废物；装载危险废物的容器及材质要满足相应的强度要求，容器应完好无损并粘贴标签；盛装危险废物的容器材质和衬里应与危险废物不相互反应。</w:t>
            </w:r>
          </w:p>
          <w:p w14:paraId="264F4C77">
            <w:pPr>
              <w:pStyle w:val="77"/>
              <w:ind w:firstLine="480" w:firstLineChars="200"/>
              <w:rPr>
                <w:b w:val="0"/>
                <w:bCs/>
                <w:szCs w:val="21"/>
              </w:rPr>
            </w:pPr>
            <w:r>
              <w:rPr>
                <w:rFonts w:hint="eastAsia"/>
                <w:b w:val="0"/>
                <w:bCs/>
                <w:szCs w:val="21"/>
              </w:rPr>
              <w:t>⑥无法装入常用容器的危险废物宜用防漏胶袋等盛装；装载液体、半固体危险废物的容器内须留足够空间，容器顶部与液体表面之间保留100mm以上的空间。</w:t>
            </w:r>
          </w:p>
          <w:p w14:paraId="4687C179">
            <w:pPr>
              <w:pStyle w:val="77"/>
              <w:ind w:firstLine="480" w:firstLineChars="200"/>
              <w:rPr>
                <w:b w:val="0"/>
                <w:bCs/>
                <w:szCs w:val="21"/>
              </w:rPr>
            </w:pPr>
            <w:r>
              <w:rPr>
                <w:rFonts w:hint="eastAsia"/>
                <w:b w:val="0"/>
                <w:bCs/>
                <w:szCs w:val="21"/>
              </w:rPr>
              <w:t>⑦盛装危险废物的容器上必须粘贴相应危险废物标志。危险废物贮存设施都必须按环境保护图形标志《固体废物贮存（处置）场》（GB15562.2-1995）的规定设置警示标志。</w:t>
            </w:r>
          </w:p>
          <w:p w14:paraId="55AAAD6D">
            <w:pPr>
              <w:pStyle w:val="77"/>
              <w:ind w:firstLine="480" w:firstLineChars="200"/>
              <w:rPr>
                <w:b w:val="0"/>
                <w:bCs/>
                <w:szCs w:val="21"/>
              </w:rPr>
            </w:pPr>
            <w:r>
              <w:rPr>
                <w:rFonts w:hint="eastAsia"/>
                <w:b w:val="0"/>
                <w:bCs/>
                <w:szCs w:val="21"/>
              </w:rPr>
              <w:t>⑧不应将危险废物混入非危险废物中贮存。</w:t>
            </w:r>
          </w:p>
          <w:p w14:paraId="11FA790A">
            <w:pPr>
              <w:pStyle w:val="77"/>
              <w:ind w:firstLine="480" w:firstLineChars="200"/>
              <w:rPr>
                <w:b w:val="0"/>
                <w:bCs/>
                <w:szCs w:val="21"/>
              </w:rPr>
            </w:pPr>
            <w:r>
              <w:rPr>
                <w:rFonts w:hint="eastAsia"/>
                <w:b w:val="0"/>
                <w:bCs/>
                <w:szCs w:val="21"/>
              </w:rPr>
              <w:t>⑨根据《危险废物转移联单管理办法》（国家环保总局令）规定：危险废物每转移一次，应当填写一份联单。危险废物产生单位应当如实填写联单中单位栏目，并加盖公章，经交付危险废物运输单位核实验收签字后，将联单第一联副联自留存档，将联单第二联交移出地当地环境保护行政主管部门，联单第一联正联及其余各联交付运输单位随危险废物转移运行。危险废物运输单位应当如实填写联单的运输单位栏目，按照国家有关危险物品运输的规定，将危险废物安全运抵联单载明的接收地点，并将联单第一联、第二联副联、第三联、第四联、第五联随转移的危险废物交付危险废物接收单位。</w:t>
            </w:r>
          </w:p>
          <w:p w14:paraId="2BB3A8D9">
            <w:pPr>
              <w:pStyle w:val="77"/>
              <w:rPr>
                <w:szCs w:val="21"/>
              </w:rPr>
            </w:pPr>
            <w:r>
              <w:rPr>
                <w:rFonts w:hint="eastAsia"/>
                <w:szCs w:val="21"/>
              </w:rPr>
              <w:t>5、生态环境</w:t>
            </w:r>
          </w:p>
          <w:p w14:paraId="26614CF9">
            <w:pPr>
              <w:pStyle w:val="76"/>
              <w:ind w:firstLine="480"/>
            </w:pPr>
            <w:r>
              <w:rPr>
                <w:rFonts w:hint="eastAsia"/>
              </w:rPr>
              <w:t>本项目位于内蒙古鄂尔多斯市康巴什区乌兰木伦街汇能科创大厦负一层，依托现有建筑，无新增用地，本项目建设和运营对周围生态环境基本上没有产生明显的影响。区域内无特殊保护的珍稀植物、特殊保护的珍稀动物，对生态环境影响较小。</w:t>
            </w:r>
          </w:p>
          <w:p w14:paraId="471F7CB1">
            <w:pPr>
              <w:pStyle w:val="76"/>
              <w:ind w:firstLine="0" w:firstLineChars="0"/>
              <w:rPr>
                <w:b/>
                <w:szCs w:val="21"/>
              </w:rPr>
            </w:pPr>
            <w:r>
              <w:rPr>
                <w:rFonts w:hint="eastAsia"/>
                <w:b/>
                <w:szCs w:val="21"/>
              </w:rPr>
              <w:t>6、</w:t>
            </w:r>
            <w:r>
              <w:rPr>
                <w:b/>
                <w:szCs w:val="21"/>
              </w:rPr>
              <w:t>地下水、土壤</w:t>
            </w:r>
          </w:p>
          <w:p w14:paraId="38D820FB">
            <w:pPr>
              <w:pStyle w:val="76"/>
              <w:ind w:firstLine="480"/>
              <w:rPr>
                <w:bCs/>
                <w:szCs w:val="21"/>
              </w:rPr>
            </w:pPr>
            <w:r>
              <w:rPr>
                <w:rFonts w:hint="eastAsia"/>
                <w:bCs/>
                <w:szCs w:val="21"/>
              </w:rPr>
              <w:t>本项目所在的大厦地下共有三层，可能对土壤及地下水环境造成污染的实验室及危险废物暂存间位于负一层，即使物料泄漏后，也可避免通过下渗途径造成地下水及土壤环境污染。通过危废间对地面与裙脚应采取表面防渗措施、酸碱中和池采用防渗防腐材质，本项目污染物泄漏的可能性较小。</w:t>
            </w:r>
          </w:p>
          <w:p w14:paraId="102D854C">
            <w:pPr>
              <w:pStyle w:val="77"/>
              <w:rPr>
                <w:szCs w:val="21"/>
              </w:rPr>
            </w:pPr>
            <w:r>
              <w:rPr>
                <w:rFonts w:hint="eastAsia"/>
                <w:szCs w:val="21"/>
              </w:rPr>
              <w:t>7、环境风险</w:t>
            </w:r>
          </w:p>
          <w:p w14:paraId="3D5F8143">
            <w:pPr>
              <w:pStyle w:val="76"/>
              <w:ind w:firstLine="480"/>
            </w:pPr>
            <w:r>
              <w:rPr>
                <w:rFonts w:hint="eastAsia"/>
              </w:rPr>
              <w:t>（1）</w:t>
            </w:r>
            <w:r>
              <w:t>环境风险</w:t>
            </w:r>
            <w:r>
              <w:rPr>
                <w:rFonts w:hint="eastAsia"/>
              </w:rPr>
              <w:t>物质</w:t>
            </w:r>
            <w:r>
              <w:t>识别</w:t>
            </w:r>
          </w:p>
          <w:p w14:paraId="6CB8C115">
            <w:pPr>
              <w:spacing w:line="360" w:lineRule="auto"/>
              <w:ind w:firstLine="480"/>
              <w:rPr>
                <w:sz w:val="24"/>
              </w:rPr>
            </w:pPr>
            <w:r>
              <w:rPr>
                <w:sz w:val="24"/>
              </w:rPr>
              <w:t>根据《建设项目环境风险评价技术导则》（HJ169-2018）附录B，识别本项目危险物质有</w:t>
            </w:r>
            <w:r>
              <w:rPr>
                <w:rFonts w:hint="eastAsia"/>
                <w:sz w:val="24"/>
              </w:rPr>
              <w:t>储能关键金属实验室的硝酸和气瓶室的甲烷。</w:t>
            </w:r>
          </w:p>
          <w:p w14:paraId="56DAE760">
            <w:pPr>
              <w:spacing w:line="360" w:lineRule="auto"/>
              <w:ind w:firstLine="480" w:firstLineChars="200"/>
              <w:rPr>
                <w:sz w:val="24"/>
              </w:rPr>
            </w:pPr>
            <w:r>
              <w:rPr>
                <w:rFonts w:hint="eastAsia"/>
                <w:sz w:val="24"/>
              </w:rPr>
              <w:t>（2）风险评价等级判断</w:t>
            </w:r>
          </w:p>
          <w:p w14:paraId="486A7F69">
            <w:pPr>
              <w:spacing w:line="360" w:lineRule="auto"/>
              <w:ind w:firstLine="480"/>
              <w:rPr>
                <w:rFonts w:hint="eastAsia" w:cs="仿宋" w:asciiTheme="minorEastAsia" w:hAnsiTheme="minorEastAsia" w:eastAsiaTheme="minorEastAsia"/>
                <w:sz w:val="24"/>
              </w:rPr>
            </w:pPr>
            <w:r>
              <w:rPr>
                <w:rFonts w:hint="eastAsia"/>
                <w:sz w:val="24"/>
              </w:rPr>
              <w:t>甲烷的储存量为各1钢瓶（规格40L</w:t>
            </w:r>
            <w:r>
              <w:rPr>
                <w:rFonts w:hint="eastAsia"/>
                <w:sz w:val="24"/>
                <w:lang w:eastAsia="zh-CN"/>
              </w:rPr>
              <w:t>）</w:t>
            </w:r>
            <w:r>
              <w:rPr>
                <w:rFonts w:hint="eastAsia"/>
                <w:sz w:val="24"/>
              </w:rPr>
              <w:t>，甲烷的密度约为</w:t>
            </w:r>
            <w:r>
              <w:rPr>
                <w:sz w:val="24"/>
              </w:rPr>
              <w:t>0.717 kg/m³</w:t>
            </w:r>
            <w:r>
              <w:rPr>
                <w:rFonts w:hint="eastAsia"/>
                <w:sz w:val="24"/>
              </w:rPr>
              <w:t>，假设钢瓶内的甲烷是在标准大气压（101.325 kPa）下，则4</w:t>
            </w:r>
            <w:r>
              <w:rPr>
                <w:sz w:val="24"/>
              </w:rPr>
              <w:t>0</w:t>
            </w:r>
            <w:r>
              <w:rPr>
                <w:rFonts w:hint="eastAsia"/>
                <w:sz w:val="24"/>
              </w:rPr>
              <w:t>L甲烷的质量为</w:t>
            </w:r>
            <w:r>
              <w:rPr>
                <w:rFonts w:hint="eastAsia"/>
              </w:rPr>
              <w:t>2.8</w:t>
            </w:r>
            <w:r>
              <w:t>68</w:t>
            </w:r>
            <w:r>
              <w:rPr>
                <w:rFonts w:hint="eastAsia"/>
              </w:rPr>
              <w:t>e-5t</w:t>
            </w:r>
            <w:r>
              <w:rPr>
                <w:sz w:val="24"/>
              </w:rPr>
              <w:t>。</w:t>
            </w:r>
            <w:r>
              <w:rPr>
                <w:rFonts w:eastAsiaTheme="minorEastAsia"/>
                <w:sz w:val="24"/>
              </w:rPr>
              <w:t>硝酸</w:t>
            </w:r>
            <w:r>
              <w:rPr>
                <w:rFonts w:hint="eastAsia" w:eastAsiaTheme="minorEastAsia"/>
                <w:sz w:val="24"/>
              </w:rPr>
              <w:t>存储量</w:t>
            </w:r>
            <w:r>
              <w:rPr>
                <w:rFonts w:eastAsiaTheme="minorEastAsia"/>
                <w:sz w:val="24"/>
              </w:rPr>
              <w:t>1000ml，硝酸的密度大约是1.51 g/cm³</w:t>
            </w:r>
            <w:r>
              <w:rPr>
                <w:rFonts w:hint="eastAsia" w:eastAsiaTheme="minorEastAsia"/>
                <w:sz w:val="24"/>
              </w:rPr>
              <w:t>，则质量为0.00151t</w:t>
            </w:r>
            <w:r>
              <w:rPr>
                <w:rFonts w:hint="eastAsia" w:cs="仿宋" w:asciiTheme="minorEastAsia" w:hAnsiTheme="minorEastAsia" w:eastAsiaTheme="minorEastAsia"/>
                <w:sz w:val="24"/>
              </w:rPr>
              <w:t>。具体</w:t>
            </w:r>
            <w:r>
              <w:rPr>
                <w:rFonts w:hint="eastAsia"/>
                <w:sz w:val="24"/>
              </w:rPr>
              <w:t>风险物质储存量见下表。</w:t>
            </w:r>
          </w:p>
          <w:p w14:paraId="38A6B829">
            <w:pPr>
              <w:pStyle w:val="127"/>
              <w:rPr>
                <w:color w:val="auto"/>
              </w:rPr>
            </w:pPr>
            <w:r>
              <w:rPr>
                <w:rFonts w:hint="eastAsia"/>
                <w:color w:val="auto"/>
              </w:rPr>
              <w:t>表4</w:t>
            </w:r>
            <w:r>
              <w:rPr>
                <w:color w:val="auto"/>
              </w:rPr>
              <w:t>-</w:t>
            </w:r>
            <w:r>
              <w:rPr>
                <w:rFonts w:hint="eastAsia"/>
                <w:color w:val="auto"/>
              </w:rPr>
              <w:t>5</w:t>
            </w:r>
            <w:r>
              <w:rPr>
                <w:color w:val="auto"/>
              </w:rPr>
              <w:t xml:space="preserve"> 危险物质数量与临界量比值判定结果</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091"/>
              <w:gridCol w:w="745"/>
              <w:gridCol w:w="1393"/>
              <w:gridCol w:w="2962"/>
              <w:gridCol w:w="1060"/>
            </w:tblGrid>
            <w:tr w14:paraId="520837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0" w:type="auto"/>
                  <w:vAlign w:val="center"/>
                </w:tcPr>
                <w:p w14:paraId="6EF3CEA4">
                  <w:pPr>
                    <w:pStyle w:val="130"/>
                    <w:rPr>
                      <w:b/>
                      <w:bCs/>
                    </w:rPr>
                  </w:pPr>
                  <w:r>
                    <w:rPr>
                      <w:b/>
                      <w:bCs/>
                    </w:rPr>
                    <w:t>名称</w:t>
                  </w:r>
                </w:p>
              </w:tc>
              <w:tc>
                <w:tcPr>
                  <w:tcW w:w="1046" w:type="dxa"/>
                </w:tcPr>
                <w:p w14:paraId="20E04384">
                  <w:pPr>
                    <w:pStyle w:val="130"/>
                    <w:rPr>
                      <w:b/>
                      <w:bCs/>
                    </w:rPr>
                  </w:pPr>
                  <w:r>
                    <w:rPr>
                      <w:rFonts w:hint="eastAsia"/>
                      <w:b/>
                      <w:bCs/>
                    </w:rPr>
                    <w:t>C</w:t>
                  </w:r>
                  <w:r>
                    <w:rPr>
                      <w:b/>
                      <w:bCs/>
                    </w:rPr>
                    <w:t>AS</w:t>
                  </w:r>
                  <w:r>
                    <w:rPr>
                      <w:rFonts w:hint="eastAsia"/>
                      <w:b/>
                      <w:bCs/>
                    </w:rPr>
                    <w:t>号</w:t>
                  </w:r>
                </w:p>
              </w:tc>
              <w:tc>
                <w:tcPr>
                  <w:tcW w:w="745" w:type="dxa"/>
                  <w:vAlign w:val="center"/>
                </w:tcPr>
                <w:p w14:paraId="1A4B49F0">
                  <w:pPr>
                    <w:pStyle w:val="130"/>
                    <w:rPr>
                      <w:b/>
                      <w:bCs/>
                    </w:rPr>
                  </w:pPr>
                  <w:r>
                    <w:rPr>
                      <w:b/>
                      <w:bCs/>
                    </w:rPr>
                    <w:t>临界量t</w:t>
                  </w:r>
                </w:p>
              </w:tc>
              <w:tc>
                <w:tcPr>
                  <w:tcW w:w="0" w:type="auto"/>
                  <w:vAlign w:val="center"/>
                </w:tcPr>
                <w:p w14:paraId="55604671">
                  <w:pPr>
                    <w:pStyle w:val="130"/>
                    <w:rPr>
                      <w:b/>
                      <w:bCs/>
                    </w:rPr>
                  </w:pPr>
                  <w:r>
                    <w:rPr>
                      <w:b/>
                      <w:bCs/>
                    </w:rPr>
                    <w:t>最大贮存量t</w:t>
                  </w:r>
                </w:p>
              </w:tc>
              <w:tc>
                <w:tcPr>
                  <w:tcW w:w="0" w:type="auto"/>
                  <w:vAlign w:val="center"/>
                </w:tcPr>
                <w:p w14:paraId="697B371D">
                  <w:pPr>
                    <w:pStyle w:val="130"/>
                    <w:rPr>
                      <w:b/>
                      <w:bCs/>
                    </w:rPr>
                  </w:pPr>
                  <w:r>
                    <w:rPr>
                      <w:b/>
                      <w:bCs/>
                    </w:rPr>
                    <w:t>危险物质数量与临界量比值Q</w:t>
                  </w:r>
                </w:p>
              </w:tc>
              <w:tc>
                <w:tcPr>
                  <w:tcW w:w="0" w:type="auto"/>
                  <w:vAlign w:val="center"/>
                </w:tcPr>
                <w:p w14:paraId="36FE3A1D">
                  <w:pPr>
                    <w:pStyle w:val="130"/>
                    <w:rPr>
                      <w:b/>
                      <w:bCs/>
                    </w:rPr>
                  </w:pPr>
                  <w:r>
                    <w:rPr>
                      <w:b/>
                      <w:bCs/>
                    </w:rPr>
                    <w:t>判定结果</w:t>
                  </w:r>
                </w:p>
              </w:tc>
            </w:tr>
            <w:tr w14:paraId="35335B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0" w:type="auto"/>
                  <w:vAlign w:val="center"/>
                </w:tcPr>
                <w:p w14:paraId="20485EAA">
                  <w:pPr>
                    <w:pStyle w:val="130"/>
                  </w:pPr>
                  <w:r>
                    <w:rPr>
                      <w:rFonts w:hint="eastAsia"/>
                    </w:rPr>
                    <w:t>甲烷</w:t>
                  </w:r>
                </w:p>
              </w:tc>
              <w:tc>
                <w:tcPr>
                  <w:tcW w:w="1046" w:type="dxa"/>
                </w:tcPr>
                <w:p w14:paraId="276F8F5C">
                  <w:pPr>
                    <w:pStyle w:val="130"/>
                  </w:pPr>
                  <w:r>
                    <w:rPr>
                      <w:rFonts w:hint="eastAsia"/>
                    </w:rPr>
                    <w:t>7</w:t>
                  </w:r>
                  <w:r>
                    <w:t>4-82-8</w:t>
                  </w:r>
                </w:p>
              </w:tc>
              <w:tc>
                <w:tcPr>
                  <w:tcW w:w="745" w:type="dxa"/>
                  <w:vAlign w:val="center"/>
                </w:tcPr>
                <w:p w14:paraId="136460F3">
                  <w:pPr>
                    <w:pStyle w:val="130"/>
                  </w:pPr>
                  <w:r>
                    <w:rPr>
                      <w:rFonts w:hint="eastAsia"/>
                    </w:rPr>
                    <w:t>1</w:t>
                  </w:r>
                  <w:r>
                    <w:t>0</w:t>
                  </w:r>
                </w:p>
              </w:tc>
              <w:tc>
                <w:tcPr>
                  <w:tcW w:w="0" w:type="auto"/>
                  <w:vAlign w:val="center"/>
                </w:tcPr>
                <w:p w14:paraId="0CE7FECE">
                  <w:pPr>
                    <w:pStyle w:val="130"/>
                  </w:pPr>
                  <w:r>
                    <w:rPr>
                      <w:rFonts w:hint="eastAsia"/>
                    </w:rPr>
                    <w:t>2.8</w:t>
                  </w:r>
                  <w:r>
                    <w:t>68</w:t>
                  </w:r>
                  <w:r>
                    <w:rPr>
                      <w:rFonts w:hint="eastAsia"/>
                    </w:rPr>
                    <w:t>e-5</w:t>
                  </w:r>
                </w:p>
              </w:tc>
              <w:tc>
                <w:tcPr>
                  <w:tcW w:w="0" w:type="auto"/>
                  <w:vAlign w:val="center"/>
                </w:tcPr>
                <w:p w14:paraId="3B26E4FA">
                  <w:pPr>
                    <w:pStyle w:val="130"/>
                  </w:pPr>
                  <w:r>
                    <w:t>2</w:t>
                  </w:r>
                  <w:r>
                    <w:rPr>
                      <w:rFonts w:hint="eastAsia"/>
                    </w:rPr>
                    <w:t>.</w:t>
                  </w:r>
                  <w:r>
                    <w:t>868</w:t>
                  </w:r>
                  <w:r>
                    <w:rPr>
                      <w:rFonts w:hint="eastAsia"/>
                    </w:rPr>
                    <w:t>e-6</w:t>
                  </w:r>
                </w:p>
              </w:tc>
              <w:tc>
                <w:tcPr>
                  <w:tcW w:w="0" w:type="auto"/>
                  <w:vMerge w:val="restart"/>
                  <w:vAlign w:val="center"/>
                </w:tcPr>
                <w:p w14:paraId="5E2B10E0">
                  <w:pPr>
                    <w:pStyle w:val="130"/>
                  </w:pPr>
                  <w:r>
                    <w:rPr>
                      <w:rFonts w:hint="eastAsia"/>
                    </w:rPr>
                    <w:t>Q&lt;1</w:t>
                  </w:r>
                </w:p>
              </w:tc>
            </w:tr>
            <w:tr w14:paraId="48BD9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0" w:type="auto"/>
                  <w:vAlign w:val="center"/>
                </w:tcPr>
                <w:p w14:paraId="21633A78">
                  <w:pPr>
                    <w:pStyle w:val="130"/>
                  </w:pPr>
                  <w:r>
                    <w:rPr>
                      <w:rFonts w:hint="eastAsia"/>
                    </w:rPr>
                    <w:t>硝酸</w:t>
                  </w:r>
                </w:p>
              </w:tc>
              <w:tc>
                <w:tcPr>
                  <w:tcW w:w="1046" w:type="dxa"/>
                </w:tcPr>
                <w:p w14:paraId="76C6C975">
                  <w:pPr>
                    <w:pStyle w:val="130"/>
                  </w:pPr>
                  <w:r>
                    <w:rPr>
                      <w:rFonts w:hint="eastAsia"/>
                    </w:rPr>
                    <w:t>7697-37-2</w:t>
                  </w:r>
                </w:p>
              </w:tc>
              <w:tc>
                <w:tcPr>
                  <w:tcW w:w="745" w:type="dxa"/>
                  <w:vAlign w:val="center"/>
                </w:tcPr>
                <w:p w14:paraId="432B92BA">
                  <w:pPr>
                    <w:pStyle w:val="130"/>
                  </w:pPr>
                  <w:r>
                    <w:rPr>
                      <w:rFonts w:hint="eastAsia"/>
                    </w:rPr>
                    <w:t>7.5</w:t>
                  </w:r>
                </w:p>
              </w:tc>
              <w:tc>
                <w:tcPr>
                  <w:tcW w:w="0" w:type="auto"/>
                  <w:vAlign w:val="center"/>
                </w:tcPr>
                <w:p w14:paraId="79A8C1E8">
                  <w:pPr>
                    <w:pStyle w:val="130"/>
                  </w:pPr>
                  <w:r>
                    <w:rPr>
                      <w:rFonts w:hint="eastAsia"/>
                    </w:rPr>
                    <w:t>0.00151</w:t>
                  </w:r>
                </w:p>
              </w:tc>
              <w:tc>
                <w:tcPr>
                  <w:tcW w:w="0" w:type="auto"/>
                  <w:vAlign w:val="center"/>
                </w:tcPr>
                <w:p w14:paraId="5A23E767">
                  <w:pPr>
                    <w:pStyle w:val="130"/>
                  </w:pPr>
                  <w:r>
                    <w:rPr>
                      <w:rFonts w:hint="eastAsia"/>
                    </w:rPr>
                    <w:t>2.013e-4</w:t>
                  </w:r>
                </w:p>
              </w:tc>
              <w:tc>
                <w:tcPr>
                  <w:tcW w:w="0" w:type="auto"/>
                  <w:vMerge w:val="continue"/>
                  <w:vAlign w:val="center"/>
                </w:tcPr>
                <w:p w14:paraId="2E7139A7">
                  <w:pPr>
                    <w:pStyle w:val="130"/>
                  </w:pPr>
                </w:p>
              </w:tc>
            </w:tr>
          </w:tbl>
          <w:p w14:paraId="39CBDB3A">
            <w:pPr>
              <w:spacing w:line="360" w:lineRule="auto"/>
              <w:ind w:firstLine="480"/>
              <w:rPr>
                <w:sz w:val="24"/>
              </w:rPr>
            </w:pPr>
            <w:r>
              <w:rPr>
                <w:rFonts w:hint="eastAsia"/>
                <w:sz w:val="24"/>
              </w:rPr>
              <w:t>根据《建设项目环境风险评价技术导则》（HJ169-2018），本项目环境风险潜势为</w:t>
            </w:r>
            <w:r>
              <w:rPr>
                <w:sz w:val="24"/>
              </w:rPr>
              <w:t>Ⅰ</w:t>
            </w:r>
            <w:r>
              <w:rPr>
                <w:rFonts w:hint="eastAsia"/>
                <w:sz w:val="24"/>
              </w:rPr>
              <w:t>，对照评价工作等级，只需进行简单分析。</w:t>
            </w:r>
          </w:p>
          <w:p w14:paraId="5CA61FAC">
            <w:pPr>
              <w:spacing w:line="360" w:lineRule="auto"/>
              <w:ind w:firstLine="480"/>
              <w:rPr>
                <w:sz w:val="24"/>
              </w:rPr>
            </w:pPr>
            <w:r>
              <w:rPr>
                <w:rFonts w:hint="eastAsia"/>
                <w:sz w:val="24"/>
              </w:rPr>
              <w:t>（3）风险源辨识及风险防范措施</w:t>
            </w:r>
          </w:p>
          <w:p w14:paraId="3504DAFD">
            <w:pPr>
              <w:spacing w:line="360" w:lineRule="auto"/>
              <w:ind w:firstLine="480"/>
              <w:rPr>
                <w:sz w:val="24"/>
              </w:rPr>
            </w:pPr>
            <w:r>
              <w:rPr>
                <w:rFonts w:hint="eastAsia"/>
                <w:sz w:val="24"/>
              </w:rPr>
              <w:t>建项目可能存在的事故主要为气体、液体泄漏，可能引发爆炸以及土壤和地下水环境污染。为此，实验室应制定以下的风险防范措施：</w:t>
            </w:r>
          </w:p>
          <w:p w14:paraId="5F2B70FE">
            <w:pPr>
              <w:spacing w:line="360" w:lineRule="auto"/>
              <w:ind w:firstLine="480"/>
              <w:rPr>
                <w:sz w:val="24"/>
              </w:rPr>
            </w:pPr>
            <w:r>
              <w:rPr>
                <w:rFonts w:hint="eastAsia"/>
                <w:sz w:val="24"/>
              </w:rPr>
              <w:t>①加强危险化学品贮存过程中的管理：建立实验室危险化学品定期汇总登记制度，记录危险化学品种类和数量，并存档备查。根据危险化学品性能，分区分类存放，各类危险化学品不得与禁忌物料混合存放。</w:t>
            </w:r>
          </w:p>
          <w:p w14:paraId="686181D3">
            <w:pPr>
              <w:spacing w:line="360" w:lineRule="auto"/>
              <w:ind w:firstLine="480"/>
              <w:rPr>
                <w:sz w:val="24"/>
              </w:rPr>
            </w:pPr>
            <w:r>
              <w:rPr>
                <w:rFonts w:hint="eastAsia"/>
                <w:sz w:val="24"/>
              </w:rPr>
              <w:t>②加强危险化学品使用过程中的管理：实验室内严禁吸烟，使用一切加热工具均应严格遵守操作规程。实验室应装有换气设备，实验过程确保通风橱正常开启。实验结束后，实验分析废液和危险废物应单独收集，定期交由有资质单位处理，不能倒入水槽内；剩余的危险化学品必须回收。</w:t>
            </w:r>
          </w:p>
          <w:p w14:paraId="04350036">
            <w:pPr>
              <w:pStyle w:val="76"/>
              <w:ind w:firstLine="480"/>
            </w:pPr>
            <w:r>
              <w:rPr>
                <w:rFonts w:hint="eastAsia"/>
              </w:rPr>
              <w:t>③使用甲烷气瓶前，一定要进行检查，查标记、颜色、安全附件、技术 资料、安全状况等。气瓶专瓶专用，不得擅自改装它类气体。</w:t>
            </w:r>
          </w:p>
          <w:p w14:paraId="63DD3EC4">
            <w:pPr>
              <w:spacing w:line="360" w:lineRule="auto"/>
              <w:ind w:firstLine="480"/>
              <w:rPr>
                <w:sz w:val="24"/>
              </w:rPr>
            </w:pPr>
            <w:r>
              <w:rPr>
                <w:rFonts w:hint="eastAsia"/>
                <w:sz w:val="24"/>
              </w:rPr>
              <w:t>④实验室制定严格的实验操作规程，职工进行必要的安全培训，且进行有毒药品等危险化学品实验，必须佩戴必要的防护措施，实验室内必须配备常用的医疗急救药品等。</w:t>
            </w:r>
          </w:p>
          <w:p w14:paraId="402B9119">
            <w:pPr>
              <w:spacing w:line="360" w:lineRule="auto"/>
              <w:ind w:firstLine="480"/>
              <w:rPr>
                <w:sz w:val="24"/>
              </w:rPr>
            </w:pPr>
            <w:r>
              <w:rPr>
                <w:rFonts w:hint="eastAsia"/>
                <w:sz w:val="24"/>
              </w:rPr>
              <w:t>⑤实验室应配置相应灭火设备，并定期检查灭火状态及其有效期等。</w:t>
            </w:r>
          </w:p>
          <w:p w14:paraId="314F6CD1">
            <w:pPr>
              <w:spacing w:line="360" w:lineRule="auto"/>
              <w:ind w:firstLine="480"/>
              <w:rPr>
                <w:sz w:val="24"/>
              </w:rPr>
            </w:pPr>
            <w:r>
              <w:rPr>
                <w:rFonts w:hint="eastAsia"/>
                <w:sz w:val="24"/>
              </w:rPr>
              <w:t>⑥定期进行安全环保宣传教育和紧急事故模拟演习，提高事故应变能力。</w:t>
            </w:r>
          </w:p>
          <w:p w14:paraId="7DF094F3">
            <w:pPr>
              <w:spacing w:line="360" w:lineRule="auto"/>
              <w:ind w:firstLine="480"/>
              <w:rPr>
                <w:sz w:val="24"/>
              </w:rPr>
            </w:pPr>
            <w:r>
              <w:rPr>
                <w:sz w:val="24"/>
              </w:rPr>
              <w:t>本项目环境风险简要分析内容</w:t>
            </w:r>
            <w:r>
              <w:rPr>
                <w:rFonts w:hint="eastAsia"/>
                <w:sz w:val="24"/>
              </w:rPr>
              <w:t>见</w:t>
            </w:r>
            <w:r>
              <w:rPr>
                <w:sz w:val="24"/>
              </w:rPr>
              <w:t>下表。</w:t>
            </w:r>
          </w:p>
          <w:p w14:paraId="118F227F">
            <w:pPr>
              <w:ind w:firstLine="480"/>
              <w:jc w:val="center"/>
              <w:rPr>
                <w:b/>
                <w:bCs/>
                <w:szCs w:val="21"/>
              </w:rPr>
            </w:pPr>
            <w:r>
              <w:rPr>
                <w:rFonts w:hint="eastAsia"/>
                <w:b/>
                <w:bCs/>
                <w:szCs w:val="21"/>
              </w:rPr>
              <w:t>表4</w:t>
            </w:r>
            <w:r>
              <w:rPr>
                <w:b/>
                <w:bCs/>
                <w:szCs w:val="21"/>
              </w:rPr>
              <w:t>-</w:t>
            </w:r>
            <w:r>
              <w:rPr>
                <w:rFonts w:hint="eastAsia"/>
                <w:b/>
                <w:bCs/>
                <w:szCs w:val="21"/>
              </w:rPr>
              <w:t>6</w:t>
            </w:r>
            <w:r>
              <w:rPr>
                <w:b/>
                <w:bCs/>
                <w:szCs w:val="21"/>
              </w:rPr>
              <w:t xml:space="preserve"> 建设项目环境风险简要分析内容表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980"/>
              <w:gridCol w:w="2048"/>
              <w:gridCol w:w="1021"/>
              <w:gridCol w:w="2822"/>
            </w:tblGrid>
            <w:tr w14:paraId="7C3E8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 w:hRule="atLeast"/>
              </w:trPr>
              <w:tc>
                <w:tcPr>
                  <w:tcW w:w="941" w:type="pct"/>
                  <w:vAlign w:val="center"/>
                </w:tcPr>
                <w:p w14:paraId="3B2B0B20">
                  <w:pPr>
                    <w:jc w:val="center"/>
                    <w:rPr>
                      <w:b/>
                      <w:kern w:val="28"/>
                      <w:szCs w:val="21"/>
                    </w:rPr>
                  </w:pPr>
                  <w:bookmarkStart w:id="15" w:name="_Hlk172499044"/>
                  <w:r>
                    <w:rPr>
                      <w:b/>
                      <w:kern w:val="28"/>
                      <w:szCs w:val="21"/>
                    </w:rPr>
                    <w:t>建设项目名称</w:t>
                  </w:r>
                </w:p>
              </w:tc>
              <w:tc>
                <w:tcPr>
                  <w:tcW w:w="4059" w:type="pct"/>
                  <w:gridSpan w:val="4"/>
                  <w:vAlign w:val="center"/>
                </w:tcPr>
                <w:p w14:paraId="7D568BCF">
                  <w:pPr>
                    <w:jc w:val="center"/>
                    <w:rPr>
                      <w:rFonts w:hint="eastAsia" w:eastAsia="宋体"/>
                      <w:kern w:val="28"/>
                      <w:szCs w:val="21"/>
                      <w:lang w:eastAsia="zh-CN"/>
                    </w:rPr>
                  </w:pPr>
                  <w:r>
                    <w:rPr>
                      <w:rFonts w:hint="eastAsia"/>
                      <w:kern w:val="0"/>
                      <w:szCs w:val="21"/>
                      <w:lang w:eastAsia="zh-CN"/>
                    </w:rPr>
                    <w:t>汇能科创大厦负一层北京大学鄂尔多斯能源研究院综合实验室项目</w:t>
                  </w:r>
                </w:p>
              </w:tc>
            </w:tr>
            <w:tr w14:paraId="2C30F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941" w:type="pct"/>
                  <w:vAlign w:val="center"/>
                </w:tcPr>
                <w:p w14:paraId="0592735C">
                  <w:pPr>
                    <w:jc w:val="center"/>
                    <w:rPr>
                      <w:b/>
                      <w:kern w:val="28"/>
                      <w:szCs w:val="21"/>
                    </w:rPr>
                  </w:pPr>
                  <w:r>
                    <w:rPr>
                      <w:b/>
                      <w:kern w:val="28"/>
                      <w:szCs w:val="21"/>
                    </w:rPr>
                    <w:t>建设地点</w:t>
                  </w:r>
                </w:p>
              </w:tc>
              <w:tc>
                <w:tcPr>
                  <w:tcW w:w="4059" w:type="pct"/>
                  <w:gridSpan w:val="4"/>
                  <w:vAlign w:val="center"/>
                </w:tcPr>
                <w:p w14:paraId="5E603729">
                  <w:pPr>
                    <w:jc w:val="center"/>
                    <w:rPr>
                      <w:kern w:val="28"/>
                      <w:szCs w:val="21"/>
                    </w:rPr>
                  </w:pPr>
                  <w:r>
                    <w:rPr>
                      <w:rFonts w:hint="eastAsia"/>
                      <w:szCs w:val="21"/>
                    </w:rPr>
                    <w:t>内蒙古自治区鄂尔多斯市康巴什区乌兰木伦街汇能科创大厦负一层</w:t>
                  </w:r>
                </w:p>
              </w:tc>
            </w:tr>
            <w:tr w14:paraId="323FF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941" w:type="pct"/>
                  <w:vAlign w:val="center"/>
                </w:tcPr>
                <w:p w14:paraId="6D62590B">
                  <w:pPr>
                    <w:jc w:val="center"/>
                    <w:rPr>
                      <w:b/>
                      <w:kern w:val="28"/>
                      <w:szCs w:val="21"/>
                    </w:rPr>
                  </w:pPr>
                  <w:r>
                    <w:rPr>
                      <w:b/>
                      <w:kern w:val="28"/>
                      <w:szCs w:val="21"/>
                    </w:rPr>
                    <w:t>地理坐标</w:t>
                  </w:r>
                </w:p>
              </w:tc>
              <w:tc>
                <w:tcPr>
                  <w:tcW w:w="579" w:type="pct"/>
                  <w:vAlign w:val="center"/>
                </w:tcPr>
                <w:p w14:paraId="70FEFC9F">
                  <w:pPr>
                    <w:jc w:val="center"/>
                    <w:rPr>
                      <w:b/>
                      <w:bCs/>
                      <w:kern w:val="28"/>
                      <w:szCs w:val="21"/>
                    </w:rPr>
                  </w:pPr>
                  <w:r>
                    <w:rPr>
                      <w:b/>
                      <w:bCs/>
                      <w:kern w:val="28"/>
                      <w:szCs w:val="21"/>
                    </w:rPr>
                    <w:t>经度</w:t>
                  </w:r>
                </w:p>
              </w:tc>
              <w:tc>
                <w:tcPr>
                  <w:tcW w:w="1210" w:type="pct"/>
                  <w:vAlign w:val="center"/>
                </w:tcPr>
                <w:p w14:paraId="012E42E5">
                  <w:pPr>
                    <w:jc w:val="center"/>
                    <w:rPr>
                      <w:kern w:val="28"/>
                      <w:szCs w:val="21"/>
                    </w:rPr>
                  </w:pPr>
                  <w:r>
                    <w:rPr>
                      <w:szCs w:val="21"/>
                    </w:rPr>
                    <w:t>E109°46′55.233″</w:t>
                  </w:r>
                </w:p>
              </w:tc>
              <w:tc>
                <w:tcPr>
                  <w:tcW w:w="603" w:type="pct"/>
                  <w:vAlign w:val="center"/>
                </w:tcPr>
                <w:p w14:paraId="66C90AA7">
                  <w:pPr>
                    <w:jc w:val="center"/>
                    <w:rPr>
                      <w:b/>
                      <w:bCs/>
                      <w:kern w:val="28"/>
                      <w:szCs w:val="21"/>
                    </w:rPr>
                  </w:pPr>
                  <w:r>
                    <w:rPr>
                      <w:b/>
                      <w:bCs/>
                      <w:kern w:val="28"/>
                      <w:szCs w:val="21"/>
                    </w:rPr>
                    <w:t>经度</w:t>
                  </w:r>
                </w:p>
              </w:tc>
              <w:tc>
                <w:tcPr>
                  <w:tcW w:w="1667" w:type="pct"/>
                  <w:vAlign w:val="center"/>
                </w:tcPr>
                <w:p w14:paraId="49AAA31A">
                  <w:pPr>
                    <w:jc w:val="center"/>
                    <w:rPr>
                      <w:kern w:val="28"/>
                      <w:szCs w:val="21"/>
                    </w:rPr>
                  </w:pPr>
                  <w:r>
                    <w:rPr>
                      <w:szCs w:val="21"/>
                    </w:rPr>
                    <w:t>N39°35′36.233″</w:t>
                  </w:r>
                </w:p>
              </w:tc>
            </w:tr>
            <w:tr w14:paraId="5C350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941" w:type="pct"/>
                  <w:vAlign w:val="center"/>
                </w:tcPr>
                <w:p w14:paraId="5B6AB998">
                  <w:pPr>
                    <w:jc w:val="center"/>
                    <w:rPr>
                      <w:b/>
                      <w:kern w:val="28"/>
                      <w:szCs w:val="21"/>
                    </w:rPr>
                  </w:pPr>
                  <w:r>
                    <w:rPr>
                      <w:b/>
                      <w:kern w:val="28"/>
                      <w:szCs w:val="21"/>
                    </w:rPr>
                    <w:t>主要危险物质及分布</w:t>
                  </w:r>
                </w:p>
              </w:tc>
              <w:tc>
                <w:tcPr>
                  <w:tcW w:w="4059" w:type="pct"/>
                  <w:gridSpan w:val="4"/>
                  <w:vAlign w:val="center"/>
                </w:tcPr>
                <w:p w14:paraId="285EE99E">
                  <w:pPr>
                    <w:jc w:val="center"/>
                    <w:rPr>
                      <w:kern w:val="28"/>
                      <w:szCs w:val="21"/>
                    </w:rPr>
                  </w:pPr>
                  <w:r>
                    <w:rPr>
                      <w:szCs w:val="21"/>
                    </w:rPr>
                    <w:t>根据《建设项目环境风险评价技术导则》（HJ169-2018）附录B，</w:t>
                  </w:r>
                  <w:r>
                    <w:rPr>
                      <w:rFonts w:hint="eastAsia"/>
                      <w:szCs w:val="21"/>
                    </w:rPr>
                    <w:t>储能关键金属实验室的硝酸、气瓶室的甲烷</w:t>
                  </w:r>
                </w:p>
              </w:tc>
            </w:tr>
            <w:tr w14:paraId="5D8CA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pct"/>
                  <w:vAlign w:val="center"/>
                </w:tcPr>
                <w:p w14:paraId="7A4EA71C">
                  <w:pPr>
                    <w:jc w:val="center"/>
                    <w:rPr>
                      <w:b/>
                      <w:kern w:val="28"/>
                      <w:szCs w:val="21"/>
                    </w:rPr>
                  </w:pPr>
                  <w:r>
                    <w:rPr>
                      <w:b/>
                      <w:kern w:val="28"/>
                      <w:szCs w:val="21"/>
                    </w:rPr>
                    <w:t>环境影响途径及危害后果（大气、地表水、地下水等）</w:t>
                  </w:r>
                </w:p>
              </w:tc>
              <w:tc>
                <w:tcPr>
                  <w:tcW w:w="4059" w:type="pct"/>
                  <w:gridSpan w:val="4"/>
                  <w:vAlign w:val="center"/>
                </w:tcPr>
                <w:p w14:paraId="366DE6D1">
                  <w:pPr>
                    <w:rPr>
                      <w:b/>
                      <w:szCs w:val="21"/>
                    </w:rPr>
                  </w:pPr>
                  <w:r>
                    <w:rPr>
                      <w:b/>
                      <w:szCs w:val="21"/>
                    </w:rPr>
                    <w:t>1、风险类型</w:t>
                  </w:r>
                </w:p>
                <w:p w14:paraId="313CAD54">
                  <w:pPr>
                    <w:ind w:firstLine="420" w:firstLineChars="200"/>
                    <w:rPr>
                      <w:szCs w:val="21"/>
                    </w:rPr>
                  </w:pPr>
                  <w:r>
                    <w:rPr>
                      <w:szCs w:val="21"/>
                    </w:rPr>
                    <w:t>本项目主要事故类型为</w:t>
                  </w:r>
                  <w:r>
                    <w:rPr>
                      <w:rFonts w:hint="eastAsia"/>
                      <w:szCs w:val="21"/>
                    </w:rPr>
                    <w:t>气体、液体泄漏引发爆炸以及土壤和地下水环境污染。</w:t>
                  </w:r>
                </w:p>
                <w:p w14:paraId="7FD23B57">
                  <w:pPr>
                    <w:rPr>
                      <w:b/>
                      <w:szCs w:val="21"/>
                      <w:lang w:bidi="zh-CN"/>
                    </w:rPr>
                  </w:pPr>
                  <w:r>
                    <w:rPr>
                      <w:b/>
                      <w:szCs w:val="21"/>
                      <w:lang w:bidi="zh-CN"/>
                    </w:rPr>
                    <w:t>2、影响途径</w:t>
                  </w:r>
                </w:p>
                <w:p w14:paraId="3F3B71EA">
                  <w:pPr>
                    <w:rPr>
                      <w:b/>
                      <w:szCs w:val="21"/>
                      <w:lang w:bidi="zh-CN"/>
                    </w:rPr>
                  </w:pPr>
                  <w:r>
                    <w:rPr>
                      <w:szCs w:val="21"/>
                      <w:lang w:bidi="zh-CN"/>
                    </w:rPr>
                    <w:t>（1）对地下水和土壤的污染</w:t>
                  </w:r>
                </w:p>
                <w:p w14:paraId="668DFAD8">
                  <w:pPr>
                    <w:ind w:firstLine="420" w:firstLineChars="200"/>
                    <w:rPr>
                      <w:szCs w:val="21"/>
                      <w:lang w:bidi="zh-CN"/>
                    </w:rPr>
                  </w:pPr>
                  <w:r>
                    <w:rPr>
                      <w:rFonts w:hint="eastAsia"/>
                      <w:szCs w:val="21"/>
                      <w:lang w:bidi="zh-CN"/>
                    </w:rPr>
                    <w:t>发生泄漏、火灾事故后，若泄漏物料及消防水不能及时收集，可通过下渗及地下径流等对项目区及下游浅层地下水造成污染</w:t>
                  </w:r>
                  <w:r>
                    <w:rPr>
                      <w:szCs w:val="21"/>
                      <w:lang w:bidi="zh-CN"/>
                    </w:rPr>
                    <w:t>。</w:t>
                  </w:r>
                </w:p>
                <w:p w14:paraId="6FDD0C54">
                  <w:pPr>
                    <w:rPr>
                      <w:szCs w:val="21"/>
                      <w:lang w:bidi="zh-CN"/>
                    </w:rPr>
                  </w:pPr>
                  <w:r>
                    <w:rPr>
                      <w:szCs w:val="21"/>
                      <w:lang w:bidi="zh-CN"/>
                    </w:rPr>
                    <w:t>（2）对大气环境的污染</w:t>
                  </w:r>
                </w:p>
                <w:p w14:paraId="41B87C7D">
                  <w:pPr>
                    <w:ind w:firstLine="420" w:firstLineChars="200"/>
                    <w:rPr>
                      <w:szCs w:val="21"/>
                      <w:lang w:bidi="zh-CN"/>
                    </w:rPr>
                  </w:pPr>
                  <w:r>
                    <w:rPr>
                      <w:rFonts w:hint="eastAsia"/>
                      <w:szCs w:val="21"/>
                      <w:lang w:bidi="zh-CN"/>
                    </w:rPr>
                    <w:t>爆炸产生的大气污染。</w:t>
                  </w:r>
                </w:p>
              </w:tc>
            </w:tr>
            <w:tr w14:paraId="3ECDE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1" w:type="pct"/>
                  <w:vAlign w:val="center"/>
                </w:tcPr>
                <w:p w14:paraId="7757E2D1">
                  <w:pPr>
                    <w:jc w:val="center"/>
                    <w:rPr>
                      <w:b/>
                      <w:kern w:val="28"/>
                      <w:szCs w:val="21"/>
                    </w:rPr>
                  </w:pPr>
                  <w:r>
                    <w:rPr>
                      <w:b/>
                      <w:kern w:val="28"/>
                      <w:szCs w:val="21"/>
                    </w:rPr>
                    <w:t>风险防范措施要求</w:t>
                  </w:r>
                </w:p>
              </w:tc>
              <w:tc>
                <w:tcPr>
                  <w:tcW w:w="4059" w:type="pct"/>
                  <w:gridSpan w:val="4"/>
                  <w:vAlign w:val="center"/>
                </w:tcPr>
                <w:p w14:paraId="01A55581">
                  <w:pPr>
                    <w:ind w:firstLine="420" w:firstLineChars="200"/>
                    <w:rPr>
                      <w:szCs w:val="21"/>
                    </w:rPr>
                  </w:pPr>
                  <w:r>
                    <w:rPr>
                      <w:szCs w:val="21"/>
                    </w:rPr>
                    <w:t>本项目在设计上充分考虑了环境风险防范，包括泄漏、</w:t>
                  </w:r>
                  <w:r>
                    <w:rPr>
                      <w:rFonts w:hint="eastAsia"/>
                      <w:szCs w:val="21"/>
                    </w:rPr>
                    <w:t>爆炸</w:t>
                  </w:r>
                  <w:r>
                    <w:rPr>
                      <w:szCs w:val="21"/>
                    </w:rPr>
                    <w:t>、储运和安全等方面的风险防范措施。</w:t>
                  </w:r>
                </w:p>
              </w:tc>
            </w:tr>
            <w:tr w14:paraId="446A7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vAlign w:val="center"/>
                </w:tcPr>
                <w:p w14:paraId="7C1BC4AC">
                  <w:pPr>
                    <w:rPr>
                      <w:b/>
                      <w:kern w:val="28"/>
                      <w:szCs w:val="21"/>
                    </w:rPr>
                  </w:pPr>
                  <w:r>
                    <w:rPr>
                      <w:b/>
                      <w:kern w:val="28"/>
                      <w:szCs w:val="21"/>
                    </w:rPr>
                    <w:t>填表说明（列出项目相关信息及评价说明）：</w:t>
                  </w:r>
                </w:p>
                <w:p w14:paraId="66C8E79E">
                  <w:pPr>
                    <w:ind w:firstLine="420" w:firstLineChars="200"/>
                    <w:rPr>
                      <w:szCs w:val="21"/>
                    </w:rPr>
                  </w:pPr>
                  <w:r>
                    <w:rPr>
                      <w:rFonts w:hint="eastAsia"/>
                      <w:szCs w:val="21"/>
                    </w:rPr>
                    <w:t>本次评价制定了一系列的风险防范措施、应急预案以及应急监测方案，可将事故风险概率和影响程度降至最低，提出的建设项目的环境风险防范措施有效。通过采取有效的预防措施和制定完善的应急救援预案，本项目的环境风险是可以防控的。</w:t>
                  </w:r>
                </w:p>
              </w:tc>
            </w:tr>
            <w:bookmarkEnd w:id="15"/>
          </w:tbl>
          <w:p w14:paraId="3EFDE83B">
            <w:pPr>
              <w:pStyle w:val="77"/>
              <w:rPr>
                <w:szCs w:val="21"/>
              </w:rPr>
            </w:pPr>
            <w:r>
              <w:rPr>
                <w:rFonts w:hint="eastAsia"/>
                <w:szCs w:val="21"/>
              </w:rPr>
              <w:t>8、自行监测计划</w:t>
            </w:r>
          </w:p>
          <w:p w14:paraId="786D0C88">
            <w:pPr>
              <w:pStyle w:val="77"/>
              <w:ind w:firstLine="480" w:firstLineChars="200"/>
              <w:rPr>
                <w:b w:val="0"/>
                <w:bCs/>
                <w:szCs w:val="21"/>
              </w:rPr>
            </w:pPr>
            <w:r>
              <w:rPr>
                <w:rFonts w:hint="eastAsia"/>
                <w:b w:val="0"/>
                <w:bCs/>
                <w:szCs w:val="21"/>
              </w:rPr>
              <w:t>本项目的行业类别为四十五、研究和试验发展 98.专业实验室、研发（试验）实验室，根据《排污许可证申请与核发技术规范 总则》HJ942-2018，不在排污许可的管理范围内，因此不进行自行监测计划。</w:t>
            </w:r>
          </w:p>
          <w:p w14:paraId="3B98D188">
            <w:pPr>
              <w:pStyle w:val="77"/>
              <w:rPr>
                <w:szCs w:val="21"/>
              </w:rPr>
            </w:pPr>
            <w:r>
              <w:rPr>
                <w:rFonts w:hint="eastAsia"/>
                <w:szCs w:val="21"/>
              </w:rPr>
              <w:t>9、环保投资及验收清单</w:t>
            </w:r>
          </w:p>
          <w:p w14:paraId="3EED1A88">
            <w:pPr>
              <w:pStyle w:val="77"/>
              <w:tabs>
                <w:tab w:val="left" w:pos="2210"/>
              </w:tabs>
              <w:ind w:firstLine="480" w:firstLineChars="200"/>
              <w:rPr>
                <w:b w:val="0"/>
                <w:bCs/>
                <w:szCs w:val="21"/>
              </w:rPr>
            </w:pPr>
            <w:r>
              <w:rPr>
                <w:rFonts w:hint="eastAsia"/>
                <w:b w:val="0"/>
                <w:bCs/>
                <w:szCs w:val="21"/>
              </w:rPr>
              <w:t>本项目总投资1182.61万元，其中环保投资16万元，环保投资占总投资的1.4%。主要环保投资情况见下表。</w:t>
            </w:r>
          </w:p>
          <w:p w14:paraId="2D64C72E">
            <w:pPr>
              <w:pStyle w:val="77"/>
              <w:tabs>
                <w:tab w:val="left" w:pos="2210"/>
              </w:tabs>
              <w:jc w:val="center"/>
              <w:rPr>
                <w:sz w:val="21"/>
                <w:szCs w:val="18"/>
              </w:rPr>
            </w:pPr>
            <w:r>
              <w:rPr>
                <w:rFonts w:hint="eastAsia"/>
                <w:sz w:val="21"/>
                <w:szCs w:val="18"/>
              </w:rPr>
              <w:t>表4-7</w:t>
            </w:r>
            <w:r>
              <w:rPr>
                <w:sz w:val="21"/>
                <w:szCs w:val="18"/>
              </w:rPr>
              <w:t xml:space="preserve"> </w:t>
            </w:r>
            <w:r>
              <w:rPr>
                <w:rFonts w:hint="eastAsia"/>
                <w:sz w:val="21"/>
                <w:szCs w:val="18"/>
              </w:rPr>
              <w:t>环保投资及验收清单一览表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6"/>
              <w:gridCol w:w="549"/>
              <w:gridCol w:w="4696"/>
              <w:gridCol w:w="462"/>
              <w:gridCol w:w="2450"/>
            </w:tblGrid>
            <w:tr w14:paraId="59D5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14:paraId="453D957D">
                  <w:pPr>
                    <w:adjustRightInd w:val="0"/>
                    <w:snapToGrid w:val="0"/>
                    <w:jc w:val="center"/>
                    <w:rPr>
                      <w:b/>
                      <w:bCs/>
                      <w:color w:val="000000"/>
                      <w:szCs w:val="21"/>
                    </w:rPr>
                  </w:pPr>
                  <w:r>
                    <w:rPr>
                      <w:b/>
                      <w:bCs/>
                      <w:color w:val="000000"/>
                      <w:szCs w:val="21"/>
                    </w:rPr>
                    <w:t>项目</w:t>
                  </w:r>
                </w:p>
              </w:tc>
              <w:tc>
                <w:tcPr>
                  <w:tcW w:w="549" w:type="dxa"/>
                  <w:vAlign w:val="center"/>
                </w:tcPr>
                <w:p w14:paraId="669CA4DD">
                  <w:pPr>
                    <w:adjustRightInd w:val="0"/>
                    <w:snapToGrid w:val="0"/>
                    <w:jc w:val="center"/>
                    <w:rPr>
                      <w:b/>
                      <w:bCs/>
                      <w:color w:val="000000"/>
                      <w:szCs w:val="21"/>
                    </w:rPr>
                  </w:pPr>
                  <w:r>
                    <w:rPr>
                      <w:b/>
                      <w:bCs/>
                      <w:color w:val="000000"/>
                      <w:szCs w:val="21"/>
                    </w:rPr>
                    <w:t>污染物</w:t>
                  </w:r>
                </w:p>
              </w:tc>
              <w:tc>
                <w:tcPr>
                  <w:tcW w:w="4696" w:type="dxa"/>
                  <w:vAlign w:val="center"/>
                </w:tcPr>
                <w:p w14:paraId="226DA4ED">
                  <w:pPr>
                    <w:adjustRightInd w:val="0"/>
                    <w:snapToGrid w:val="0"/>
                    <w:jc w:val="center"/>
                    <w:rPr>
                      <w:b/>
                      <w:bCs/>
                      <w:color w:val="000000"/>
                      <w:szCs w:val="21"/>
                    </w:rPr>
                  </w:pPr>
                  <w:r>
                    <w:rPr>
                      <w:b/>
                      <w:bCs/>
                      <w:color w:val="000000"/>
                      <w:szCs w:val="21"/>
                    </w:rPr>
                    <w:t>污染防治设施名称</w:t>
                  </w:r>
                </w:p>
              </w:tc>
              <w:tc>
                <w:tcPr>
                  <w:tcW w:w="0" w:type="auto"/>
                  <w:vAlign w:val="center"/>
                </w:tcPr>
                <w:p w14:paraId="635CEE7D">
                  <w:pPr>
                    <w:adjustRightInd w:val="0"/>
                    <w:snapToGrid w:val="0"/>
                    <w:jc w:val="center"/>
                    <w:rPr>
                      <w:b/>
                      <w:bCs/>
                      <w:color w:val="000000"/>
                      <w:szCs w:val="21"/>
                    </w:rPr>
                  </w:pPr>
                  <w:r>
                    <w:rPr>
                      <w:rFonts w:hint="eastAsia"/>
                      <w:b/>
                      <w:bCs/>
                      <w:color w:val="000000"/>
                      <w:szCs w:val="21"/>
                    </w:rPr>
                    <w:t>环保投资/万元</w:t>
                  </w:r>
                </w:p>
              </w:tc>
              <w:tc>
                <w:tcPr>
                  <w:tcW w:w="0" w:type="auto"/>
                  <w:vAlign w:val="center"/>
                </w:tcPr>
                <w:p w14:paraId="7F361BCE">
                  <w:pPr>
                    <w:adjustRightInd w:val="0"/>
                    <w:snapToGrid w:val="0"/>
                    <w:jc w:val="center"/>
                    <w:rPr>
                      <w:b/>
                      <w:bCs/>
                      <w:color w:val="000000"/>
                      <w:szCs w:val="21"/>
                    </w:rPr>
                  </w:pPr>
                  <w:r>
                    <w:rPr>
                      <w:rFonts w:hint="eastAsia"/>
                      <w:b/>
                      <w:bCs/>
                      <w:color w:val="000000"/>
                      <w:szCs w:val="21"/>
                    </w:rPr>
                    <w:t>验收标准</w:t>
                  </w:r>
                </w:p>
              </w:tc>
            </w:tr>
            <w:tr w14:paraId="725F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14:paraId="751B0C08">
                  <w:pPr>
                    <w:adjustRightInd w:val="0"/>
                    <w:snapToGrid w:val="0"/>
                    <w:jc w:val="center"/>
                    <w:rPr>
                      <w:b/>
                      <w:bCs/>
                      <w:color w:val="000000"/>
                      <w:szCs w:val="21"/>
                    </w:rPr>
                  </w:pPr>
                  <w:r>
                    <w:rPr>
                      <w:rFonts w:hint="eastAsia"/>
                      <w:color w:val="000000"/>
                      <w:szCs w:val="21"/>
                    </w:rPr>
                    <w:t>废气</w:t>
                  </w:r>
                </w:p>
              </w:tc>
              <w:tc>
                <w:tcPr>
                  <w:tcW w:w="549" w:type="dxa"/>
                  <w:vAlign w:val="center"/>
                </w:tcPr>
                <w:p w14:paraId="29A99089">
                  <w:pPr>
                    <w:adjustRightInd w:val="0"/>
                    <w:snapToGrid w:val="0"/>
                    <w:jc w:val="center"/>
                    <w:rPr>
                      <w:b/>
                      <w:bCs/>
                      <w:color w:val="000000"/>
                      <w:szCs w:val="21"/>
                    </w:rPr>
                  </w:pPr>
                </w:p>
              </w:tc>
              <w:tc>
                <w:tcPr>
                  <w:tcW w:w="4696" w:type="dxa"/>
                  <w:vAlign w:val="center"/>
                </w:tcPr>
                <w:p w14:paraId="691A9489">
                  <w:pPr>
                    <w:adjustRightInd w:val="0"/>
                    <w:snapToGrid w:val="0"/>
                    <w:jc w:val="center"/>
                    <w:rPr>
                      <w:b/>
                      <w:bCs/>
                      <w:color w:val="000000"/>
                      <w:szCs w:val="21"/>
                    </w:rPr>
                  </w:pPr>
                  <w:r>
                    <w:rPr>
                      <w:rFonts w:hint="eastAsia"/>
                      <w:color w:val="000000"/>
                      <w:szCs w:val="21"/>
                    </w:rPr>
                    <w:t>实验室排风装置</w:t>
                  </w:r>
                </w:p>
              </w:tc>
              <w:tc>
                <w:tcPr>
                  <w:tcW w:w="0" w:type="auto"/>
                  <w:vAlign w:val="center"/>
                </w:tcPr>
                <w:p w14:paraId="3BC13186">
                  <w:pPr>
                    <w:adjustRightInd w:val="0"/>
                    <w:snapToGrid w:val="0"/>
                    <w:jc w:val="center"/>
                    <w:rPr>
                      <w:color w:val="000000"/>
                      <w:szCs w:val="21"/>
                    </w:rPr>
                  </w:pPr>
                  <w:r>
                    <w:rPr>
                      <w:rFonts w:hint="eastAsia"/>
                      <w:color w:val="000000"/>
                      <w:szCs w:val="21"/>
                    </w:rPr>
                    <w:t>5</w:t>
                  </w:r>
                </w:p>
              </w:tc>
              <w:tc>
                <w:tcPr>
                  <w:tcW w:w="0" w:type="auto"/>
                  <w:vAlign w:val="center"/>
                </w:tcPr>
                <w:p w14:paraId="7D95AEC7">
                  <w:pPr>
                    <w:adjustRightInd w:val="0"/>
                    <w:snapToGrid w:val="0"/>
                    <w:jc w:val="center"/>
                    <w:rPr>
                      <w:color w:val="000000"/>
                      <w:szCs w:val="21"/>
                    </w:rPr>
                  </w:pPr>
                  <w:r>
                    <w:rPr>
                      <w:rFonts w:hint="eastAsia"/>
                      <w:color w:val="000000"/>
                      <w:szCs w:val="21"/>
                    </w:rPr>
                    <w:t>/</w:t>
                  </w:r>
                </w:p>
              </w:tc>
            </w:tr>
            <w:tr w14:paraId="19CE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1" w:hRule="atLeast"/>
                <w:jc w:val="center"/>
              </w:trPr>
              <w:tc>
                <w:tcPr>
                  <w:tcW w:w="0" w:type="auto"/>
                  <w:vAlign w:val="center"/>
                </w:tcPr>
                <w:p w14:paraId="424EA7E3">
                  <w:pPr>
                    <w:adjustRightInd w:val="0"/>
                    <w:snapToGrid w:val="0"/>
                    <w:jc w:val="center"/>
                    <w:rPr>
                      <w:color w:val="000000"/>
                      <w:szCs w:val="21"/>
                    </w:rPr>
                  </w:pPr>
                  <w:r>
                    <w:rPr>
                      <w:rFonts w:hint="eastAsia"/>
                      <w:color w:val="000000"/>
                      <w:szCs w:val="21"/>
                    </w:rPr>
                    <w:t>废水</w:t>
                  </w:r>
                </w:p>
              </w:tc>
              <w:tc>
                <w:tcPr>
                  <w:tcW w:w="549" w:type="dxa"/>
                  <w:vAlign w:val="center"/>
                </w:tcPr>
                <w:p w14:paraId="5E8B8ACD">
                  <w:pPr>
                    <w:adjustRightInd w:val="0"/>
                    <w:snapToGrid w:val="0"/>
                    <w:jc w:val="center"/>
                    <w:rPr>
                      <w:color w:val="000000"/>
                      <w:szCs w:val="21"/>
                    </w:rPr>
                  </w:pPr>
                  <w:r>
                    <w:rPr>
                      <w:rFonts w:hint="eastAsia"/>
                      <w:color w:val="000000"/>
                      <w:szCs w:val="21"/>
                    </w:rPr>
                    <w:t>实验器皿清洗废水</w:t>
                  </w:r>
                </w:p>
              </w:tc>
              <w:tc>
                <w:tcPr>
                  <w:tcW w:w="4696" w:type="dxa"/>
                  <w:vAlign w:val="center"/>
                </w:tcPr>
                <w:p w14:paraId="2A58C46C">
                  <w:pPr>
                    <w:adjustRightInd w:val="0"/>
                    <w:snapToGrid w:val="0"/>
                    <w:jc w:val="center"/>
                    <w:rPr>
                      <w:color w:val="000000"/>
                      <w:szCs w:val="21"/>
                    </w:rPr>
                  </w:pPr>
                  <w:r>
                    <w:rPr>
                      <w:rFonts w:hint="eastAsia"/>
                      <w:color w:val="000000"/>
                      <w:szCs w:val="21"/>
                    </w:rPr>
                    <w:t>酸碱中和池，</w:t>
                  </w:r>
                  <w:r>
                    <w:rPr>
                      <w:rFonts w:hint="eastAsia"/>
                      <w:szCs w:val="21"/>
                    </w:rPr>
                    <w:t>防渗材料应具有耐腐蚀性能或采取防腐蚀措施，等效黏土防渗层Mb≥1.5m，K≤1.0×10</w:t>
                  </w:r>
                  <w:r>
                    <w:rPr>
                      <w:rFonts w:hint="eastAsia"/>
                      <w:szCs w:val="21"/>
                      <w:vertAlign w:val="superscript"/>
                    </w:rPr>
                    <w:t>-7</w:t>
                  </w:r>
                  <w:r>
                    <w:rPr>
                      <w:rFonts w:hint="eastAsia"/>
                      <w:szCs w:val="21"/>
                    </w:rPr>
                    <w:t>cm/s。</w:t>
                  </w:r>
                </w:p>
              </w:tc>
              <w:tc>
                <w:tcPr>
                  <w:tcW w:w="0" w:type="auto"/>
                  <w:vAlign w:val="center"/>
                </w:tcPr>
                <w:p w14:paraId="2A7436EE">
                  <w:pPr>
                    <w:adjustRightInd w:val="0"/>
                    <w:snapToGrid w:val="0"/>
                    <w:jc w:val="center"/>
                    <w:rPr>
                      <w:color w:val="000000"/>
                      <w:szCs w:val="21"/>
                    </w:rPr>
                  </w:pPr>
                  <w:r>
                    <w:rPr>
                      <w:rFonts w:hint="eastAsia"/>
                      <w:color w:val="000000"/>
                      <w:szCs w:val="21"/>
                    </w:rPr>
                    <w:t>2</w:t>
                  </w:r>
                </w:p>
              </w:tc>
              <w:tc>
                <w:tcPr>
                  <w:tcW w:w="0" w:type="auto"/>
                  <w:vAlign w:val="center"/>
                </w:tcPr>
                <w:p w14:paraId="476C1E2E">
                  <w:pPr>
                    <w:adjustRightInd w:val="0"/>
                    <w:snapToGrid w:val="0"/>
                    <w:jc w:val="center"/>
                    <w:rPr>
                      <w:color w:val="000000"/>
                      <w:szCs w:val="21"/>
                    </w:rPr>
                  </w:pPr>
                  <w:r>
                    <w:rPr>
                      <w:rFonts w:hint="eastAsia"/>
                      <w:szCs w:val="21"/>
                    </w:rPr>
                    <w:t>执行《污水综合排放标准》（GB8978-1996）中三级标准，满足防渗要求</w:t>
                  </w:r>
                </w:p>
              </w:tc>
            </w:tr>
            <w:tr w14:paraId="6F86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14:paraId="26609459">
                  <w:pPr>
                    <w:adjustRightInd w:val="0"/>
                    <w:snapToGrid w:val="0"/>
                    <w:jc w:val="center"/>
                    <w:rPr>
                      <w:color w:val="000000"/>
                      <w:szCs w:val="21"/>
                    </w:rPr>
                  </w:pPr>
                  <w:r>
                    <w:rPr>
                      <w:rFonts w:hint="eastAsia"/>
                      <w:color w:val="000000"/>
                      <w:szCs w:val="21"/>
                    </w:rPr>
                    <w:t>噪声</w:t>
                  </w:r>
                </w:p>
              </w:tc>
              <w:tc>
                <w:tcPr>
                  <w:tcW w:w="549" w:type="dxa"/>
                  <w:vAlign w:val="center"/>
                </w:tcPr>
                <w:p w14:paraId="6227D3F3">
                  <w:pPr>
                    <w:adjustRightInd w:val="0"/>
                    <w:snapToGrid w:val="0"/>
                    <w:jc w:val="center"/>
                    <w:rPr>
                      <w:color w:val="000000"/>
                      <w:szCs w:val="21"/>
                    </w:rPr>
                  </w:pPr>
                  <w:r>
                    <w:rPr>
                      <w:rFonts w:hint="eastAsia"/>
                      <w:color w:val="000000"/>
                      <w:szCs w:val="21"/>
                    </w:rPr>
                    <w:t>噪声</w:t>
                  </w:r>
                </w:p>
              </w:tc>
              <w:tc>
                <w:tcPr>
                  <w:tcW w:w="4696" w:type="dxa"/>
                  <w:vAlign w:val="center"/>
                </w:tcPr>
                <w:p w14:paraId="2CFB0545">
                  <w:pPr>
                    <w:adjustRightInd w:val="0"/>
                    <w:snapToGrid w:val="0"/>
                    <w:jc w:val="center"/>
                    <w:rPr>
                      <w:color w:val="000000"/>
                      <w:szCs w:val="21"/>
                    </w:rPr>
                  </w:pPr>
                  <w:r>
                    <w:rPr>
                      <w:rFonts w:hint="eastAsia"/>
                      <w:color w:val="000000"/>
                      <w:szCs w:val="21"/>
                    </w:rPr>
                    <w:t>隔声</w:t>
                  </w:r>
                </w:p>
              </w:tc>
              <w:tc>
                <w:tcPr>
                  <w:tcW w:w="0" w:type="auto"/>
                  <w:vAlign w:val="center"/>
                </w:tcPr>
                <w:p w14:paraId="3505E270">
                  <w:pPr>
                    <w:adjustRightInd w:val="0"/>
                    <w:snapToGrid w:val="0"/>
                    <w:jc w:val="center"/>
                    <w:rPr>
                      <w:color w:val="000000"/>
                      <w:szCs w:val="21"/>
                    </w:rPr>
                  </w:pPr>
                  <w:r>
                    <w:rPr>
                      <w:rFonts w:hint="eastAsia"/>
                      <w:color w:val="000000"/>
                      <w:szCs w:val="21"/>
                    </w:rPr>
                    <w:t>/</w:t>
                  </w:r>
                </w:p>
              </w:tc>
              <w:tc>
                <w:tcPr>
                  <w:tcW w:w="0" w:type="auto"/>
                  <w:vAlign w:val="center"/>
                </w:tcPr>
                <w:p w14:paraId="3DCCA945">
                  <w:pPr>
                    <w:adjustRightInd w:val="0"/>
                    <w:snapToGrid w:val="0"/>
                    <w:jc w:val="center"/>
                    <w:rPr>
                      <w:color w:val="000000"/>
                      <w:szCs w:val="21"/>
                    </w:rPr>
                  </w:pPr>
                  <w:r>
                    <w:rPr>
                      <w:rFonts w:hint="eastAsia"/>
                      <w:color w:val="000000"/>
                      <w:szCs w:val="21"/>
                    </w:rPr>
                    <w:t>满足《工业企业场界环境噪声排放标准》（GB12348-2008）中2类标准</w:t>
                  </w:r>
                </w:p>
              </w:tc>
            </w:tr>
            <w:tr w14:paraId="21AC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0" w:type="auto"/>
                  <w:vMerge w:val="restart"/>
                  <w:vAlign w:val="center"/>
                </w:tcPr>
                <w:p w14:paraId="19CCEFF9">
                  <w:pPr>
                    <w:adjustRightInd w:val="0"/>
                    <w:snapToGrid w:val="0"/>
                    <w:jc w:val="center"/>
                    <w:rPr>
                      <w:color w:val="000000"/>
                      <w:szCs w:val="21"/>
                    </w:rPr>
                  </w:pPr>
                  <w:r>
                    <w:rPr>
                      <w:color w:val="000000"/>
                      <w:szCs w:val="21"/>
                    </w:rPr>
                    <w:t>固废</w:t>
                  </w:r>
                </w:p>
              </w:tc>
              <w:tc>
                <w:tcPr>
                  <w:tcW w:w="549" w:type="dxa"/>
                  <w:vAlign w:val="center"/>
                </w:tcPr>
                <w:p w14:paraId="661EDE20">
                  <w:pPr>
                    <w:adjustRightInd w:val="0"/>
                    <w:snapToGrid w:val="0"/>
                    <w:jc w:val="center"/>
                    <w:rPr>
                      <w:color w:val="000000"/>
                      <w:szCs w:val="21"/>
                    </w:rPr>
                  </w:pPr>
                  <w:r>
                    <w:rPr>
                      <w:rFonts w:hint="eastAsia"/>
                      <w:color w:val="000000"/>
                      <w:szCs w:val="21"/>
                    </w:rPr>
                    <w:t>生活垃圾</w:t>
                  </w:r>
                </w:p>
              </w:tc>
              <w:tc>
                <w:tcPr>
                  <w:tcW w:w="4696" w:type="dxa"/>
                  <w:vAlign w:val="center"/>
                </w:tcPr>
                <w:p w14:paraId="493C5415">
                  <w:pPr>
                    <w:adjustRightInd w:val="0"/>
                    <w:snapToGrid w:val="0"/>
                    <w:jc w:val="center"/>
                    <w:rPr>
                      <w:color w:val="000000"/>
                      <w:szCs w:val="21"/>
                    </w:rPr>
                  </w:pPr>
                  <w:r>
                    <w:rPr>
                      <w:rFonts w:hint="eastAsia"/>
                      <w:color w:val="000000"/>
                      <w:szCs w:val="21"/>
                    </w:rPr>
                    <w:t>垃圾桶</w:t>
                  </w:r>
                </w:p>
              </w:tc>
              <w:tc>
                <w:tcPr>
                  <w:tcW w:w="0" w:type="auto"/>
                  <w:vAlign w:val="center"/>
                </w:tcPr>
                <w:p w14:paraId="2A727708">
                  <w:pPr>
                    <w:adjustRightInd w:val="0"/>
                    <w:snapToGrid w:val="0"/>
                    <w:jc w:val="center"/>
                    <w:rPr>
                      <w:color w:val="000000"/>
                      <w:szCs w:val="21"/>
                    </w:rPr>
                  </w:pPr>
                  <w:r>
                    <w:rPr>
                      <w:rFonts w:hint="eastAsia"/>
                      <w:color w:val="000000"/>
                      <w:szCs w:val="21"/>
                    </w:rPr>
                    <w:t>0.5</w:t>
                  </w:r>
                </w:p>
              </w:tc>
              <w:tc>
                <w:tcPr>
                  <w:tcW w:w="0" w:type="auto"/>
                  <w:vAlign w:val="center"/>
                </w:tcPr>
                <w:p w14:paraId="044D39BD">
                  <w:pPr>
                    <w:adjustRightInd w:val="0"/>
                    <w:snapToGrid w:val="0"/>
                    <w:jc w:val="center"/>
                    <w:rPr>
                      <w:color w:val="000000"/>
                      <w:szCs w:val="21"/>
                    </w:rPr>
                  </w:pPr>
                  <w:r>
                    <w:rPr>
                      <w:rFonts w:hint="eastAsia"/>
                      <w:color w:val="000000"/>
                      <w:szCs w:val="21"/>
                    </w:rPr>
                    <w:t>交环卫部门</w:t>
                  </w:r>
                </w:p>
              </w:tc>
            </w:tr>
            <w:tr w14:paraId="210A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0" w:type="auto"/>
                  <w:vMerge w:val="continue"/>
                  <w:vAlign w:val="center"/>
                </w:tcPr>
                <w:p w14:paraId="798B8B48">
                  <w:pPr>
                    <w:adjustRightInd w:val="0"/>
                    <w:snapToGrid w:val="0"/>
                    <w:jc w:val="center"/>
                    <w:rPr>
                      <w:color w:val="000000"/>
                      <w:szCs w:val="21"/>
                    </w:rPr>
                  </w:pPr>
                </w:p>
              </w:tc>
              <w:tc>
                <w:tcPr>
                  <w:tcW w:w="549" w:type="dxa"/>
                  <w:vAlign w:val="center"/>
                </w:tcPr>
                <w:p w14:paraId="796B4469">
                  <w:pPr>
                    <w:adjustRightInd w:val="0"/>
                    <w:snapToGrid w:val="0"/>
                    <w:jc w:val="center"/>
                    <w:rPr>
                      <w:color w:val="000000"/>
                      <w:szCs w:val="21"/>
                    </w:rPr>
                  </w:pPr>
                  <w:r>
                    <w:rPr>
                      <w:rFonts w:hint="eastAsia"/>
                      <w:color w:val="000000"/>
                      <w:szCs w:val="21"/>
                    </w:rPr>
                    <w:t>一般固废</w:t>
                  </w:r>
                </w:p>
              </w:tc>
              <w:tc>
                <w:tcPr>
                  <w:tcW w:w="4696" w:type="dxa"/>
                  <w:vAlign w:val="center"/>
                </w:tcPr>
                <w:p w14:paraId="232C68B5">
                  <w:pPr>
                    <w:adjustRightInd w:val="0"/>
                    <w:snapToGrid w:val="0"/>
                    <w:jc w:val="center"/>
                    <w:rPr>
                      <w:color w:val="000000"/>
                      <w:szCs w:val="21"/>
                    </w:rPr>
                  </w:pPr>
                  <w:r>
                    <w:rPr>
                      <w:rFonts w:hint="eastAsia"/>
                      <w:color w:val="000000"/>
                      <w:szCs w:val="21"/>
                    </w:rPr>
                    <w:t>一般固废收集桶</w:t>
                  </w:r>
                </w:p>
              </w:tc>
              <w:tc>
                <w:tcPr>
                  <w:tcW w:w="0" w:type="auto"/>
                  <w:vAlign w:val="center"/>
                </w:tcPr>
                <w:p w14:paraId="79B9A544">
                  <w:pPr>
                    <w:adjustRightInd w:val="0"/>
                    <w:snapToGrid w:val="0"/>
                    <w:jc w:val="center"/>
                    <w:rPr>
                      <w:color w:val="000000"/>
                      <w:szCs w:val="21"/>
                    </w:rPr>
                  </w:pPr>
                  <w:r>
                    <w:rPr>
                      <w:rFonts w:hint="eastAsia"/>
                      <w:color w:val="000000"/>
                      <w:szCs w:val="21"/>
                    </w:rPr>
                    <w:t>0.5</w:t>
                  </w:r>
                </w:p>
              </w:tc>
              <w:tc>
                <w:tcPr>
                  <w:tcW w:w="0" w:type="auto"/>
                  <w:vAlign w:val="center"/>
                </w:tcPr>
                <w:p w14:paraId="620626C6">
                  <w:pPr>
                    <w:adjustRightInd w:val="0"/>
                    <w:snapToGrid w:val="0"/>
                    <w:jc w:val="center"/>
                    <w:rPr>
                      <w:color w:val="000000"/>
                      <w:szCs w:val="21"/>
                    </w:rPr>
                  </w:pPr>
                  <w:r>
                    <w:rPr>
                      <w:rFonts w:hint="eastAsia"/>
                      <w:color w:val="000000"/>
                      <w:szCs w:val="21"/>
                    </w:rPr>
                    <w:t>交环卫部门</w:t>
                  </w:r>
                </w:p>
              </w:tc>
            </w:tr>
            <w:tr w14:paraId="73E2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6" w:hRule="atLeast"/>
                <w:jc w:val="center"/>
              </w:trPr>
              <w:tc>
                <w:tcPr>
                  <w:tcW w:w="0" w:type="auto"/>
                  <w:vMerge w:val="continue"/>
                  <w:vAlign w:val="center"/>
                </w:tcPr>
                <w:p w14:paraId="27A656ED">
                  <w:pPr>
                    <w:adjustRightInd w:val="0"/>
                    <w:snapToGrid w:val="0"/>
                    <w:jc w:val="center"/>
                    <w:rPr>
                      <w:color w:val="000000"/>
                      <w:szCs w:val="21"/>
                    </w:rPr>
                  </w:pPr>
                </w:p>
              </w:tc>
              <w:tc>
                <w:tcPr>
                  <w:tcW w:w="549" w:type="dxa"/>
                  <w:vAlign w:val="center"/>
                </w:tcPr>
                <w:p w14:paraId="33618250">
                  <w:pPr>
                    <w:adjustRightInd w:val="0"/>
                    <w:snapToGrid w:val="0"/>
                    <w:jc w:val="center"/>
                    <w:rPr>
                      <w:color w:val="000000"/>
                      <w:szCs w:val="21"/>
                    </w:rPr>
                  </w:pPr>
                  <w:r>
                    <w:rPr>
                      <w:rFonts w:hint="eastAsia"/>
                      <w:color w:val="000000"/>
                      <w:szCs w:val="21"/>
                    </w:rPr>
                    <w:t>危险废物</w:t>
                  </w:r>
                </w:p>
              </w:tc>
              <w:tc>
                <w:tcPr>
                  <w:tcW w:w="4696" w:type="dxa"/>
                  <w:vAlign w:val="center"/>
                </w:tcPr>
                <w:p w14:paraId="3ED10417">
                  <w:pPr>
                    <w:adjustRightInd w:val="0"/>
                    <w:snapToGrid w:val="0"/>
                    <w:rPr>
                      <w:color w:val="000000"/>
                      <w:szCs w:val="21"/>
                    </w:rPr>
                  </w:pPr>
                  <w:r>
                    <w:rPr>
                      <w:rFonts w:hint="eastAsia"/>
                      <w:color w:val="000000"/>
                      <w:szCs w:val="21"/>
                    </w:rPr>
                    <w:t>暂存于危险废物暂存间，委托有资质的</w:t>
                  </w:r>
                  <w:r>
                    <w:rPr>
                      <w:rFonts w:hint="eastAsia"/>
                      <w:color w:val="000000"/>
                      <w:szCs w:val="21"/>
                      <w:lang w:eastAsia="zh-CN"/>
                    </w:rPr>
                    <w:t>单位</w:t>
                  </w:r>
                  <w:r>
                    <w:rPr>
                      <w:rFonts w:hint="eastAsia"/>
                      <w:color w:val="000000"/>
                      <w:szCs w:val="21"/>
                    </w:rPr>
                    <w:t>处理。危险废物暂存间12m</w:t>
                  </w:r>
                  <w:r>
                    <w:rPr>
                      <w:rFonts w:hint="eastAsia"/>
                      <w:color w:val="000000"/>
                      <w:szCs w:val="21"/>
                      <w:vertAlign w:val="superscript"/>
                    </w:rPr>
                    <w:t>2</w:t>
                  </w:r>
                  <w:r>
                    <w:rPr>
                      <w:rFonts w:hint="eastAsia"/>
                      <w:color w:val="000000"/>
                      <w:szCs w:val="21"/>
                    </w:rPr>
                    <w:t>，地面与裙脚应采取表面防渗措施；表面防渗材料应与所接触的物料或污染物相容，可采用抗渗混凝土、高密度聚乙烯膜、钠基膨润土防水毯或其他防渗性能等效的材料。</w:t>
                  </w:r>
                </w:p>
              </w:tc>
              <w:tc>
                <w:tcPr>
                  <w:tcW w:w="0" w:type="auto"/>
                  <w:vAlign w:val="center"/>
                </w:tcPr>
                <w:p w14:paraId="7396B5B4">
                  <w:pPr>
                    <w:adjustRightInd w:val="0"/>
                    <w:snapToGrid w:val="0"/>
                    <w:jc w:val="center"/>
                    <w:rPr>
                      <w:color w:val="000000"/>
                      <w:szCs w:val="21"/>
                    </w:rPr>
                  </w:pPr>
                  <w:r>
                    <w:rPr>
                      <w:rFonts w:hint="eastAsia"/>
                      <w:color w:val="000000"/>
                      <w:szCs w:val="21"/>
                    </w:rPr>
                    <w:t>8</w:t>
                  </w:r>
                </w:p>
              </w:tc>
              <w:tc>
                <w:tcPr>
                  <w:tcW w:w="0" w:type="auto"/>
                  <w:vAlign w:val="center"/>
                </w:tcPr>
                <w:p w14:paraId="77C5A1F0">
                  <w:pPr>
                    <w:adjustRightInd w:val="0"/>
                    <w:snapToGrid w:val="0"/>
                    <w:jc w:val="center"/>
                    <w:rPr>
                      <w:color w:val="000000"/>
                      <w:szCs w:val="21"/>
                    </w:rPr>
                  </w:pPr>
                  <w:r>
                    <w:rPr>
                      <w:rFonts w:hint="eastAsia"/>
                      <w:color w:val="000000"/>
                      <w:szCs w:val="21"/>
                    </w:rPr>
                    <w:t>满足《危险废物贮存污染控制标准》（GB18597-2023）</w:t>
                  </w:r>
                </w:p>
              </w:tc>
            </w:tr>
          </w:tbl>
          <w:p w14:paraId="0800CCC9">
            <w:pPr>
              <w:pStyle w:val="77"/>
              <w:rPr>
                <w:szCs w:val="21"/>
              </w:rPr>
            </w:pPr>
          </w:p>
        </w:tc>
      </w:tr>
    </w:tbl>
    <w:p w14:paraId="50D0E219">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14:paraId="6C406EAE">
      <w:pPr>
        <w:pStyle w:val="44"/>
        <w:jc w:val="center"/>
        <w:outlineLvl w:val="0"/>
        <w:rPr>
          <w:rFonts w:hint="eastAsia" w:ascii="黑体" w:hAnsi="黑体" w:eastAsia="黑体"/>
          <w:snapToGrid w:val="0"/>
          <w:sz w:val="30"/>
          <w:szCs w:val="30"/>
        </w:rPr>
      </w:pPr>
      <w:r>
        <w:rPr>
          <w:rFonts w:hint="eastAsia" w:ascii="黑体" w:hAnsi="黑体" w:eastAsia="黑体"/>
          <w:snapToGrid w:val="0"/>
          <w:sz w:val="30"/>
          <w:szCs w:val="30"/>
        </w:rPr>
        <w:t>五、</w:t>
      </w:r>
      <w:bookmarkStart w:id="16" w:name="_Hlk54167917"/>
      <w:r>
        <w:rPr>
          <w:rFonts w:hint="eastAsia" w:ascii="黑体" w:hAnsi="黑体" w:eastAsia="黑体"/>
          <w:snapToGrid w:val="0"/>
          <w:sz w:val="30"/>
          <w:szCs w:val="30"/>
        </w:rPr>
        <w:t>环境保护措施监督检查清单</w:t>
      </w:r>
      <w:bookmarkEnd w:id="16"/>
    </w:p>
    <w:tbl>
      <w:tblPr>
        <w:tblStyle w:val="5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559"/>
        <w:gridCol w:w="1418"/>
        <w:gridCol w:w="1842"/>
        <w:gridCol w:w="2597"/>
      </w:tblGrid>
      <w:tr w14:paraId="6B869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08" w:type="dxa"/>
            <w:tcBorders>
              <w:tl2br w:val="single" w:color="auto" w:sz="4" w:space="0"/>
            </w:tcBorders>
          </w:tcPr>
          <w:p w14:paraId="7EE2FA0D">
            <w:pPr>
              <w:adjustRightInd w:val="0"/>
              <w:snapToGrid w:val="0"/>
              <w:ind w:firstLine="480" w:firstLineChars="200"/>
              <w:rPr>
                <w:rFonts w:hint="eastAsia" w:ascii="宋体" w:hAnsi="宋体" w:cs="宋体"/>
                <w:sz w:val="24"/>
              </w:rPr>
            </w:pPr>
            <w:r>
              <w:rPr>
                <w:rFonts w:hint="eastAsia" w:ascii="宋体" w:hAnsi="宋体" w:cs="宋体"/>
                <w:sz w:val="24"/>
              </w:rPr>
              <w:t>内容</w:t>
            </w:r>
          </w:p>
          <w:p w14:paraId="649FB3D7">
            <w:pPr>
              <w:adjustRightInd w:val="0"/>
              <w:snapToGrid w:val="0"/>
              <w:ind w:firstLine="960" w:firstLineChars="400"/>
              <w:rPr>
                <w:rFonts w:hint="eastAsia" w:ascii="宋体" w:hAnsi="宋体" w:cs="宋体"/>
                <w:sz w:val="24"/>
              </w:rPr>
            </w:pPr>
            <w:r>
              <w:rPr>
                <w:rFonts w:hint="eastAsia" w:ascii="宋体" w:hAnsi="宋体" w:cs="宋体"/>
                <w:sz w:val="24"/>
              </w:rPr>
              <w:t xml:space="preserve"> 要素</w:t>
            </w:r>
          </w:p>
        </w:tc>
        <w:tc>
          <w:tcPr>
            <w:tcW w:w="1559" w:type="dxa"/>
            <w:vAlign w:val="center"/>
          </w:tcPr>
          <w:p w14:paraId="5DC32754">
            <w:pPr>
              <w:adjustRightInd w:val="0"/>
              <w:snapToGrid w:val="0"/>
              <w:jc w:val="center"/>
              <w:rPr>
                <w:rFonts w:hint="eastAsia" w:ascii="宋体" w:hAnsi="宋体" w:cs="宋体"/>
                <w:sz w:val="24"/>
              </w:rPr>
            </w:pPr>
            <w:r>
              <w:rPr>
                <w:rFonts w:hint="eastAsia" w:ascii="宋体" w:hAnsi="宋体" w:cs="宋体"/>
                <w:sz w:val="24"/>
              </w:rPr>
              <w:t>排放口（编号、名称</w:t>
            </w:r>
            <w:r>
              <w:rPr>
                <w:rFonts w:hint="eastAsia" w:ascii="宋体" w:hAnsi="宋体" w:cs="宋体"/>
                <w:sz w:val="24"/>
                <w:lang w:eastAsia="zh-CN"/>
              </w:rPr>
              <w:t>）</w:t>
            </w:r>
            <w:r>
              <w:rPr>
                <w:rFonts w:hint="eastAsia" w:ascii="宋体" w:hAnsi="宋体" w:cs="宋体"/>
                <w:sz w:val="24"/>
              </w:rPr>
              <w:t>/污染源</w:t>
            </w:r>
          </w:p>
        </w:tc>
        <w:tc>
          <w:tcPr>
            <w:tcW w:w="1418" w:type="dxa"/>
            <w:vAlign w:val="center"/>
          </w:tcPr>
          <w:p w14:paraId="22C8B4C2">
            <w:pPr>
              <w:adjustRightInd w:val="0"/>
              <w:snapToGrid w:val="0"/>
              <w:jc w:val="center"/>
              <w:rPr>
                <w:rFonts w:hint="eastAsia" w:ascii="宋体" w:hAnsi="宋体" w:cs="宋体"/>
                <w:sz w:val="24"/>
              </w:rPr>
            </w:pPr>
            <w:r>
              <w:rPr>
                <w:rFonts w:hint="eastAsia" w:ascii="宋体" w:hAnsi="宋体" w:cs="宋体"/>
                <w:sz w:val="24"/>
              </w:rPr>
              <w:t>污染物项目</w:t>
            </w:r>
          </w:p>
        </w:tc>
        <w:tc>
          <w:tcPr>
            <w:tcW w:w="1842" w:type="dxa"/>
            <w:vAlign w:val="center"/>
          </w:tcPr>
          <w:p w14:paraId="08CB37E5">
            <w:pPr>
              <w:adjustRightInd w:val="0"/>
              <w:snapToGrid w:val="0"/>
              <w:jc w:val="center"/>
              <w:rPr>
                <w:rFonts w:hint="eastAsia" w:ascii="宋体" w:hAnsi="宋体" w:cs="宋体"/>
                <w:sz w:val="24"/>
              </w:rPr>
            </w:pPr>
            <w:r>
              <w:rPr>
                <w:rFonts w:hint="eastAsia" w:ascii="宋体" w:hAnsi="宋体" w:cs="宋体"/>
                <w:sz w:val="24"/>
              </w:rPr>
              <w:t>环境保护措施</w:t>
            </w:r>
          </w:p>
        </w:tc>
        <w:tc>
          <w:tcPr>
            <w:tcW w:w="2597" w:type="dxa"/>
            <w:vAlign w:val="center"/>
          </w:tcPr>
          <w:p w14:paraId="772BEF41">
            <w:pPr>
              <w:adjustRightInd w:val="0"/>
              <w:snapToGrid w:val="0"/>
              <w:jc w:val="center"/>
              <w:rPr>
                <w:rFonts w:hint="eastAsia" w:ascii="宋体" w:hAnsi="宋体" w:cs="宋体"/>
                <w:sz w:val="24"/>
              </w:rPr>
            </w:pPr>
            <w:r>
              <w:rPr>
                <w:rFonts w:hint="eastAsia" w:ascii="宋体" w:hAnsi="宋体" w:cs="宋体"/>
                <w:sz w:val="24"/>
              </w:rPr>
              <w:t>执行标准</w:t>
            </w:r>
          </w:p>
        </w:tc>
      </w:tr>
      <w:tr w14:paraId="621CE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08" w:type="dxa"/>
            <w:vAlign w:val="center"/>
          </w:tcPr>
          <w:p w14:paraId="2479F328">
            <w:pPr>
              <w:adjustRightInd w:val="0"/>
              <w:snapToGrid w:val="0"/>
              <w:jc w:val="center"/>
              <w:rPr>
                <w:rFonts w:hint="eastAsia" w:ascii="宋体" w:hAnsi="宋体" w:cs="宋体"/>
                <w:sz w:val="24"/>
              </w:rPr>
            </w:pPr>
            <w:r>
              <w:rPr>
                <w:rFonts w:hint="eastAsia" w:ascii="宋体" w:hAnsi="宋体" w:cs="宋体"/>
                <w:sz w:val="24"/>
              </w:rPr>
              <w:t>大气环境</w:t>
            </w:r>
          </w:p>
        </w:tc>
        <w:tc>
          <w:tcPr>
            <w:tcW w:w="7416" w:type="dxa"/>
            <w:gridSpan w:val="4"/>
            <w:vAlign w:val="center"/>
          </w:tcPr>
          <w:p w14:paraId="65E3756E">
            <w:pPr>
              <w:adjustRightInd w:val="0"/>
              <w:snapToGrid w:val="0"/>
              <w:jc w:val="center"/>
              <w:rPr>
                <w:rFonts w:hint="eastAsia" w:ascii="宋体" w:hAnsi="宋体" w:cs="宋体"/>
                <w:sz w:val="24"/>
              </w:rPr>
            </w:pPr>
            <w:r>
              <w:rPr>
                <w:rFonts w:hint="eastAsia" w:ascii="宋体" w:hAnsi="宋体" w:cs="宋体"/>
                <w:sz w:val="24"/>
              </w:rPr>
              <w:t>/</w:t>
            </w:r>
          </w:p>
        </w:tc>
      </w:tr>
      <w:tr w14:paraId="265CE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08" w:type="dxa"/>
            <w:vMerge w:val="restart"/>
            <w:vAlign w:val="center"/>
          </w:tcPr>
          <w:p w14:paraId="7F53CE02">
            <w:pPr>
              <w:adjustRightInd w:val="0"/>
              <w:snapToGrid w:val="0"/>
              <w:jc w:val="center"/>
              <w:rPr>
                <w:rFonts w:hint="eastAsia" w:ascii="宋体" w:hAnsi="宋体" w:cs="宋体"/>
                <w:sz w:val="24"/>
              </w:rPr>
            </w:pPr>
            <w:r>
              <w:rPr>
                <w:rFonts w:hint="eastAsia" w:ascii="宋体" w:hAnsi="宋体" w:cs="宋体"/>
                <w:sz w:val="24"/>
              </w:rPr>
              <w:t>地表水环境</w:t>
            </w:r>
          </w:p>
        </w:tc>
        <w:tc>
          <w:tcPr>
            <w:tcW w:w="1559" w:type="dxa"/>
            <w:vAlign w:val="center"/>
          </w:tcPr>
          <w:p w14:paraId="4D132C72">
            <w:pPr>
              <w:adjustRightInd w:val="0"/>
              <w:snapToGrid w:val="0"/>
              <w:jc w:val="center"/>
              <w:rPr>
                <w:rFonts w:hint="eastAsia" w:ascii="宋体" w:hAnsi="宋体" w:cs="宋体"/>
                <w:sz w:val="24"/>
              </w:rPr>
            </w:pPr>
            <w:r>
              <w:rPr>
                <w:rFonts w:hint="eastAsia" w:ascii="宋体" w:hAnsi="宋体" w:cs="宋体"/>
                <w:sz w:val="24"/>
              </w:rPr>
              <w:t>生活污水</w:t>
            </w:r>
          </w:p>
        </w:tc>
        <w:tc>
          <w:tcPr>
            <w:tcW w:w="1418" w:type="dxa"/>
            <w:vAlign w:val="center"/>
          </w:tcPr>
          <w:p w14:paraId="739CFCC9">
            <w:pPr>
              <w:adjustRightInd w:val="0"/>
              <w:snapToGrid w:val="0"/>
              <w:jc w:val="center"/>
              <w:rPr>
                <w:rFonts w:hint="eastAsia" w:ascii="宋体" w:hAnsi="宋体" w:cs="宋体"/>
                <w:sz w:val="24"/>
              </w:rPr>
            </w:pPr>
            <w:r>
              <w:rPr>
                <w:rFonts w:hint="eastAsia" w:ascii="宋体" w:hAnsi="宋体" w:cs="宋体"/>
                <w:sz w:val="24"/>
              </w:rPr>
              <w:t>CODcr、BOD</w:t>
            </w:r>
            <w:r>
              <w:rPr>
                <w:rFonts w:hint="eastAsia" w:ascii="宋体" w:hAnsi="宋体" w:cs="宋体"/>
                <w:sz w:val="24"/>
                <w:vertAlign w:val="subscript"/>
              </w:rPr>
              <w:t>5</w:t>
            </w:r>
            <w:r>
              <w:rPr>
                <w:rFonts w:hint="eastAsia" w:ascii="宋体" w:hAnsi="宋体" w:cs="宋体"/>
                <w:sz w:val="24"/>
              </w:rPr>
              <w:t>、SS、氨氮</w:t>
            </w:r>
          </w:p>
        </w:tc>
        <w:tc>
          <w:tcPr>
            <w:tcW w:w="1842" w:type="dxa"/>
            <w:vAlign w:val="center"/>
          </w:tcPr>
          <w:p w14:paraId="689A9005">
            <w:pPr>
              <w:adjustRightInd w:val="0"/>
              <w:snapToGrid w:val="0"/>
              <w:jc w:val="center"/>
              <w:rPr>
                <w:rFonts w:hint="eastAsia" w:ascii="宋体" w:hAnsi="宋体" w:cs="宋体"/>
                <w:sz w:val="24"/>
              </w:rPr>
            </w:pPr>
            <w:r>
              <w:rPr>
                <w:rFonts w:hint="eastAsia" w:ascii="宋体" w:hAnsi="宋体" w:cs="宋体"/>
                <w:sz w:val="24"/>
              </w:rPr>
              <w:t>公共化粪池处理合格后排入市政污水管道</w:t>
            </w:r>
          </w:p>
        </w:tc>
        <w:tc>
          <w:tcPr>
            <w:tcW w:w="2597" w:type="dxa"/>
            <w:vMerge w:val="restart"/>
            <w:vAlign w:val="center"/>
          </w:tcPr>
          <w:p w14:paraId="0C940A54">
            <w:pPr>
              <w:adjustRightInd w:val="0"/>
              <w:snapToGrid w:val="0"/>
              <w:jc w:val="center"/>
              <w:rPr>
                <w:rFonts w:hint="eastAsia" w:ascii="宋体" w:hAnsi="宋体" w:cs="宋体"/>
                <w:sz w:val="24"/>
              </w:rPr>
            </w:pPr>
            <w:r>
              <w:rPr>
                <w:rFonts w:hint="eastAsia" w:ascii="宋体" w:hAnsi="宋体" w:cs="宋体"/>
                <w:sz w:val="24"/>
              </w:rPr>
              <w:t>《污水综合排放标准》（GB8978-1996）中三级标准</w:t>
            </w:r>
          </w:p>
        </w:tc>
      </w:tr>
      <w:tr w14:paraId="58339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08" w:type="dxa"/>
            <w:vMerge w:val="continue"/>
            <w:vAlign w:val="center"/>
          </w:tcPr>
          <w:p w14:paraId="3F0C9559">
            <w:pPr>
              <w:adjustRightInd w:val="0"/>
              <w:snapToGrid w:val="0"/>
              <w:jc w:val="center"/>
              <w:rPr>
                <w:rFonts w:hint="eastAsia" w:ascii="宋体" w:hAnsi="宋体" w:cs="宋体"/>
                <w:sz w:val="24"/>
              </w:rPr>
            </w:pPr>
          </w:p>
        </w:tc>
        <w:tc>
          <w:tcPr>
            <w:tcW w:w="1559" w:type="dxa"/>
            <w:vAlign w:val="center"/>
          </w:tcPr>
          <w:p w14:paraId="30B8429F">
            <w:pPr>
              <w:adjustRightInd w:val="0"/>
              <w:snapToGrid w:val="0"/>
              <w:jc w:val="center"/>
              <w:rPr>
                <w:rFonts w:hint="eastAsia" w:ascii="宋体" w:hAnsi="宋体" w:cs="宋体"/>
                <w:sz w:val="24"/>
              </w:rPr>
            </w:pPr>
            <w:r>
              <w:rPr>
                <w:rFonts w:hint="eastAsia" w:ascii="宋体" w:hAnsi="宋体" w:cs="宋体"/>
                <w:sz w:val="24"/>
              </w:rPr>
              <w:t>实验器皿清洗废水</w:t>
            </w:r>
          </w:p>
        </w:tc>
        <w:tc>
          <w:tcPr>
            <w:tcW w:w="1418" w:type="dxa"/>
            <w:vAlign w:val="center"/>
          </w:tcPr>
          <w:p w14:paraId="27E09D1D">
            <w:pPr>
              <w:adjustRightInd w:val="0"/>
              <w:snapToGrid w:val="0"/>
              <w:jc w:val="center"/>
              <w:rPr>
                <w:rFonts w:hint="eastAsia" w:ascii="宋体" w:hAnsi="宋体" w:cs="宋体"/>
                <w:sz w:val="24"/>
              </w:rPr>
            </w:pPr>
            <w:r>
              <w:rPr>
                <w:rFonts w:hint="eastAsia" w:ascii="宋体" w:hAnsi="宋体" w:cs="宋体"/>
                <w:sz w:val="24"/>
              </w:rPr>
              <w:t xml:space="preserve">pH、CODcr、氨氮 </w:t>
            </w:r>
          </w:p>
        </w:tc>
        <w:tc>
          <w:tcPr>
            <w:tcW w:w="1842" w:type="dxa"/>
            <w:vAlign w:val="center"/>
          </w:tcPr>
          <w:p w14:paraId="6EF822B8">
            <w:pPr>
              <w:adjustRightInd w:val="0"/>
              <w:snapToGrid w:val="0"/>
              <w:jc w:val="center"/>
              <w:rPr>
                <w:rFonts w:hint="eastAsia" w:ascii="宋体" w:hAnsi="宋体" w:cs="宋体"/>
                <w:sz w:val="24"/>
              </w:rPr>
            </w:pPr>
            <w:r>
              <w:rPr>
                <w:rFonts w:hint="eastAsia" w:ascii="宋体" w:hAnsi="宋体" w:cs="宋体"/>
                <w:sz w:val="24"/>
              </w:rPr>
              <w:t>酸碱中和池处理合格后排入市政污水管道。酸碱中和池底板及壁板防渗材料应具有耐腐蚀性能或采取防腐蚀措施，等效黏土防渗层Mb≥1.5m，K≤1.0×10</w:t>
            </w:r>
            <w:r>
              <w:rPr>
                <w:rFonts w:hint="eastAsia" w:ascii="宋体" w:hAnsi="宋体" w:cs="宋体"/>
                <w:sz w:val="24"/>
                <w:vertAlign w:val="superscript"/>
              </w:rPr>
              <w:t>-7</w:t>
            </w:r>
            <w:r>
              <w:rPr>
                <w:rFonts w:hint="eastAsia" w:ascii="宋体" w:hAnsi="宋体" w:cs="宋体"/>
                <w:sz w:val="24"/>
              </w:rPr>
              <w:t>cm/s。</w:t>
            </w:r>
          </w:p>
        </w:tc>
        <w:tc>
          <w:tcPr>
            <w:tcW w:w="2597" w:type="dxa"/>
            <w:vMerge w:val="continue"/>
            <w:vAlign w:val="center"/>
          </w:tcPr>
          <w:p w14:paraId="7DC3B640">
            <w:pPr>
              <w:adjustRightInd w:val="0"/>
              <w:snapToGrid w:val="0"/>
              <w:jc w:val="center"/>
              <w:rPr>
                <w:rFonts w:hint="eastAsia" w:ascii="宋体" w:hAnsi="宋体" w:cs="宋体"/>
                <w:sz w:val="24"/>
              </w:rPr>
            </w:pPr>
          </w:p>
        </w:tc>
      </w:tr>
      <w:tr w14:paraId="1CC12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08" w:type="dxa"/>
            <w:vMerge w:val="continue"/>
            <w:vAlign w:val="center"/>
          </w:tcPr>
          <w:p w14:paraId="064D6E81">
            <w:pPr>
              <w:adjustRightInd w:val="0"/>
              <w:snapToGrid w:val="0"/>
              <w:jc w:val="center"/>
              <w:rPr>
                <w:rFonts w:hint="eastAsia" w:ascii="宋体" w:hAnsi="宋体" w:cs="宋体"/>
                <w:sz w:val="24"/>
              </w:rPr>
            </w:pPr>
          </w:p>
        </w:tc>
        <w:tc>
          <w:tcPr>
            <w:tcW w:w="1559" w:type="dxa"/>
            <w:vAlign w:val="center"/>
          </w:tcPr>
          <w:p w14:paraId="63950023">
            <w:pPr>
              <w:adjustRightInd w:val="0"/>
              <w:snapToGrid w:val="0"/>
              <w:jc w:val="center"/>
              <w:rPr>
                <w:rFonts w:hint="eastAsia" w:ascii="宋体" w:hAnsi="宋体" w:cs="宋体"/>
                <w:sz w:val="24"/>
              </w:rPr>
            </w:pPr>
            <w:r>
              <w:rPr>
                <w:rFonts w:hint="eastAsia" w:ascii="宋体" w:hAnsi="宋体" w:cs="宋体"/>
                <w:sz w:val="24"/>
              </w:rPr>
              <w:t>浓水</w:t>
            </w:r>
          </w:p>
        </w:tc>
        <w:tc>
          <w:tcPr>
            <w:tcW w:w="1418" w:type="dxa"/>
            <w:vAlign w:val="center"/>
          </w:tcPr>
          <w:p w14:paraId="66331E2C">
            <w:pPr>
              <w:adjustRightInd w:val="0"/>
              <w:snapToGrid w:val="0"/>
              <w:jc w:val="center"/>
              <w:rPr>
                <w:rFonts w:hint="eastAsia" w:ascii="宋体" w:hAnsi="宋体" w:cs="宋体"/>
                <w:sz w:val="24"/>
              </w:rPr>
            </w:pPr>
            <w:r>
              <w:rPr>
                <w:rFonts w:hint="eastAsia" w:ascii="宋体" w:hAnsi="宋体" w:cs="宋体"/>
                <w:sz w:val="24"/>
              </w:rPr>
              <w:t>CODcr、BOD</w:t>
            </w:r>
            <w:r>
              <w:rPr>
                <w:rFonts w:hint="eastAsia" w:ascii="宋体" w:hAnsi="宋体" w:cs="宋体"/>
                <w:sz w:val="24"/>
                <w:vertAlign w:val="subscript"/>
              </w:rPr>
              <w:t>5</w:t>
            </w:r>
            <w:r>
              <w:rPr>
                <w:rFonts w:hint="eastAsia" w:ascii="宋体" w:hAnsi="宋体" w:cs="宋体"/>
                <w:sz w:val="24"/>
              </w:rPr>
              <w:t>、SS</w:t>
            </w:r>
          </w:p>
        </w:tc>
        <w:tc>
          <w:tcPr>
            <w:tcW w:w="1842" w:type="dxa"/>
            <w:vAlign w:val="center"/>
          </w:tcPr>
          <w:p w14:paraId="5219678F">
            <w:pPr>
              <w:adjustRightInd w:val="0"/>
              <w:snapToGrid w:val="0"/>
              <w:jc w:val="center"/>
              <w:rPr>
                <w:rFonts w:hint="eastAsia" w:ascii="宋体" w:hAnsi="宋体" w:cs="宋体"/>
                <w:sz w:val="24"/>
              </w:rPr>
            </w:pPr>
            <w:r>
              <w:rPr>
                <w:rFonts w:hint="eastAsia" w:ascii="宋体" w:hAnsi="宋体" w:cs="宋体"/>
                <w:sz w:val="24"/>
              </w:rPr>
              <w:t>排入市政污水管道</w:t>
            </w:r>
          </w:p>
        </w:tc>
        <w:tc>
          <w:tcPr>
            <w:tcW w:w="2597" w:type="dxa"/>
            <w:vMerge w:val="continue"/>
            <w:vAlign w:val="center"/>
          </w:tcPr>
          <w:p w14:paraId="33A6B02B">
            <w:pPr>
              <w:adjustRightInd w:val="0"/>
              <w:snapToGrid w:val="0"/>
              <w:jc w:val="center"/>
              <w:rPr>
                <w:rFonts w:hint="eastAsia" w:ascii="宋体" w:hAnsi="宋体" w:cs="宋体"/>
                <w:sz w:val="24"/>
              </w:rPr>
            </w:pPr>
          </w:p>
        </w:tc>
      </w:tr>
      <w:tr w14:paraId="52A016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8" w:type="dxa"/>
            <w:vAlign w:val="center"/>
          </w:tcPr>
          <w:p w14:paraId="4F891A22">
            <w:pPr>
              <w:adjustRightInd w:val="0"/>
              <w:snapToGrid w:val="0"/>
              <w:jc w:val="center"/>
              <w:rPr>
                <w:rFonts w:hint="eastAsia" w:ascii="宋体" w:hAnsi="宋体" w:cs="宋体"/>
                <w:sz w:val="24"/>
              </w:rPr>
            </w:pPr>
            <w:r>
              <w:rPr>
                <w:rFonts w:hint="eastAsia" w:ascii="宋体" w:hAnsi="宋体" w:cs="宋体"/>
                <w:sz w:val="24"/>
              </w:rPr>
              <w:t>声环境</w:t>
            </w:r>
          </w:p>
        </w:tc>
        <w:tc>
          <w:tcPr>
            <w:tcW w:w="1559" w:type="dxa"/>
            <w:shd w:val="clear" w:color="auto" w:fill="auto"/>
            <w:vAlign w:val="center"/>
          </w:tcPr>
          <w:p w14:paraId="59BC684F">
            <w:pPr>
              <w:adjustRightInd w:val="0"/>
              <w:snapToGrid w:val="0"/>
              <w:jc w:val="center"/>
              <w:rPr>
                <w:rFonts w:hint="eastAsia" w:ascii="宋体" w:hAnsi="宋体" w:cs="宋体"/>
                <w:sz w:val="24"/>
              </w:rPr>
            </w:pPr>
            <w:r>
              <w:rPr>
                <w:rFonts w:hint="eastAsia"/>
                <w:sz w:val="24"/>
              </w:rPr>
              <w:t>实验设备</w:t>
            </w:r>
          </w:p>
        </w:tc>
        <w:tc>
          <w:tcPr>
            <w:tcW w:w="1418" w:type="dxa"/>
            <w:vAlign w:val="center"/>
          </w:tcPr>
          <w:p w14:paraId="2BFA965C">
            <w:pPr>
              <w:adjustRightInd w:val="0"/>
              <w:snapToGrid w:val="0"/>
              <w:jc w:val="center"/>
              <w:rPr>
                <w:rFonts w:hint="eastAsia" w:ascii="宋体" w:hAnsi="宋体" w:cs="宋体"/>
                <w:sz w:val="24"/>
              </w:rPr>
            </w:pPr>
            <w:r>
              <w:rPr>
                <w:rFonts w:hint="eastAsia" w:ascii="宋体" w:hAnsi="宋体" w:cs="宋体"/>
                <w:sz w:val="24"/>
              </w:rPr>
              <w:t>噪声</w:t>
            </w:r>
          </w:p>
        </w:tc>
        <w:tc>
          <w:tcPr>
            <w:tcW w:w="1842" w:type="dxa"/>
            <w:vAlign w:val="center"/>
          </w:tcPr>
          <w:p w14:paraId="47672455">
            <w:pPr>
              <w:adjustRightInd w:val="0"/>
              <w:snapToGrid w:val="0"/>
              <w:jc w:val="center"/>
              <w:rPr>
                <w:rFonts w:hint="eastAsia" w:ascii="宋体" w:hAnsi="宋体" w:cs="宋体"/>
                <w:sz w:val="24"/>
              </w:rPr>
            </w:pPr>
            <w:r>
              <w:rPr>
                <w:rFonts w:hint="eastAsia" w:ascii="宋体" w:hAnsi="宋体" w:cs="宋体"/>
                <w:sz w:val="24"/>
              </w:rPr>
              <w:t>房间隔声</w:t>
            </w:r>
          </w:p>
        </w:tc>
        <w:tc>
          <w:tcPr>
            <w:tcW w:w="2597" w:type="dxa"/>
            <w:vAlign w:val="center"/>
          </w:tcPr>
          <w:p w14:paraId="5AE9B3B5">
            <w:pPr>
              <w:adjustRightInd w:val="0"/>
              <w:snapToGrid w:val="0"/>
              <w:jc w:val="center"/>
              <w:rPr>
                <w:sz w:val="24"/>
              </w:rPr>
            </w:pPr>
            <w:r>
              <w:rPr>
                <w:rFonts w:hint="eastAsia"/>
                <w:sz w:val="24"/>
              </w:rPr>
              <w:t>《</w:t>
            </w:r>
            <w:r>
              <w:rPr>
                <w:sz w:val="24"/>
              </w:rPr>
              <w:t>工业企业厂界环境噪声排放标准</w:t>
            </w:r>
            <w:r>
              <w:rPr>
                <w:rFonts w:hint="eastAsia"/>
                <w:sz w:val="24"/>
              </w:rPr>
              <w:t>》（GB12348-2008）2类标准</w:t>
            </w:r>
          </w:p>
        </w:tc>
      </w:tr>
      <w:tr w14:paraId="461D3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08" w:type="dxa"/>
            <w:vAlign w:val="center"/>
          </w:tcPr>
          <w:p w14:paraId="2D1AEDAA">
            <w:pPr>
              <w:adjustRightInd w:val="0"/>
              <w:snapToGrid w:val="0"/>
              <w:jc w:val="center"/>
              <w:rPr>
                <w:rFonts w:hint="eastAsia" w:ascii="宋体" w:hAnsi="宋体" w:cs="宋体"/>
                <w:sz w:val="24"/>
              </w:rPr>
            </w:pPr>
            <w:r>
              <w:rPr>
                <w:rFonts w:hint="eastAsia" w:ascii="宋体" w:hAnsi="宋体" w:cs="宋体"/>
                <w:sz w:val="24"/>
              </w:rPr>
              <w:t>电磁辐射</w:t>
            </w:r>
          </w:p>
        </w:tc>
        <w:tc>
          <w:tcPr>
            <w:tcW w:w="7416" w:type="dxa"/>
            <w:gridSpan w:val="4"/>
            <w:vAlign w:val="center"/>
          </w:tcPr>
          <w:p w14:paraId="7D1C6A0C">
            <w:pPr>
              <w:adjustRightInd w:val="0"/>
              <w:snapToGrid w:val="0"/>
              <w:jc w:val="center"/>
              <w:rPr>
                <w:rFonts w:hint="eastAsia" w:ascii="宋体" w:hAnsi="宋体" w:cs="宋体"/>
                <w:sz w:val="24"/>
              </w:rPr>
            </w:pPr>
            <w:r>
              <w:rPr>
                <w:rFonts w:hint="eastAsia" w:ascii="宋体" w:hAnsi="宋体" w:cs="宋体"/>
                <w:sz w:val="24"/>
              </w:rPr>
              <w:t>/</w:t>
            </w:r>
          </w:p>
        </w:tc>
      </w:tr>
      <w:tr w14:paraId="1F37C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408" w:type="dxa"/>
            <w:vMerge w:val="restart"/>
            <w:vAlign w:val="center"/>
          </w:tcPr>
          <w:p w14:paraId="31A85243">
            <w:pPr>
              <w:adjustRightInd w:val="0"/>
              <w:snapToGrid w:val="0"/>
              <w:jc w:val="center"/>
              <w:rPr>
                <w:rFonts w:hint="eastAsia" w:ascii="宋体" w:hAnsi="宋体" w:cs="宋体"/>
                <w:sz w:val="24"/>
              </w:rPr>
            </w:pPr>
            <w:r>
              <w:rPr>
                <w:rFonts w:hint="eastAsia" w:ascii="宋体" w:hAnsi="宋体" w:cs="宋体"/>
                <w:sz w:val="24"/>
              </w:rPr>
              <w:t>固体废物</w:t>
            </w:r>
          </w:p>
        </w:tc>
        <w:tc>
          <w:tcPr>
            <w:tcW w:w="2977" w:type="dxa"/>
            <w:gridSpan w:val="2"/>
            <w:tcBorders>
              <w:top w:val="single" w:color="auto" w:sz="4" w:space="0"/>
              <w:left w:val="nil"/>
              <w:right w:val="single" w:color="auto" w:sz="4" w:space="0"/>
            </w:tcBorders>
            <w:vAlign w:val="center"/>
          </w:tcPr>
          <w:p w14:paraId="645C6931">
            <w:pPr>
              <w:jc w:val="center"/>
              <w:rPr>
                <w:rFonts w:hint="eastAsia" w:ascii="宋体" w:hAnsi="宋体" w:cs="宋体"/>
                <w:sz w:val="24"/>
              </w:rPr>
            </w:pPr>
            <w:r>
              <w:rPr>
                <w:rFonts w:hint="eastAsia" w:ascii="宋体" w:hAnsi="宋体" w:cs="宋体"/>
                <w:sz w:val="24"/>
              </w:rPr>
              <w:t>生活垃圾</w:t>
            </w:r>
          </w:p>
        </w:tc>
        <w:tc>
          <w:tcPr>
            <w:tcW w:w="4439" w:type="dxa"/>
            <w:gridSpan w:val="2"/>
            <w:tcBorders>
              <w:top w:val="single" w:color="auto" w:sz="4" w:space="0"/>
              <w:left w:val="nil"/>
              <w:right w:val="single" w:color="auto" w:sz="4" w:space="0"/>
            </w:tcBorders>
            <w:vAlign w:val="center"/>
          </w:tcPr>
          <w:p w14:paraId="7A40B39F">
            <w:pPr>
              <w:jc w:val="center"/>
              <w:rPr>
                <w:sz w:val="24"/>
              </w:rPr>
            </w:pPr>
            <w:r>
              <w:rPr>
                <w:rFonts w:hint="eastAsia"/>
                <w:sz w:val="24"/>
              </w:rPr>
              <w:t>收集到垃圾桶后由环卫部门统一处理</w:t>
            </w:r>
          </w:p>
        </w:tc>
      </w:tr>
      <w:tr w14:paraId="20FE1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408" w:type="dxa"/>
            <w:vMerge w:val="continue"/>
            <w:vAlign w:val="center"/>
          </w:tcPr>
          <w:p w14:paraId="40612128">
            <w:pPr>
              <w:adjustRightInd w:val="0"/>
              <w:snapToGrid w:val="0"/>
              <w:jc w:val="center"/>
              <w:rPr>
                <w:rFonts w:hint="eastAsia" w:ascii="宋体" w:hAnsi="宋体" w:cs="宋体"/>
                <w:sz w:val="24"/>
              </w:rPr>
            </w:pPr>
          </w:p>
        </w:tc>
        <w:tc>
          <w:tcPr>
            <w:tcW w:w="1559" w:type="dxa"/>
            <w:tcBorders>
              <w:top w:val="single" w:color="auto" w:sz="4" w:space="0"/>
              <w:left w:val="nil"/>
              <w:right w:val="single" w:color="auto" w:sz="4" w:space="0"/>
            </w:tcBorders>
            <w:vAlign w:val="center"/>
          </w:tcPr>
          <w:p w14:paraId="6941E3D4">
            <w:pPr>
              <w:adjustRightInd w:val="0"/>
              <w:snapToGrid w:val="0"/>
              <w:jc w:val="center"/>
              <w:rPr>
                <w:rFonts w:hint="eastAsia" w:ascii="宋体" w:hAnsi="宋体" w:cs="宋体"/>
                <w:sz w:val="24"/>
              </w:rPr>
            </w:pPr>
            <w:r>
              <w:rPr>
                <w:rFonts w:hint="eastAsia" w:ascii="宋体" w:hAnsi="宋体" w:cs="宋体"/>
                <w:sz w:val="24"/>
              </w:rPr>
              <w:t>一般固废</w:t>
            </w:r>
          </w:p>
        </w:tc>
        <w:tc>
          <w:tcPr>
            <w:tcW w:w="1418" w:type="dxa"/>
            <w:tcBorders>
              <w:top w:val="single" w:color="auto" w:sz="4" w:space="0"/>
              <w:left w:val="nil"/>
              <w:right w:val="single" w:color="auto" w:sz="4" w:space="0"/>
            </w:tcBorders>
            <w:vAlign w:val="center"/>
          </w:tcPr>
          <w:p w14:paraId="1FCE363A">
            <w:pPr>
              <w:jc w:val="center"/>
              <w:rPr>
                <w:rFonts w:hint="eastAsia" w:ascii="宋体" w:hAnsi="宋体" w:cs="宋体"/>
                <w:sz w:val="24"/>
              </w:rPr>
            </w:pPr>
            <w:r>
              <w:rPr>
                <w:rFonts w:hint="eastAsia" w:ascii="宋体" w:hAnsi="宋体" w:cs="宋体"/>
                <w:sz w:val="24"/>
              </w:rPr>
              <w:t>废矸石、废金属制品、废混凝土、废岩石、废离子交换树脂、废反渗透膜</w:t>
            </w:r>
          </w:p>
        </w:tc>
        <w:tc>
          <w:tcPr>
            <w:tcW w:w="4439" w:type="dxa"/>
            <w:gridSpan w:val="2"/>
            <w:tcBorders>
              <w:top w:val="single" w:color="auto" w:sz="4" w:space="0"/>
              <w:left w:val="nil"/>
              <w:right w:val="single" w:color="auto" w:sz="4" w:space="0"/>
            </w:tcBorders>
            <w:vAlign w:val="center"/>
          </w:tcPr>
          <w:p w14:paraId="45030C5D">
            <w:pPr>
              <w:jc w:val="center"/>
              <w:rPr>
                <w:sz w:val="24"/>
              </w:rPr>
            </w:pPr>
            <w:r>
              <w:rPr>
                <w:rFonts w:hint="eastAsia"/>
                <w:sz w:val="24"/>
              </w:rPr>
              <w:t>收集到一般固废收集桶后由环卫部门统一处理</w:t>
            </w:r>
          </w:p>
        </w:tc>
      </w:tr>
      <w:tr w14:paraId="5D33D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08" w:type="dxa"/>
            <w:vMerge w:val="continue"/>
            <w:vAlign w:val="center"/>
          </w:tcPr>
          <w:p w14:paraId="1C378F18">
            <w:pPr>
              <w:adjustRightInd w:val="0"/>
              <w:snapToGrid w:val="0"/>
              <w:jc w:val="center"/>
              <w:rPr>
                <w:rFonts w:hint="eastAsia" w:ascii="宋体" w:hAnsi="宋体" w:cs="宋体"/>
                <w:sz w:val="24"/>
              </w:rPr>
            </w:pPr>
          </w:p>
        </w:tc>
        <w:tc>
          <w:tcPr>
            <w:tcW w:w="1559" w:type="dxa"/>
            <w:tcBorders>
              <w:top w:val="single" w:color="auto" w:sz="4" w:space="0"/>
              <w:left w:val="nil"/>
              <w:right w:val="single" w:color="auto" w:sz="4" w:space="0"/>
            </w:tcBorders>
            <w:vAlign w:val="center"/>
          </w:tcPr>
          <w:p w14:paraId="1A7943FE">
            <w:pPr>
              <w:adjustRightInd w:val="0"/>
              <w:snapToGrid w:val="0"/>
              <w:jc w:val="center"/>
              <w:rPr>
                <w:rFonts w:hint="eastAsia" w:ascii="宋体" w:hAnsi="宋体" w:cs="宋体"/>
                <w:sz w:val="24"/>
              </w:rPr>
            </w:pPr>
            <w:r>
              <w:rPr>
                <w:rFonts w:hint="eastAsia" w:ascii="宋体" w:hAnsi="宋体" w:cs="宋体"/>
                <w:sz w:val="24"/>
              </w:rPr>
              <w:t>危险废物</w:t>
            </w:r>
          </w:p>
        </w:tc>
        <w:tc>
          <w:tcPr>
            <w:tcW w:w="1418" w:type="dxa"/>
            <w:tcBorders>
              <w:top w:val="single" w:color="auto" w:sz="4" w:space="0"/>
              <w:left w:val="nil"/>
              <w:right w:val="single" w:color="auto" w:sz="4" w:space="0"/>
            </w:tcBorders>
            <w:vAlign w:val="center"/>
          </w:tcPr>
          <w:p w14:paraId="349C8AE4">
            <w:pPr>
              <w:jc w:val="center"/>
              <w:rPr>
                <w:sz w:val="24"/>
              </w:rPr>
            </w:pPr>
            <w:r>
              <w:rPr>
                <w:rFonts w:hint="eastAsia"/>
                <w:sz w:val="24"/>
              </w:rPr>
              <w:t>废有机胺溶液、实验废液</w:t>
            </w:r>
          </w:p>
        </w:tc>
        <w:tc>
          <w:tcPr>
            <w:tcW w:w="4439" w:type="dxa"/>
            <w:gridSpan w:val="2"/>
            <w:tcBorders>
              <w:top w:val="single" w:color="auto" w:sz="4" w:space="0"/>
              <w:left w:val="nil"/>
              <w:right w:val="single" w:color="auto" w:sz="4" w:space="0"/>
            </w:tcBorders>
            <w:vAlign w:val="center"/>
          </w:tcPr>
          <w:p w14:paraId="5534948E">
            <w:pPr>
              <w:jc w:val="center"/>
              <w:rPr>
                <w:sz w:val="24"/>
              </w:rPr>
            </w:pPr>
            <w:r>
              <w:rPr>
                <w:rFonts w:hint="eastAsia"/>
                <w:sz w:val="24"/>
              </w:rPr>
              <w:t>暂存于危废暂存间，委托有资质的机构处理。危险废物暂存间12m</w:t>
            </w:r>
            <w:r>
              <w:rPr>
                <w:rFonts w:hint="eastAsia"/>
                <w:sz w:val="24"/>
                <w:vertAlign w:val="superscript"/>
              </w:rPr>
              <w:t>2</w:t>
            </w:r>
            <w:r>
              <w:rPr>
                <w:rFonts w:hint="eastAsia"/>
                <w:sz w:val="24"/>
              </w:rPr>
              <w:t>，地面与裙脚应采取表面防渗措施；表面防渗材料应与所接触的物料或污染物相容，可采用抗渗混凝土、高密度聚乙烯膜、钠基膨润土防水毯或其他防渗性能等效的材料。</w:t>
            </w:r>
          </w:p>
        </w:tc>
      </w:tr>
      <w:tr w14:paraId="189C9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1408" w:type="dxa"/>
            <w:vAlign w:val="center"/>
          </w:tcPr>
          <w:p w14:paraId="055F1536">
            <w:pPr>
              <w:adjustRightInd w:val="0"/>
              <w:snapToGrid w:val="0"/>
              <w:jc w:val="center"/>
              <w:rPr>
                <w:rFonts w:hint="eastAsia" w:ascii="宋体" w:hAnsi="宋体" w:cs="宋体"/>
                <w:spacing w:val="-8"/>
                <w:sz w:val="24"/>
              </w:rPr>
            </w:pPr>
            <w:r>
              <w:rPr>
                <w:rFonts w:hint="eastAsia" w:ascii="宋体" w:hAnsi="宋体" w:cs="宋体"/>
                <w:spacing w:val="-8"/>
                <w:sz w:val="24"/>
              </w:rPr>
              <w:t>环境风险</w:t>
            </w:r>
          </w:p>
          <w:p w14:paraId="2BBD65A7">
            <w:pPr>
              <w:adjustRightInd w:val="0"/>
              <w:snapToGrid w:val="0"/>
              <w:jc w:val="center"/>
              <w:rPr>
                <w:rFonts w:hint="eastAsia" w:ascii="宋体" w:hAnsi="宋体" w:cs="宋体"/>
                <w:spacing w:val="-8"/>
                <w:sz w:val="24"/>
              </w:rPr>
            </w:pPr>
            <w:r>
              <w:rPr>
                <w:rFonts w:hint="eastAsia" w:ascii="宋体" w:hAnsi="宋体" w:cs="宋体"/>
                <w:spacing w:val="-8"/>
                <w:sz w:val="24"/>
              </w:rPr>
              <w:t>防范措施</w:t>
            </w:r>
          </w:p>
        </w:tc>
        <w:tc>
          <w:tcPr>
            <w:tcW w:w="7416" w:type="dxa"/>
            <w:gridSpan w:val="4"/>
            <w:vAlign w:val="center"/>
          </w:tcPr>
          <w:p w14:paraId="338AFE3C">
            <w:pPr>
              <w:spacing w:line="360" w:lineRule="auto"/>
              <w:ind w:firstLine="480"/>
              <w:rPr>
                <w:sz w:val="24"/>
              </w:rPr>
            </w:pPr>
            <w:r>
              <w:rPr>
                <w:rFonts w:hint="eastAsia"/>
                <w:sz w:val="24"/>
              </w:rPr>
              <w:t>①加强危险化学品贮存过程中的管理：建立实验室危险化学品定期汇总登记制度，记录危险化学品种类和数量，并存档备查。根据危险化学品性能，分区分类存放，各类危险化学品不得与禁忌物料混合存放。</w:t>
            </w:r>
          </w:p>
          <w:p w14:paraId="764825F3">
            <w:pPr>
              <w:spacing w:line="360" w:lineRule="auto"/>
              <w:ind w:firstLine="480"/>
              <w:rPr>
                <w:sz w:val="24"/>
              </w:rPr>
            </w:pPr>
            <w:r>
              <w:rPr>
                <w:rFonts w:hint="eastAsia"/>
                <w:sz w:val="24"/>
              </w:rPr>
              <w:t>②加强危险化学品使用过程中的管理：实验室内严禁吸烟，使用一切加热工具均应严格遵守操作规程。实验室应装有换气设备，实验过程确保通风橱正常开启。实验结束后，实验分析废液和危险废物应单独收集，定期交由有资质单位处理，不能倒入水槽内；剩余的危险化学品必须回收。</w:t>
            </w:r>
          </w:p>
          <w:p w14:paraId="48E4D988">
            <w:pPr>
              <w:pStyle w:val="76"/>
              <w:ind w:firstLine="480"/>
            </w:pPr>
            <w:r>
              <w:rPr>
                <w:rFonts w:hint="eastAsia"/>
              </w:rPr>
              <w:t>③使用甲烷气瓶前，一定要进行检查，查标记、颜色、安全附件、技术 资料、安全状况等。气瓶专瓶专用，不得擅自改装它类气体。</w:t>
            </w:r>
          </w:p>
          <w:p w14:paraId="0E7A12CC">
            <w:pPr>
              <w:spacing w:line="360" w:lineRule="auto"/>
              <w:ind w:firstLine="480"/>
              <w:rPr>
                <w:sz w:val="24"/>
              </w:rPr>
            </w:pPr>
            <w:r>
              <w:rPr>
                <w:rFonts w:hint="eastAsia"/>
                <w:sz w:val="24"/>
              </w:rPr>
              <w:t>④实验室制定严格的实验操作规程，职工进行必要的安全培训，且进行有毒药品等危险化学品实验，必须佩戴必要的防护措施，实验室内必须配备常用的医疗急救药品等。</w:t>
            </w:r>
          </w:p>
          <w:p w14:paraId="5104E19F">
            <w:pPr>
              <w:spacing w:line="360" w:lineRule="auto"/>
              <w:ind w:firstLine="480"/>
              <w:rPr>
                <w:sz w:val="24"/>
              </w:rPr>
            </w:pPr>
            <w:r>
              <w:rPr>
                <w:rFonts w:hint="eastAsia"/>
                <w:sz w:val="24"/>
              </w:rPr>
              <w:t>⑤实验室应配置相应灭火设备，并定期检查灭火状态及其有效期等。</w:t>
            </w:r>
          </w:p>
          <w:p w14:paraId="1BF17184">
            <w:pPr>
              <w:spacing w:line="360" w:lineRule="auto"/>
              <w:ind w:firstLine="480"/>
              <w:rPr>
                <w:sz w:val="24"/>
              </w:rPr>
            </w:pPr>
            <w:r>
              <w:rPr>
                <w:rFonts w:hint="eastAsia"/>
                <w:sz w:val="24"/>
              </w:rPr>
              <w:t>⑥定期进行安全环保宣传教育和紧急事故模拟演习，提高事故应变能力。</w:t>
            </w:r>
          </w:p>
        </w:tc>
      </w:tr>
      <w:tr w14:paraId="48A58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408" w:type="dxa"/>
            <w:vAlign w:val="center"/>
          </w:tcPr>
          <w:p w14:paraId="497826A1">
            <w:pPr>
              <w:adjustRightInd w:val="0"/>
              <w:snapToGrid w:val="0"/>
              <w:jc w:val="center"/>
              <w:rPr>
                <w:rFonts w:hint="eastAsia" w:ascii="宋体" w:hAnsi="宋体" w:cs="宋体"/>
                <w:spacing w:val="-8"/>
                <w:sz w:val="24"/>
              </w:rPr>
            </w:pPr>
            <w:r>
              <w:rPr>
                <w:rFonts w:hint="eastAsia" w:ascii="宋体" w:hAnsi="宋体" w:cs="宋体"/>
                <w:spacing w:val="-8"/>
                <w:sz w:val="24"/>
              </w:rPr>
              <w:t>其他环境</w:t>
            </w:r>
          </w:p>
          <w:p w14:paraId="216EDC8F">
            <w:pPr>
              <w:adjustRightInd w:val="0"/>
              <w:snapToGrid w:val="0"/>
              <w:jc w:val="center"/>
              <w:rPr>
                <w:rFonts w:hint="eastAsia" w:ascii="宋体" w:hAnsi="宋体" w:cs="宋体"/>
                <w:spacing w:val="-8"/>
                <w:sz w:val="24"/>
              </w:rPr>
            </w:pPr>
            <w:r>
              <w:rPr>
                <w:rFonts w:hint="eastAsia" w:ascii="宋体" w:hAnsi="宋体" w:cs="宋体"/>
                <w:spacing w:val="-8"/>
                <w:sz w:val="24"/>
              </w:rPr>
              <w:t>管理要求</w:t>
            </w:r>
          </w:p>
        </w:tc>
        <w:tc>
          <w:tcPr>
            <w:tcW w:w="7416" w:type="dxa"/>
            <w:gridSpan w:val="4"/>
            <w:vAlign w:val="center"/>
          </w:tcPr>
          <w:p w14:paraId="35102D45">
            <w:pPr>
              <w:adjustRightInd w:val="0"/>
              <w:snapToGrid w:val="0"/>
              <w:jc w:val="center"/>
              <w:rPr>
                <w:sz w:val="24"/>
              </w:rPr>
            </w:pPr>
            <w:r>
              <w:rPr>
                <w:rFonts w:hint="eastAsia" w:ascii="宋体" w:hAnsi="宋体" w:cs="宋体"/>
                <w:sz w:val="24"/>
              </w:rPr>
              <w:t>/</w:t>
            </w:r>
          </w:p>
        </w:tc>
      </w:tr>
    </w:tbl>
    <w:p w14:paraId="11915BFE">
      <w:pPr>
        <w:pStyle w:val="44"/>
        <w:jc w:val="center"/>
        <w:outlineLvl w:val="0"/>
        <w:rPr>
          <w:rFonts w:hint="eastAsia"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5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5EF8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061" w:hRule="atLeast"/>
          <w:jc w:val="center"/>
        </w:trPr>
        <w:tc>
          <w:tcPr>
            <w:tcW w:w="8865" w:type="dxa"/>
          </w:tcPr>
          <w:p w14:paraId="1082CCE8">
            <w:pPr>
              <w:pStyle w:val="77"/>
            </w:pPr>
            <w:r>
              <w:t>环境影响评价结论</w:t>
            </w:r>
          </w:p>
          <w:p w14:paraId="04FBAB83">
            <w:pPr>
              <w:pStyle w:val="76"/>
              <w:ind w:firstLine="480"/>
            </w:pPr>
            <w:r>
              <w:rPr>
                <w:rFonts w:hint="eastAsia"/>
              </w:rPr>
              <w:t>本项目符合当前国家产业政策的要求。工程采取了完善的环保治理措施及污染控制措施，可实现各类污染物的稳定达标排放，不会对周围环境产生明显影响。因此，本评价从环保角度认为，项目的建设是可行的。</w:t>
            </w:r>
          </w:p>
        </w:tc>
      </w:tr>
    </w:tbl>
    <w:p w14:paraId="71EC821E">
      <w:pPr>
        <w:rPr>
          <w:rFonts w:ascii="宋体"/>
        </w:rPr>
        <w:sectPr>
          <w:pgSz w:w="11906" w:h="16838"/>
          <w:pgMar w:top="1701" w:right="1531" w:bottom="1701" w:left="1531" w:header="851" w:footer="851" w:gutter="0"/>
          <w:cols w:space="720" w:num="1"/>
          <w:docGrid w:linePitch="312" w:charSpace="0"/>
        </w:sectPr>
      </w:pPr>
    </w:p>
    <w:p w14:paraId="70EBFEAA">
      <w:pPr>
        <w:pStyle w:val="44"/>
        <w:adjustRightInd w:val="0"/>
        <w:snapToGrid w:val="0"/>
        <w:spacing w:before="0" w:beforeAutospacing="0" w:after="0" w:afterAutospacing="0" w:line="648" w:lineRule="auto"/>
        <w:outlineLvl w:val="0"/>
        <w:rPr>
          <w:rFonts w:hint="eastAsia" w:ascii="黑体" w:hAnsi="黑体" w:eastAsia="黑体"/>
          <w:snapToGrid w:val="0"/>
          <w:sz w:val="32"/>
          <w:szCs w:val="32"/>
        </w:rPr>
      </w:pPr>
      <w:r>
        <w:rPr>
          <w:rFonts w:hint="eastAsia" w:ascii="黑体" w:hAnsi="黑体" w:eastAsia="黑体"/>
          <w:snapToGrid w:val="0"/>
          <w:sz w:val="32"/>
          <w:szCs w:val="32"/>
        </w:rPr>
        <w:t>附表</w:t>
      </w:r>
    </w:p>
    <w:p w14:paraId="2895AE0E">
      <w:pPr>
        <w:pStyle w:val="44"/>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5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555"/>
        <w:gridCol w:w="1701"/>
        <w:gridCol w:w="1276"/>
        <w:gridCol w:w="1701"/>
        <w:gridCol w:w="1559"/>
        <w:gridCol w:w="1418"/>
        <w:gridCol w:w="1701"/>
        <w:gridCol w:w="1427"/>
      </w:tblGrid>
      <w:tr w14:paraId="01780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50" w:type="dxa"/>
            <w:tcBorders>
              <w:tl2br w:val="single" w:color="auto" w:sz="4" w:space="0"/>
            </w:tcBorders>
            <w:tcMar>
              <w:left w:w="28" w:type="dxa"/>
              <w:right w:w="28" w:type="dxa"/>
            </w:tcMar>
            <w:vAlign w:val="center"/>
          </w:tcPr>
          <w:p w14:paraId="114310F3">
            <w:pPr>
              <w:pStyle w:val="61"/>
              <w:spacing w:beforeLines="0" w:afterLines="0" w:line="240" w:lineRule="auto"/>
              <w:jc w:val="righ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14:paraId="54EE0727">
            <w:pPr>
              <w:pStyle w:val="61"/>
              <w:spacing w:beforeLines="0" w:afterLines="0" w:line="240" w:lineRule="auto"/>
              <w:jc w:val="lef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555" w:type="dxa"/>
            <w:tcMar>
              <w:left w:w="28" w:type="dxa"/>
              <w:right w:w="28" w:type="dxa"/>
            </w:tcMar>
            <w:vAlign w:val="center"/>
          </w:tcPr>
          <w:p w14:paraId="4A954AF1">
            <w:pPr>
              <w:pStyle w:val="61"/>
              <w:spacing w:beforeLines="0" w:afterLines="0" w:line="240" w:lineRule="auto"/>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701" w:type="dxa"/>
            <w:tcMar>
              <w:left w:w="28" w:type="dxa"/>
              <w:right w:w="28" w:type="dxa"/>
            </w:tcMar>
            <w:vAlign w:val="center"/>
          </w:tcPr>
          <w:p w14:paraId="5C68EF58">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14:paraId="40B2DD1C">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276" w:type="dxa"/>
            <w:tcMar>
              <w:left w:w="28" w:type="dxa"/>
              <w:right w:w="28" w:type="dxa"/>
            </w:tcMar>
            <w:vAlign w:val="center"/>
          </w:tcPr>
          <w:p w14:paraId="28D9425B">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14:paraId="31D365F7">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许可排放量</w:t>
            </w:r>
          </w:p>
          <w:p w14:paraId="15FB8475">
            <w:pPr>
              <w:pStyle w:val="61"/>
              <w:spacing w:beforeLines="0" w:afterLines="0"/>
              <w:rPr>
                <w:rFonts w:hint="eastAsia"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01" w:type="dxa"/>
            <w:tcMar>
              <w:left w:w="28" w:type="dxa"/>
              <w:right w:w="28" w:type="dxa"/>
            </w:tcMar>
            <w:vAlign w:val="center"/>
          </w:tcPr>
          <w:p w14:paraId="6D153A2B">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在建工程</w:t>
            </w:r>
          </w:p>
          <w:p w14:paraId="62657044">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59" w:type="dxa"/>
            <w:tcMar>
              <w:left w:w="28" w:type="dxa"/>
              <w:right w:w="28" w:type="dxa"/>
            </w:tcMar>
            <w:vAlign w:val="center"/>
          </w:tcPr>
          <w:p w14:paraId="6890C93A">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本项目</w:t>
            </w:r>
          </w:p>
          <w:p w14:paraId="15849ED3">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418" w:type="dxa"/>
            <w:tcMar>
              <w:left w:w="28" w:type="dxa"/>
              <w:right w:w="28" w:type="dxa"/>
            </w:tcMar>
            <w:vAlign w:val="center"/>
          </w:tcPr>
          <w:p w14:paraId="1BCDB595">
            <w:pPr>
              <w:pStyle w:val="6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以新带老削减量</w:t>
            </w:r>
          </w:p>
          <w:p w14:paraId="3DBBE00F">
            <w:pPr>
              <w:pStyle w:val="6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701" w:type="dxa"/>
            <w:tcMar>
              <w:left w:w="28" w:type="dxa"/>
              <w:right w:w="28" w:type="dxa"/>
            </w:tcMar>
            <w:vAlign w:val="center"/>
          </w:tcPr>
          <w:p w14:paraId="6B8F6B80">
            <w:pPr>
              <w:pStyle w:val="6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本项目建成后</w:t>
            </w:r>
          </w:p>
          <w:p w14:paraId="781BF559">
            <w:pPr>
              <w:pStyle w:val="61"/>
              <w:spacing w:beforeLines="0" w:afterLines="0" w:line="240" w:lineRule="auto"/>
              <w:rPr>
                <w:rFonts w:hint="eastAsia"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1427" w:type="dxa"/>
            <w:tcMar>
              <w:left w:w="28" w:type="dxa"/>
              <w:right w:w="28" w:type="dxa"/>
            </w:tcMar>
            <w:vAlign w:val="center"/>
          </w:tcPr>
          <w:p w14:paraId="63A04E3E">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变化量</w:t>
            </w:r>
          </w:p>
          <w:p w14:paraId="17E6848E">
            <w:pPr>
              <w:pStyle w:val="6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14:paraId="4DA7A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Align w:val="center"/>
          </w:tcPr>
          <w:p w14:paraId="73EC8A05">
            <w:pPr>
              <w:pStyle w:val="61"/>
              <w:spacing w:before="24" w:after="24" w:line="240" w:lineRule="auto"/>
              <w:rPr>
                <w:rFonts w:hint="eastAsia" w:hAnsi="宋体" w:cs="宋体"/>
                <w:snapToGrid w:val="0"/>
                <w:kern w:val="21"/>
                <w:szCs w:val="21"/>
              </w:rPr>
            </w:pPr>
            <w:r>
              <w:rPr>
                <w:rFonts w:hint="eastAsia" w:hAnsi="宋体" w:cs="宋体"/>
                <w:snapToGrid w:val="0"/>
                <w:kern w:val="21"/>
                <w:szCs w:val="21"/>
              </w:rPr>
              <w:t>废气</w:t>
            </w:r>
          </w:p>
        </w:tc>
        <w:tc>
          <w:tcPr>
            <w:tcW w:w="12338" w:type="dxa"/>
            <w:gridSpan w:val="8"/>
            <w:vAlign w:val="center"/>
          </w:tcPr>
          <w:p w14:paraId="7398F2CD">
            <w:pPr>
              <w:pStyle w:val="61"/>
              <w:spacing w:beforeLines="0" w:afterLines="0" w:line="240" w:lineRule="auto"/>
              <w:rPr>
                <w:rFonts w:ascii="Times New Roman"/>
              </w:rPr>
            </w:pPr>
            <w:r>
              <w:rPr>
                <w:rFonts w:hint="eastAsia" w:hAnsi="宋体" w:cs="宋体"/>
                <w:snapToGrid w:val="0"/>
                <w:kern w:val="21"/>
                <w:szCs w:val="21"/>
              </w:rPr>
              <w:t>/</w:t>
            </w:r>
          </w:p>
        </w:tc>
      </w:tr>
      <w:tr w14:paraId="5B37E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restart"/>
            <w:vAlign w:val="center"/>
          </w:tcPr>
          <w:p w14:paraId="520AC582">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废水</w:t>
            </w:r>
          </w:p>
        </w:tc>
        <w:tc>
          <w:tcPr>
            <w:tcW w:w="1555" w:type="dxa"/>
            <w:vAlign w:val="center"/>
          </w:tcPr>
          <w:p w14:paraId="0247DBCE">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CODcr</w:t>
            </w:r>
          </w:p>
        </w:tc>
        <w:tc>
          <w:tcPr>
            <w:tcW w:w="1701" w:type="dxa"/>
            <w:vAlign w:val="center"/>
          </w:tcPr>
          <w:p w14:paraId="19C81D91">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2D231234">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357E2D28">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44973052">
            <w:pPr>
              <w:pStyle w:val="61"/>
              <w:spacing w:beforeLines="0" w:afterLines="0" w:line="240" w:lineRule="auto"/>
              <w:rPr>
                <w:rFonts w:ascii="Times New Roman"/>
                <w:snapToGrid w:val="0"/>
                <w:kern w:val="21"/>
                <w:szCs w:val="21"/>
              </w:rPr>
            </w:pPr>
            <w:r>
              <w:rPr>
                <w:rFonts w:hint="eastAsia" w:ascii="Times New Roman"/>
                <w:snapToGrid w:val="0"/>
                <w:kern w:val="21"/>
                <w:szCs w:val="21"/>
              </w:rPr>
              <w:t>0.084</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18" w:type="dxa"/>
            <w:vAlign w:val="center"/>
          </w:tcPr>
          <w:p w14:paraId="77259CFE">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7904A8FE">
            <w:pPr>
              <w:pStyle w:val="61"/>
              <w:spacing w:beforeLines="0" w:afterLines="0" w:line="240" w:lineRule="auto"/>
              <w:rPr>
                <w:rFonts w:ascii="Times New Roman"/>
                <w:snapToGrid w:val="0"/>
                <w:kern w:val="21"/>
                <w:szCs w:val="21"/>
              </w:rPr>
            </w:pPr>
            <w:r>
              <w:rPr>
                <w:rFonts w:hint="eastAsia" w:ascii="Times New Roman"/>
                <w:snapToGrid w:val="0"/>
                <w:kern w:val="21"/>
                <w:szCs w:val="21"/>
              </w:rPr>
              <w:t>0.084</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27" w:type="dxa"/>
            <w:vAlign w:val="center"/>
          </w:tcPr>
          <w:p w14:paraId="42D407B1">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r>
              <w:rPr>
                <w:rFonts w:hint="eastAsia" w:ascii="Times New Roman"/>
                <w:snapToGrid w:val="0"/>
                <w:kern w:val="21"/>
                <w:szCs w:val="21"/>
              </w:rPr>
              <w:t>0.084</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r>
      <w:tr w14:paraId="744A9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vAlign w:val="center"/>
          </w:tcPr>
          <w:p w14:paraId="20D5100D">
            <w:pPr>
              <w:pStyle w:val="61"/>
              <w:spacing w:beforeLines="0" w:afterLines="0" w:line="240" w:lineRule="auto"/>
              <w:rPr>
                <w:rFonts w:hint="eastAsia" w:hAnsi="宋体" w:cs="宋体"/>
                <w:snapToGrid w:val="0"/>
                <w:kern w:val="21"/>
                <w:szCs w:val="21"/>
              </w:rPr>
            </w:pPr>
          </w:p>
        </w:tc>
        <w:tc>
          <w:tcPr>
            <w:tcW w:w="1555" w:type="dxa"/>
            <w:vAlign w:val="center"/>
          </w:tcPr>
          <w:p w14:paraId="28D58FC1">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BOD</w:t>
            </w:r>
            <w:r>
              <w:rPr>
                <w:rFonts w:hint="eastAsia" w:hAnsi="宋体" w:cs="宋体"/>
                <w:snapToGrid w:val="0"/>
                <w:kern w:val="21"/>
                <w:szCs w:val="21"/>
                <w:vertAlign w:val="subscript"/>
              </w:rPr>
              <w:t>5</w:t>
            </w:r>
          </w:p>
        </w:tc>
        <w:tc>
          <w:tcPr>
            <w:tcW w:w="1701" w:type="dxa"/>
            <w:vAlign w:val="center"/>
          </w:tcPr>
          <w:p w14:paraId="23F89F1B">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13FC86EF">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59D1342C">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49CB6269">
            <w:pPr>
              <w:pStyle w:val="61"/>
              <w:spacing w:beforeLines="0" w:afterLines="0" w:line="240" w:lineRule="auto"/>
              <w:rPr>
                <w:rFonts w:ascii="Times New Roman"/>
                <w:snapToGrid w:val="0"/>
                <w:kern w:val="21"/>
                <w:szCs w:val="21"/>
              </w:rPr>
            </w:pPr>
            <w:r>
              <w:rPr>
                <w:rFonts w:hint="eastAsia" w:ascii="Times New Roman"/>
                <w:snapToGrid w:val="0"/>
                <w:kern w:val="21"/>
                <w:szCs w:val="21"/>
              </w:rPr>
              <w:t>0.0462</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18" w:type="dxa"/>
            <w:vAlign w:val="center"/>
          </w:tcPr>
          <w:p w14:paraId="1A8B3B9A">
            <w:pPr>
              <w:pStyle w:val="61"/>
              <w:spacing w:beforeLines="0" w:afterLines="0" w:line="240" w:lineRule="auto"/>
              <w:rPr>
                <w:rFonts w:ascii="Times New Roman"/>
                <w:snapToGrid w:val="0"/>
                <w:kern w:val="21"/>
                <w:szCs w:val="21"/>
              </w:rPr>
            </w:pPr>
          </w:p>
        </w:tc>
        <w:tc>
          <w:tcPr>
            <w:tcW w:w="1701" w:type="dxa"/>
            <w:vAlign w:val="center"/>
          </w:tcPr>
          <w:p w14:paraId="6A7A342C">
            <w:pPr>
              <w:pStyle w:val="61"/>
              <w:spacing w:beforeLines="0" w:afterLines="0" w:line="240" w:lineRule="auto"/>
              <w:rPr>
                <w:rFonts w:ascii="Times New Roman"/>
                <w:snapToGrid w:val="0"/>
                <w:kern w:val="21"/>
                <w:szCs w:val="21"/>
              </w:rPr>
            </w:pPr>
            <w:r>
              <w:rPr>
                <w:rFonts w:hint="eastAsia" w:ascii="Times New Roman"/>
                <w:snapToGrid w:val="0"/>
                <w:kern w:val="21"/>
                <w:szCs w:val="21"/>
              </w:rPr>
              <w:t>0.0462</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27" w:type="dxa"/>
            <w:vAlign w:val="center"/>
          </w:tcPr>
          <w:p w14:paraId="6D3062C9">
            <w:pPr>
              <w:pStyle w:val="61"/>
              <w:spacing w:beforeLines="0" w:afterLines="0" w:line="240" w:lineRule="auto"/>
              <w:rPr>
                <w:rFonts w:hint="eastAsia" w:hAnsi="宋体" w:cs="宋体"/>
                <w:snapToGrid w:val="0"/>
                <w:kern w:val="21"/>
                <w:szCs w:val="21"/>
              </w:rPr>
            </w:pPr>
            <w:r>
              <w:rPr>
                <w:rFonts w:hint="eastAsia" w:ascii="Times New Roman"/>
                <w:snapToGrid w:val="0"/>
                <w:kern w:val="21"/>
                <w:szCs w:val="21"/>
              </w:rPr>
              <w:t>+0.0462</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r>
      <w:tr w14:paraId="02F3A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vAlign w:val="center"/>
          </w:tcPr>
          <w:p w14:paraId="150B6784">
            <w:pPr>
              <w:pStyle w:val="61"/>
              <w:spacing w:beforeLines="0" w:afterLines="0" w:line="240" w:lineRule="auto"/>
              <w:rPr>
                <w:rFonts w:hint="eastAsia" w:hAnsi="宋体" w:cs="宋体"/>
                <w:snapToGrid w:val="0"/>
                <w:kern w:val="21"/>
                <w:szCs w:val="21"/>
              </w:rPr>
            </w:pPr>
          </w:p>
        </w:tc>
        <w:tc>
          <w:tcPr>
            <w:tcW w:w="1555" w:type="dxa"/>
            <w:vAlign w:val="center"/>
          </w:tcPr>
          <w:p w14:paraId="718EE766">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SS</w:t>
            </w:r>
          </w:p>
        </w:tc>
        <w:tc>
          <w:tcPr>
            <w:tcW w:w="1701" w:type="dxa"/>
            <w:vAlign w:val="center"/>
          </w:tcPr>
          <w:p w14:paraId="125039F4">
            <w:pPr>
              <w:pStyle w:val="61"/>
              <w:spacing w:beforeLines="0" w:afterLines="0" w:line="240" w:lineRule="auto"/>
              <w:rPr>
                <w:rFonts w:hint="eastAsia" w:hAnsi="宋体" w:cs="宋体"/>
                <w:snapToGrid w:val="0"/>
                <w:kern w:val="21"/>
                <w:szCs w:val="21"/>
              </w:rPr>
            </w:pPr>
          </w:p>
        </w:tc>
        <w:tc>
          <w:tcPr>
            <w:tcW w:w="1276" w:type="dxa"/>
            <w:vAlign w:val="center"/>
          </w:tcPr>
          <w:p w14:paraId="2ACC0FE5">
            <w:pPr>
              <w:pStyle w:val="61"/>
              <w:spacing w:beforeLines="0" w:afterLines="0" w:line="240" w:lineRule="auto"/>
              <w:rPr>
                <w:rFonts w:hint="eastAsia" w:hAnsi="宋体" w:cs="宋体"/>
                <w:snapToGrid w:val="0"/>
                <w:kern w:val="21"/>
                <w:szCs w:val="21"/>
              </w:rPr>
            </w:pPr>
          </w:p>
        </w:tc>
        <w:tc>
          <w:tcPr>
            <w:tcW w:w="1701" w:type="dxa"/>
            <w:vAlign w:val="center"/>
          </w:tcPr>
          <w:p w14:paraId="718A9E41">
            <w:pPr>
              <w:pStyle w:val="61"/>
              <w:spacing w:beforeLines="0" w:afterLines="0" w:line="240" w:lineRule="auto"/>
              <w:rPr>
                <w:rFonts w:ascii="Times New Roman"/>
                <w:snapToGrid w:val="0"/>
                <w:kern w:val="21"/>
                <w:szCs w:val="21"/>
              </w:rPr>
            </w:pPr>
          </w:p>
        </w:tc>
        <w:tc>
          <w:tcPr>
            <w:tcW w:w="1559" w:type="dxa"/>
            <w:vAlign w:val="center"/>
          </w:tcPr>
          <w:p w14:paraId="6DE60A30">
            <w:pPr>
              <w:pStyle w:val="61"/>
              <w:spacing w:beforeLines="0" w:afterLines="0" w:line="240" w:lineRule="auto"/>
              <w:rPr>
                <w:rFonts w:ascii="Times New Roman"/>
                <w:snapToGrid w:val="0"/>
                <w:kern w:val="21"/>
                <w:szCs w:val="21"/>
              </w:rPr>
            </w:pPr>
            <w:r>
              <w:rPr>
                <w:rFonts w:hint="eastAsia" w:ascii="Times New Roman"/>
                <w:snapToGrid w:val="0"/>
                <w:kern w:val="21"/>
                <w:szCs w:val="21"/>
              </w:rPr>
              <w:t>0.043</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18" w:type="dxa"/>
            <w:vAlign w:val="center"/>
          </w:tcPr>
          <w:p w14:paraId="2D21C6E7">
            <w:pPr>
              <w:pStyle w:val="61"/>
              <w:spacing w:beforeLines="0" w:afterLines="0" w:line="240" w:lineRule="auto"/>
              <w:rPr>
                <w:rFonts w:ascii="Times New Roman"/>
                <w:snapToGrid w:val="0"/>
                <w:kern w:val="21"/>
                <w:szCs w:val="21"/>
              </w:rPr>
            </w:pPr>
          </w:p>
        </w:tc>
        <w:tc>
          <w:tcPr>
            <w:tcW w:w="1701" w:type="dxa"/>
            <w:vAlign w:val="center"/>
          </w:tcPr>
          <w:p w14:paraId="03D86250">
            <w:pPr>
              <w:pStyle w:val="61"/>
              <w:spacing w:beforeLines="0" w:afterLines="0" w:line="240" w:lineRule="auto"/>
              <w:rPr>
                <w:rFonts w:ascii="Times New Roman"/>
                <w:snapToGrid w:val="0"/>
                <w:kern w:val="21"/>
                <w:szCs w:val="21"/>
              </w:rPr>
            </w:pPr>
            <w:r>
              <w:rPr>
                <w:rFonts w:hint="eastAsia" w:ascii="Times New Roman"/>
                <w:snapToGrid w:val="0"/>
                <w:kern w:val="21"/>
                <w:szCs w:val="21"/>
              </w:rPr>
              <w:t>0.043</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27" w:type="dxa"/>
            <w:vAlign w:val="center"/>
          </w:tcPr>
          <w:p w14:paraId="1F405B1A">
            <w:pPr>
              <w:pStyle w:val="61"/>
              <w:spacing w:beforeLines="0" w:afterLines="0" w:line="240" w:lineRule="auto"/>
              <w:rPr>
                <w:rFonts w:ascii="Times New Roman"/>
                <w:snapToGrid w:val="0"/>
                <w:kern w:val="21"/>
                <w:szCs w:val="21"/>
              </w:rPr>
            </w:pPr>
            <w:r>
              <w:rPr>
                <w:rFonts w:hint="eastAsia" w:ascii="Times New Roman"/>
                <w:snapToGrid w:val="0"/>
                <w:kern w:val="21"/>
                <w:szCs w:val="21"/>
              </w:rPr>
              <w:t>+0.043</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r>
      <w:tr w14:paraId="5EB36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vAlign w:val="center"/>
          </w:tcPr>
          <w:p w14:paraId="3EC3A9D5">
            <w:pPr>
              <w:pStyle w:val="61"/>
              <w:spacing w:beforeLines="0" w:afterLines="0" w:line="240" w:lineRule="auto"/>
              <w:rPr>
                <w:rFonts w:hint="eastAsia" w:hAnsi="宋体" w:cs="宋体"/>
                <w:snapToGrid w:val="0"/>
                <w:kern w:val="21"/>
                <w:szCs w:val="21"/>
              </w:rPr>
            </w:pPr>
          </w:p>
        </w:tc>
        <w:tc>
          <w:tcPr>
            <w:tcW w:w="1555" w:type="dxa"/>
            <w:vAlign w:val="center"/>
          </w:tcPr>
          <w:p w14:paraId="735717C8">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氨氮</w:t>
            </w:r>
          </w:p>
        </w:tc>
        <w:tc>
          <w:tcPr>
            <w:tcW w:w="1701" w:type="dxa"/>
            <w:vAlign w:val="center"/>
          </w:tcPr>
          <w:p w14:paraId="6F3857D4">
            <w:pPr>
              <w:pStyle w:val="61"/>
              <w:spacing w:beforeLines="0" w:afterLines="0" w:line="240" w:lineRule="auto"/>
              <w:rPr>
                <w:rFonts w:hint="eastAsia" w:hAnsi="宋体" w:cs="宋体"/>
                <w:snapToGrid w:val="0"/>
                <w:kern w:val="21"/>
                <w:szCs w:val="21"/>
              </w:rPr>
            </w:pPr>
          </w:p>
        </w:tc>
        <w:tc>
          <w:tcPr>
            <w:tcW w:w="1276" w:type="dxa"/>
            <w:vAlign w:val="center"/>
          </w:tcPr>
          <w:p w14:paraId="5F8E49BD">
            <w:pPr>
              <w:pStyle w:val="61"/>
              <w:spacing w:beforeLines="0" w:afterLines="0" w:line="240" w:lineRule="auto"/>
              <w:rPr>
                <w:rFonts w:hint="eastAsia" w:hAnsi="宋体" w:cs="宋体"/>
                <w:snapToGrid w:val="0"/>
                <w:kern w:val="21"/>
                <w:szCs w:val="21"/>
              </w:rPr>
            </w:pPr>
          </w:p>
        </w:tc>
        <w:tc>
          <w:tcPr>
            <w:tcW w:w="1701" w:type="dxa"/>
            <w:vAlign w:val="center"/>
          </w:tcPr>
          <w:p w14:paraId="70AFBCE3">
            <w:pPr>
              <w:pStyle w:val="61"/>
              <w:spacing w:beforeLines="0" w:afterLines="0" w:line="240" w:lineRule="auto"/>
              <w:rPr>
                <w:rFonts w:ascii="Times New Roman"/>
                <w:snapToGrid w:val="0"/>
                <w:kern w:val="21"/>
                <w:szCs w:val="21"/>
              </w:rPr>
            </w:pPr>
          </w:p>
        </w:tc>
        <w:tc>
          <w:tcPr>
            <w:tcW w:w="1559" w:type="dxa"/>
            <w:vAlign w:val="center"/>
          </w:tcPr>
          <w:p w14:paraId="20EE3984">
            <w:pPr>
              <w:pStyle w:val="61"/>
              <w:spacing w:beforeLines="0" w:afterLines="0" w:line="240" w:lineRule="auto"/>
              <w:rPr>
                <w:rFonts w:ascii="Times New Roman"/>
                <w:snapToGrid w:val="0"/>
                <w:kern w:val="21"/>
                <w:szCs w:val="21"/>
              </w:rPr>
            </w:pPr>
            <w:r>
              <w:rPr>
                <w:rFonts w:hint="eastAsia" w:ascii="Times New Roman"/>
                <w:snapToGrid w:val="0"/>
                <w:kern w:val="21"/>
                <w:szCs w:val="21"/>
              </w:rPr>
              <w:t>0.008</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18" w:type="dxa"/>
            <w:vAlign w:val="center"/>
          </w:tcPr>
          <w:p w14:paraId="6E2149E7">
            <w:pPr>
              <w:pStyle w:val="61"/>
              <w:spacing w:beforeLines="0" w:afterLines="0" w:line="240" w:lineRule="auto"/>
              <w:rPr>
                <w:rFonts w:ascii="Times New Roman"/>
                <w:snapToGrid w:val="0"/>
                <w:kern w:val="21"/>
                <w:szCs w:val="21"/>
              </w:rPr>
            </w:pPr>
          </w:p>
        </w:tc>
        <w:tc>
          <w:tcPr>
            <w:tcW w:w="1701" w:type="dxa"/>
            <w:vAlign w:val="center"/>
          </w:tcPr>
          <w:p w14:paraId="0E1D11AA">
            <w:pPr>
              <w:pStyle w:val="61"/>
              <w:spacing w:beforeLines="0" w:afterLines="0" w:line="240" w:lineRule="auto"/>
              <w:rPr>
                <w:rFonts w:ascii="Times New Roman"/>
                <w:snapToGrid w:val="0"/>
                <w:kern w:val="21"/>
                <w:szCs w:val="21"/>
              </w:rPr>
            </w:pPr>
            <w:r>
              <w:rPr>
                <w:rFonts w:hint="eastAsia" w:ascii="Times New Roman"/>
                <w:snapToGrid w:val="0"/>
                <w:kern w:val="21"/>
                <w:szCs w:val="21"/>
              </w:rPr>
              <w:t>0.008</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c>
          <w:tcPr>
            <w:tcW w:w="1427" w:type="dxa"/>
            <w:vAlign w:val="center"/>
          </w:tcPr>
          <w:p w14:paraId="0C3B6C38">
            <w:pPr>
              <w:pStyle w:val="61"/>
              <w:spacing w:beforeLines="0" w:afterLines="0" w:line="240" w:lineRule="auto"/>
              <w:rPr>
                <w:rFonts w:ascii="Times New Roman"/>
                <w:snapToGrid w:val="0"/>
                <w:kern w:val="21"/>
                <w:szCs w:val="21"/>
              </w:rPr>
            </w:pPr>
            <w:r>
              <w:rPr>
                <w:rFonts w:hint="eastAsia" w:ascii="Times New Roman"/>
                <w:snapToGrid w:val="0"/>
                <w:kern w:val="21"/>
                <w:szCs w:val="21"/>
              </w:rPr>
              <w:t>+0.008</w:t>
            </w:r>
            <w:r>
              <w:rPr>
                <w:rFonts w:ascii="Times New Roman"/>
                <w:snapToGrid w:val="0"/>
                <w:kern w:val="21"/>
                <w:szCs w:val="21"/>
              </w:rPr>
              <w:t>t</w:t>
            </w:r>
            <w:r>
              <w:rPr>
                <w:rFonts w:hint="eastAsia" w:ascii="Times New Roman"/>
                <w:snapToGrid w:val="0"/>
                <w:kern w:val="21"/>
                <w:szCs w:val="21"/>
              </w:rPr>
              <w:t>/</w:t>
            </w:r>
            <w:r>
              <w:rPr>
                <w:rFonts w:ascii="Times New Roman"/>
                <w:snapToGrid w:val="0"/>
                <w:kern w:val="21"/>
                <w:szCs w:val="21"/>
              </w:rPr>
              <w:t>a</w:t>
            </w:r>
          </w:p>
        </w:tc>
      </w:tr>
      <w:tr w14:paraId="24DD8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restart"/>
            <w:vAlign w:val="center"/>
          </w:tcPr>
          <w:p w14:paraId="69EFC60E">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一般工业</w:t>
            </w:r>
          </w:p>
          <w:p w14:paraId="21964327">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固体废物</w:t>
            </w:r>
          </w:p>
        </w:tc>
        <w:tc>
          <w:tcPr>
            <w:tcW w:w="1555" w:type="dxa"/>
            <w:vAlign w:val="center"/>
          </w:tcPr>
          <w:p w14:paraId="1C9AF71A">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生活垃圾</w:t>
            </w:r>
          </w:p>
        </w:tc>
        <w:tc>
          <w:tcPr>
            <w:tcW w:w="1701" w:type="dxa"/>
            <w:vAlign w:val="center"/>
          </w:tcPr>
          <w:p w14:paraId="00066250">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0FF63D94">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74A5182D">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7C9D73CB">
            <w:pPr>
              <w:pStyle w:val="61"/>
              <w:spacing w:beforeLines="0" w:afterLines="0" w:line="240" w:lineRule="auto"/>
              <w:rPr>
                <w:rFonts w:ascii="Times New Roman"/>
                <w:snapToGrid w:val="0"/>
                <w:kern w:val="21"/>
                <w:szCs w:val="21"/>
              </w:rPr>
            </w:pPr>
            <w:r>
              <w:rPr>
                <w:rFonts w:ascii="Times New Roman"/>
                <w:snapToGrid w:val="0"/>
                <w:kern w:val="21"/>
                <w:szCs w:val="21"/>
              </w:rPr>
              <w:t>2.64</w:t>
            </w:r>
            <w:r>
              <w:rPr>
                <w:rFonts w:ascii="Times New Roman"/>
                <w:szCs w:val="21"/>
              </w:rPr>
              <w:t>t/a</w:t>
            </w:r>
          </w:p>
        </w:tc>
        <w:tc>
          <w:tcPr>
            <w:tcW w:w="1418" w:type="dxa"/>
            <w:vAlign w:val="center"/>
          </w:tcPr>
          <w:p w14:paraId="3F702DB4">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4D962F14">
            <w:pPr>
              <w:pStyle w:val="61"/>
              <w:spacing w:beforeLines="0" w:afterLines="0" w:line="240" w:lineRule="auto"/>
              <w:rPr>
                <w:rFonts w:ascii="Times New Roman"/>
                <w:snapToGrid w:val="0"/>
                <w:kern w:val="21"/>
                <w:szCs w:val="21"/>
              </w:rPr>
            </w:pPr>
            <w:r>
              <w:rPr>
                <w:rFonts w:ascii="Times New Roman"/>
                <w:snapToGrid w:val="0"/>
                <w:kern w:val="21"/>
                <w:szCs w:val="21"/>
              </w:rPr>
              <w:t>2.64</w:t>
            </w:r>
            <w:r>
              <w:rPr>
                <w:rFonts w:ascii="Times New Roman"/>
                <w:szCs w:val="21"/>
              </w:rPr>
              <w:t>t/a</w:t>
            </w:r>
          </w:p>
        </w:tc>
        <w:tc>
          <w:tcPr>
            <w:tcW w:w="1427" w:type="dxa"/>
            <w:vAlign w:val="center"/>
          </w:tcPr>
          <w:p w14:paraId="1598E032">
            <w:pPr>
              <w:pStyle w:val="61"/>
              <w:spacing w:beforeLines="0" w:afterLines="0" w:line="240" w:lineRule="auto"/>
              <w:rPr>
                <w:rFonts w:hint="eastAsia" w:hAnsi="宋体" w:cs="宋体"/>
                <w:snapToGrid w:val="0"/>
                <w:kern w:val="21"/>
                <w:szCs w:val="21"/>
              </w:rPr>
            </w:pPr>
            <w:r>
              <w:rPr>
                <w:rFonts w:ascii="Times New Roman"/>
                <w:snapToGrid w:val="0"/>
                <w:kern w:val="21"/>
                <w:szCs w:val="21"/>
              </w:rPr>
              <w:t>+2.64</w:t>
            </w:r>
            <w:r>
              <w:rPr>
                <w:rFonts w:ascii="Times New Roman"/>
                <w:szCs w:val="21"/>
              </w:rPr>
              <w:t>t/a</w:t>
            </w:r>
          </w:p>
        </w:tc>
      </w:tr>
      <w:tr w14:paraId="28820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vAlign w:val="center"/>
          </w:tcPr>
          <w:p w14:paraId="629F1875">
            <w:pPr>
              <w:pStyle w:val="61"/>
              <w:spacing w:beforeLines="0" w:afterLines="0" w:line="240" w:lineRule="auto"/>
              <w:rPr>
                <w:rFonts w:hint="eastAsia" w:hAnsi="宋体" w:cs="宋体"/>
                <w:snapToGrid w:val="0"/>
                <w:kern w:val="21"/>
                <w:szCs w:val="21"/>
              </w:rPr>
            </w:pPr>
          </w:p>
        </w:tc>
        <w:tc>
          <w:tcPr>
            <w:tcW w:w="1555" w:type="dxa"/>
            <w:vAlign w:val="center"/>
          </w:tcPr>
          <w:p w14:paraId="0C7A1FE4">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废矸石</w:t>
            </w:r>
          </w:p>
        </w:tc>
        <w:tc>
          <w:tcPr>
            <w:tcW w:w="1701" w:type="dxa"/>
            <w:vAlign w:val="center"/>
          </w:tcPr>
          <w:p w14:paraId="44262A12">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0728CFE1">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43BBAE53">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121B79DA">
            <w:pPr>
              <w:pStyle w:val="61"/>
              <w:spacing w:beforeLines="0" w:afterLines="0" w:line="240" w:lineRule="auto"/>
              <w:rPr>
                <w:rFonts w:ascii="Times New Roman"/>
                <w:snapToGrid w:val="0"/>
                <w:kern w:val="21"/>
                <w:szCs w:val="21"/>
              </w:rPr>
            </w:pPr>
            <w:r>
              <w:rPr>
                <w:rFonts w:hint="eastAsia" w:ascii="Times New Roman"/>
                <w:szCs w:val="21"/>
              </w:rPr>
              <w:t>10kg</w:t>
            </w:r>
            <w:r>
              <w:rPr>
                <w:rFonts w:ascii="Times New Roman"/>
                <w:szCs w:val="21"/>
              </w:rPr>
              <w:t>/a</w:t>
            </w:r>
          </w:p>
        </w:tc>
        <w:tc>
          <w:tcPr>
            <w:tcW w:w="1418" w:type="dxa"/>
            <w:vAlign w:val="center"/>
          </w:tcPr>
          <w:p w14:paraId="431E4F8D">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7CDEA644">
            <w:pPr>
              <w:pStyle w:val="61"/>
              <w:spacing w:beforeLines="0" w:afterLines="0" w:line="240" w:lineRule="auto"/>
              <w:rPr>
                <w:rFonts w:ascii="Times New Roman"/>
                <w:snapToGrid w:val="0"/>
                <w:kern w:val="21"/>
                <w:szCs w:val="21"/>
              </w:rPr>
            </w:pPr>
            <w:r>
              <w:rPr>
                <w:rFonts w:hint="eastAsia" w:ascii="Times New Roman"/>
                <w:szCs w:val="21"/>
              </w:rPr>
              <w:t>1</w:t>
            </w:r>
            <w:r>
              <w:rPr>
                <w:rFonts w:ascii="Times New Roman"/>
                <w:szCs w:val="21"/>
              </w:rPr>
              <w:t>0</w:t>
            </w:r>
            <w:r>
              <w:rPr>
                <w:rFonts w:hint="eastAsia" w:ascii="Times New Roman"/>
                <w:szCs w:val="21"/>
              </w:rPr>
              <w:t>kg</w:t>
            </w:r>
            <w:r>
              <w:rPr>
                <w:rFonts w:ascii="Times New Roman"/>
                <w:szCs w:val="21"/>
              </w:rPr>
              <w:t>/a</w:t>
            </w:r>
          </w:p>
        </w:tc>
        <w:tc>
          <w:tcPr>
            <w:tcW w:w="1427" w:type="dxa"/>
            <w:vAlign w:val="center"/>
          </w:tcPr>
          <w:p w14:paraId="049D7AF0">
            <w:pPr>
              <w:pStyle w:val="61"/>
              <w:spacing w:beforeLines="0" w:afterLines="0" w:line="240" w:lineRule="auto"/>
              <w:rPr>
                <w:rFonts w:hint="eastAsia" w:hAnsi="宋体" w:cs="宋体"/>
                <w:snapToGrid w:val="0"/>
                <w:kern w:val="21"/>
                <w:szCs w:val="21"/>
              </w:rPr>
            </w:pPr>
            <w:r>
              <w:rPr>
                <w:rFonts w:ascii="Times New Roman"/>
                <w:snapToGrid w:val="0"/>
                <w:kern w:val="21"/>
                <w:szCs w:val="21"/>
              </w:rPr>
              <w:t>+</w:t>
            </w:r>
            <w:r>
              <w:rPr>
                <w:rFonts w:hint="eastAsia" w:ascii="Times New Roman"/>
                <w:szCs w:val="21"/>
              </w:rPr>
              <w:t>1</w:t>
            </w:r>
            <w:r>
              <w:rPr>
                <w:rFonts w:ascii="Times New Roman"/>
                <w:szCs w:val="21"/>
              </w:rPr>
              <w:t>0</w:t>
            </w:r>
            <w:r>
              <w:rPr>
                <w:rFonts w:hint="eastAsia" w:ascii="Times New Roman"/>
                <w:szCs w:val="21"/>
              </w:rPr>
              <w:t>kg</w:t>
            </w:r>
            <w:r>
              <w:rPr>
                <w:rFonts w:ascii="Times New Roman"/>
                <w:szCs w:val="21"/>
              </w:rPr>
              <w:t>/a</w:t>
            </w:r>
          </w:p>
        </w:tc>
      </w:tr>
      <w:tr w14:paraId="32A0D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vAlign w:val="center"/>
          </w:tcPr>
          <w:p w14:paraId="3BE72387">
            <w:pPr>
              <w:pStyle w:val="61"/>
              <w:spacing w:beforeLines="0" w:afterLines="0" w:line="240" w:lineRule="auto"/>
              <w:rPr>
                <w:rFonts w:hint="eastAsia" w:hAnsi="宋体" w:cs="宋体"/>
                <w:snapToGrid w:val="0"/>
                <w:kern w:val="21"/>
                <w:szCs w:val="21"/>
              </w:rPr>
            </w:pPr>
          </w:p>
        </w:tc>
        <w:tc>
          <w:tcPr>
            <w:tcW w:w="1555" w:type="dxa"/>
            <w:vAlign w:val="center"/>
          </w:tcPr>
          <w:p w14:paraId="2D4AB5C8">
            <w:pPr>
              <w:pStyle w:val="61"/>
              <w:spacing w:beforeLines="0" w:afterLines="0" w:line="240" w:lineRule="auto"/>
              <w:rPr>
                <w:rFonts w:hint="eastAsia" w:hAnsi="宋体" w:cs="宋体"/>
                <w:snapToGrid w:val="0"/>
                <w:kern w:val="21"/>
                <w:szCs w:val="21"/>
              </w:rPr>
            </w:pPr>
            <w:r>
              <w:rPr>
                <w:rFonts w:hint="eastAsia"/>
                <w:bCs/>
                <w:szCs w:val="21"/>
              </w:rPr>
              <w:t>废金属制品</w:t>
            </w:r>
          </w:p>
        </w:tc>
        <w:tc>
          <w:tcPr>
            <w:tcW w:w="1701" w:type="dxa"/>
            <w:vAlign w:val="center"/>
          </w:tcPr>
          <w:p w14:paraId="262C74ED">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128E7594">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7E415B32">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2C54825A">
            <w:pPr>
              <w:pStyle w:val="61"/>
              <w:spacing w:beforeLines="0" w:afterLines="0" w:line="240" w:lineRule="auto"/>
              <w:rPr>
                <w:rFonts w:ascii="Times New Roman"/>
                <w:szCs w:val="21"/>
              </w:rPr>
            </w:pPr>
            <w:r>
              <w:rPr>
                <w:rFonts w:hint="eastAsia" w:ascii="Times New Roman"/>
                <w:szCs w:val="21"/>
              </w:rPr>
              <w:t>4</w:t>
            </w:r>
            <w:r>
              <w:rPr>
                <w:rFonts w:ascii="Times New Roman"/>
                <w:szCs w:val="21"/>
              </w:rPr>
              <w:t>00kg/a</w:t>
            </w:r>
          </w:p>
        </w:tc>
        <w:tc>
          <w:tcPr>
            <w:tcW w:w="1418" w:type="dxa"/>
            <w:vAlign w:val="center"/>
          </w:tcPr>
          <w:p w14:paraId="411993D5">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0D4923C1">
            <w:pPr>
              <w:pStyle w:val="61"/>
              <w:spacing w:beforeLines="0" w:afterLines="0" w:line="240" w:lineRule="auto"/>
              <w:rPr>
                <w:rFonts w:ascii="Times New Roman"/>
                <w:szCs w:val="21"/>
              </w:rPr>
            </w:pPr>
            <w:r>
              <w:rPr>
                <w:rFonts w:ascii="Times New Roman"/>
                <w:szCs w:val="21"/>
              </w:rPr>
              <w:t>00kg/a</w:t>
            </w:r>
          </w:p>
        </w:tc>
        <w:tc>
          <w:tcPr>
            <w:tcW w:w="1427" w:type="dxa"/>
            <w:vAlign w:val="center"/>
          </w:tcPr>
          <w:p w14:paraId="49ED60A1">
            <w:pPr>
              <w:pStyle w:val="61"/>
              <w:spacing w:beforeLines="0" w:afterLines="0" w:line="240" w:lineRule="auto"/>
              <w:rPr>
                <w:rFonts w:ascii="Times New Roman"/>
                <w:szCs w:val="21"/>
              </w:rPr>
            </w:pPr>
            <w:r>
              <w:rPr>
                <w:rFonts w:ascii="Times New Roman"/>
                <w:szCs w:val="21"/>
              </w:rPr>
              <w:t>+00kg/a</w:t>
            </w:r>
          </w:p>
        </w:tc>
      </w:tr>
      <w:tr w14:paraId="65715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450" w:type="dxa"/>
            <w:vMerge w:val="continue"/>
            <w:vAlign w:val="center"/>
          </w:tcPr>
          <w:p w14:paraId="045BCA81">
            <w:pPr>
              <w:pStyle w:val="61"/>
              <w:spacing w:beforeLines="0" w:afterLines="0" w:line="240" w:lineRule="auto"/>
              <w:rPr>
                <w:rFonts w:hint="eastAsia" w:hAnsi="宋体" w:cs="宋体"/>
                <w:snapToGrid w:val="0"/>
                <w:kern w:val="21"/>
                <w:szCs w:val="21"/>
              </w:rPr>
            </w:pPr>
          </w:p>
        </w:tc>
        <w:tc>
          <w:tcPr>
            <w:tcW w:w="1555" w:type="dxa"/>
            <w:vAlign w:val="center"/>
          </w:tcPr>
          <w:p w14:paraId="50746FF5">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废混凝土</w:t>
            </w:r>
          </w:p>
        </w:tc>
        <w:tc>
          <w:tcPr>
            <w:tcW w:w="1701" w:type="dxa"/>
            <w:vAlign w:val="center"/>
          </w:tcPr>
          <w:p w14:paraId="1DF7F395">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4C484BFB">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0C97C683">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35A73967">
            <w:pPr>
              <w:pStyle w:val="61"/>
              <w:spacing w:beforeLines="0" w:afterLines="0" w:line="240" w:lineRule="auto"/>
              <w:rPr>
                <w:rFonts w:ascii="Times New Roman"/>
                <w:snapToGrid w:val="0"/>
                <w:kern w:val="21"/>
                <w:szCs w:val="21"/>
              </w:rPr>
            </w:pPr>
            <w:r>
              <w:rPr>
                <w:rFonts w:ascii="Times New Roman"/>
                <w:szCs w:val="21"/>
              </w:rPr>
              <w:t>450kg/a</w:t>
            </w:r>
          </w:p>
        </w:tc>
        <w:tc>
          <w:tcPr>
            <w:tcW w:w="1418" w:type="dxa"/>
            <w:vAlign w:val="center"/>
          </w:tcPr>
          <w:p w14:paraId="6B51E587">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3FDF6654">
            <w:pPr>
              <w:pStyle w:val="61"/>
              <w:spacing w:beforeLines="0" w:afterLines="0" w:line="240" w:lineRule="auto"/>
              <w:rPr>
                <w:rFonts w:ascii="Times New Roman"/>
                <w:szCs w:val="21"/>
              </w:rPr>
            </w:pPr>
            <w:r>
              <w:rPr>
                <w:rFonts w:ascii="Times New Roman"/>
                <w:szCs w:val="21"/>
              </w:rPr>
              <w:t>450kg/a</w:t>
            </w:r>
          </w:p>
        </w:tc>
        <w:tc>
          <w:tcPr>
            <w:tcW w:w="1427" w:type="dxa"/>
            <w:vAlign w:val="center"/>
          </w:tcPr>
          <w:p w14:paraId="786568C6">
            <w:pPr>
              <w:pStyle w:val="61"/>
              <w:spacing w:beforeLines="0" w:afterLines="0" w:line="240" w:lineRule="auto"/>
              <w:rPr>
                <w:rFonts w:ascii="Times New Roman"/>
                <w:szCs w:val="21"/>
              </w:rPr>
            </w:pPr>
            <w:r>
              <w:rPr>
                <w:rFonts w:hint="eastAsia" w:ascii="Times New Roman"/>
                <w:szCs w:val="21"/>
              </w:rPr>
              <w:t>+</w:t>
            </w:r>
            <w:r>
              <w:rPr>
                <w:rFonts w:ascii="Times New Roman"/>
                <w:szCs w:val="21"/>
              </w:rPr>
              <w:t>450kg/a</w:t>
            </w:r>
          </w:p>
        </w:tc>
      </w:tr>
      <w:tr w14:paraId="1EAF5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50" w:type="dxa"/>
            <w:vMerge w:val="continue"/>
            <w:vAlign w:val="center"/>
          </w:tcPr>
          <w:p w14:paraId="5929BE45">
            <w:pPr>
              <w:pStyle w:val="61"/>
              <w:spacing w:beforeLines="0" w:afterLines="0" w:line="240" w:lineRule="auto"/>
              <w:rPr>
                <w:rFonts w:hint="eastAsia" w:hAnsi="宋体" w:cs="宋体"/>
                <w:snapToGrid w:val="0"/>
                <w:kern w:val="21"/>
                <w:szCs w:val="21"/>
              </w:rPr>
            </w:pPr>
          </w:p>
        </w:tc>
        <w:tc>
          <w:tcPr>
            <w:tcW w:w="1555" w:type="dxa"/>
            <w:vAlign w:val="center"/>
          </w:tcPr>
          <w:p w14:paraId="31754930">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废岩石</w:t>
            </w:r>
          </w:p>
        </w:tc>
        <w:tc>
          <w:tcPr>
            <w:tcW w:w="1701" w:type="dxa"/>
            <w:vAlign w:val="center"/>
          </w:tcPr>
          <w:p w14:paraId="7B859465">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4E9ADE5A">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2650FFAF">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0C6DA003">
            <w:pPr>
              <w:pStyle w:val="61"/>
              <w:spacing w:beforeLines="0" w:afterLines="0" w:line="240" w:lineRule="auto"/>
              <w:rPr>
                <w:rFonts w:ascii="Times New Roman"/>
                <w:snapToGrid w:val="0"/>
                <w:kern w:val="21"/>
                <w:szCs w:val="21"/>
              </w:rPr>
            </w:pPr>
            <w:r>
              <w:rPr>
                <w:rFonts w:ascii="Times New Roman"/>
                <w:szCs w:val="21"/>
              </w:rPr>
              <w:t>350kg/a</w:t>
            </w:r>
          </w:p>
        </w:tc>
        <w:tc>
          <w:tcPr>
            <w:tcW w:w="1418" w:type="dxa"/>
            <w:vAlign w:val="center"/>
          </w:tcPr>
          <w:p w14:paraId="64A058D9">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767D5ACA">
            <w:pPr>
              <w:pStyle w:val="61"/>
              <w:spacing w:beforeLines="0" w:afterLines="0" w:line="240" w:lineRule="auto"/>
              <w:rPr>
                <w:rFonts w:ascii="Times New Roman"/>
                <w:szCs w:val="21"/>
              </w:rPr>
            </w:pPr>
            <w:r>
              <w:rPr>
                <w:rFonts w:ascii="Times New Roman"/>
                <w:szCs w:val="21"/>
              </w:rPr>
              <w:t>350kg/a</w:t>
            </w:r>
          </w:p>
        </w:tc>
        <w:tc>
          <w:tcPr>
            <w:tcW w:w="1427" w:type="dxa"/>
            <w:vAlign w:val="center"/>
          </w:tcPr>
          <w:p w14:paraId="4210EF0B">
            <w:pPr>
              <w:pStyle w:val="61"/>
              <w:spacing w:beforeLines="0" w:afterLines="0" w:line="240" w:lineRule="auto"/>
              <w:rPr>
                <w:rFonts w:ascii="Times New Roman"/>
                <w:szCs w:val="21"/>
              </w:rPr>
            </w:pPr>
            <w:r>
              <w:rPr>
                <w:rFonts w:hint="eastAsia" w:ascii="Times New Roman"/>
                <w:szCs w:val="21"/>
              </w:rPr>
              <w:t>+</w:t>
            </w:r>
            <w:r>
              <w:rPr>
                <w:rFonts w:ascii="Times New Roman"/>
                <w:szCs w:val="21"/>
              </w:rPr>
              <w:t>350kg/a</w:t>
            </w:r>
          </w:p>
        </w:tc>
      </w:tr>
      <w:tr w14:paraId="4353E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50" w:type="dxa"/>
            <w:vMerge w:val="restart"/>
            <w:vAlign w:val="center"/>
          </w:tcPr>
          <w:p w14:paraId="4B787377">
            <w:pPr>
              <w:pStyle w:val="61"/>
              <w:spacing w:before="24" w:after="24" w:line="240" w:lineRule="auto"/>
              <w:rPr>
                <w:rFonts w:hint="eastAsia" w:hAnsi="宋体" w:cs="宋体"/>
                <w:snapToGrid w:val="0"/>
                <w:kern w:val="21"/>
                <w:szCs w:val="21"/>
              </w:rPr>
            </w:pPr>
            <w:r>
              <w:rPr>
                <w:rFonts w:hint="eastAsia" w:hAnsi="宋体" w:cs="宋体"/>
                <w:snapToGrid w:val="0"/>
                <w:kern w:val="21"/>
                <w:szCs w:val="21"/>
              </w:rPr>
              <w:t>危险废物</w:t>
            </w:r>
          </w:p>
        </w:tc>
        <w:tc>
          <w:tcPr>
            <w:tcW w:w="1555" w:type="dxa"/>
            <w:vAlign w:val="center"/>
          </w:tcPr>
          <w:p w14:paraId="66F26D9A">
            <w:pPr>
              <w:pStyle w:val="61"/>
              <w:spacing w:beforeLines="0" w:afterLines="0" w:line="240" w:lineRule="auto"/>
              <w:rPr>
                <w:rFonts w:ascii="Times New Roman"/>
                <w:szCs w:val="21"/>
              </w:rPr>
            </w:pPr>
            <w:r>
              <w:rPr>
                <w:rFonts w:hint="eastAsia" w:ascii="Times New Roman"/>
                <w:szCs w:val="21"/>
              </w:rPr>
              <w:t>废有机胺溶液</w:t>
            </w:r>
          </w:p>
        </w:tc>
        <w:tc>
          <w:tcPr>
            <w:tcW w:w="1701" w:type="dxa"/>
            <w:vAlign w:val="center"/>
          </w:tcPr>
          <w:p w14:paraId="7D6390D2">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76" w:type="dxa"/>
            <w:vAlign w:val="center"/>
          </w:tcPr>
          <w:p w14:paraId="6FB7CD5C">
            <w:pPr>
              <w:pStyle w:val="6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1" w:type="dxa"/>
            <w:vAlign w:val="center"/>
          </w:tcPr>
          <w:p w14:paraId="794E3309">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4808E0C5">
            <w:pPr>
              <w:pStyle w:val="61"/>
              <w:spacing w:beforeLines="0" w:afterLines="0" w:line="240" w:lineRule="auto"/>
              <w:rPr>
                <w:rFonts w:ascii="Times New Roman"/>
                <w:szCs w:val="21"/>
              </w:rPr>
            </w:pPr>
            <w:r>
              <w:rPr>
                <w:rFonts w:hint="eastAsia" w:ascii="Times New Roman"/>
                <w:szCs w:val="21"/>
              </w:rPr>
              <w:t>0.5kg/a</w:t>
            </w:r>
          </w:p>
        </w:tc>
        <w:tc>
          <w:tcPr>
            <w:tcW w:w="1418" w:type="dxa"/>
            <w:vAlign w:val="center"/>
          </w:tcPr>
          <w:p w14:paraId="17A3D330">
            <w:pPr>
              <w:pStyle w:val="61"/>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02E9A851">
            <w:pPr>
              <w:pStyle w:val="61"/>
              <w:spacing w:beforeLines="0" w:afterLines="0" w:line="240" w:lineRule="auto"/>
              <w:rPr>
                <w:rFonts w:ascii="Times New Roman"/>
                <w:szCs w:val="21"/>
              </w:rPr>
            </w:pPr>
            <w:r>
              <w:rPr>
                <w:rFonts w:hint="eastAsia" w:ascii="Times New Roman"/>
                <w:szCs w:val="21"/>
              </w:rPr>
              <w:t>0.5kg/a</w:t>
            </w:r>
          </w:p>
        </w:tc>
        <w:tc>
          <w:tcPr>
            <w:tcW w:w="1427" w:type="dxa"/>
            <w:vAlign w:val="center"/>
          </w:tcPr>
          <w:p w14:paraId="58EAD0AA">
            <w:pPr>
              <w:pStyle w:val="61"/>
              <w:spacing w:beforeLines="0" w:afterLines="0" w:line="240" w:lineRule="auto"/>
              <w:rPr>
                <w:rFonts w:hint="eastAsia" w:hAnsi="宋体" w:cs="宋体"/>
                <w:snapToGrid w:val="0"/>
                <w:kern w:val="21"/>
                <w:szCs w:val="21"/>
              </w:rPr>
            </w:pPr>
            <w:r>
              <w:rPr>
                <w:rFonts w:ascii="Times New Roman"/>
                <w:szCs w:val="21"/>
              </w:rPr>
              <w:t>+</w:t>
            </w:r>
            <w:r>
              <w:rPr>
                <w:rFonts w:hint="eastAsia" w:ascii="Times New Roman"/>
                <w:szCs w:val="21"/>
              </w:rPr>
              <w:t>0.5kg/a</w:t>
            </w:r>
          </w:p>
        </w:tc>
      </w:tr>
      <w:tr w14:paraId="3BEA8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50" w:type="dxa"/>
            <w:vMerge w:val="continue"/>
            <w:vAlign w:val="center"/>
          </w:tcPr>
          <w:p w14:paraId="1AA57C23">
            <w:pPr>
              <w:pStyle w:val="61"/>
              <w:spacing w:beforeLines="0" w:afterLines="0" w:line="240" w:lineRule="auto"/>
              <w:rPr>
                <w:rFonts w:hint="eastAsia" w:hAnsi="宋体" w:cs="宋体"/>
                <w:snapToGrid w:val="0"/>
                <w:kern w:val="21"/>
                <w:szCs w:val="21"/>
              </w:rPr>
            </w:pPr>
          </w:p>
        </w:tc>
        <w:tc>
          <w:tcPr>
            <w:tcW w:w="1555" w:type="dxa"/>
            <w:vAlign w:val="center"/>
          </w:tcPr>
          <w:p w14:paraId="5997F965">
            <w:pPr>
              <w:pStyle w:val="61"/>
              <w:spacing w:beforeLines="0" w:afterLines="0" w:line="240" w:lineRule="auto"/>
              <w:rPr>
                <w:rFonts w:ascii="Times New Roman"/>
                <w:snapToGrid w:val="0"/>
                <w:kern w:val="21"/>
                <w:szCs w:val="21"/>
              </w:rPr>
            </w:pPr>
            <w:r>
              <w:rPr>
                <w:rFonts w:hint="eastAsia" w:ascii="Times New Roman"/>
                <w:snapToGrid w:val="0"/>
                <w:kern w:val="21"/>
                <w:szCs w:val="21"/>
              </w:rPr>
              <w:t>实验废液</w:t>
            </w:r>
          </w:p>
        </w:tc>
        <w:tc>
          <w:tcPr>
            <w:tcW w:w="1701" w:type="dxa"/>
            <w:vAlign w:val="center"/>
          </w:tcPr>
          <w:p w14:paraId="364777C0">
            <w:pPr>
              <w:pStyle w:val="61"/>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14:paraId="6EC9D557">
            <w:pPr>
              <w:pStyle w:val="61"/>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500A6D94">
            <w:pPr>
              <w:pStyle w:val="61"/>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14:paraId="3B1AB416">
            <w:pPr>
              <w:pStyle w:val="61"/>
              <w:spacing w:beforeLines="0" w:afterLines="0" w:line="240" w:lineRule="auto"/>
              <w:rPr>
                <w:rFonts w:ascii="Times New Roman"/>
                <w:szCs w:val="21"/>
              </w:rPr>
            </w:pPr>
            <w:r>
              <w:rPr>
                <w:rFonts w:hint="eastAsia" w:ascii="Times New Roman"/>
                <w:szCs w:val="21"/>
              </w:rPr>
              <w:t>0.6t</w:t>
            </w:r>
            <w:r>
              <w:rPr>
                <w:rFonts w:ascii="Times New Roman"/>
                <w:szCs w:val="21"/>
              </w:rPr>
              <w:t>/a</w:t>
            </w:r>
          </w:p>
        </w:tc>
        <w:tc>
          <w:tcPr>
            <w:tcW w:w="1418" w:type="dxa"/>
            <w:vAlign w:val="center"/>
          </w:tcPr>
          <w:p w14:paraId="0A7B8A5C">
            <w:pPr>
              <w:pStyle w:val="61"/>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14:paraId="4077A125">
            <w:pPr>
              <w:pStyle w:val="61"/>
              <w:spacing w:beforeLines="0" w:afterLines="0" w:line="240" w:lineRule="auto"/>
              <w:rPr>
                <w:rFonts w:ascii="Times New Roman"/>
                <w:szCs w:val="21"/>
              </w:rPr>
            </w:pPr>
            <w:r>
              <w:rPr>
                <w:rFonts w:hint="eastAsia" w:ascii="Times New Roman"/>
                <w:szCs w:val="21"/>
              </w:rPr>
              <w:t>0.6t</w:t>
            </w:r>
            <w:r>
              <w:rPr>
                <w:rFonts w:ascii="Times New Roman"/>
                <w:szCs w:val="21"/>
              </w:rPr>
              <w:t>/a</w:t>
            </w:r>
          </w:p>
        </w:tc>
        <w:tc>
          <w:tcPr>
            <w:tcW w:w="1427" w:type="dxa"/>
            <w:vAlign w:val="center"/>
          </w:tcPr>
          <w:p w14:paraId="486DEB59">
            <w:pPr>
              <w:pStyle w:val="61"/>
              <w:spacing w:beforeLines="0" w:afterLines="0" w:line="240" w:lineRule="auto"/>
              <w:rPr>
                <w:rFonts w:ascii="Times New Roman"/>
                <w:szCs w:val="21"/>
              </w:rPr>
            </w:pPr>
            <w:r>
              <w:rPr>
                <w:rFonts w:ascii="Times New Roman"/>
                <w:szCs w:val="21"/>
              </w:rPr>
              <w:t>+</w:t>
            </w:r>
            <w:r>
              <w:rPr>
                <w:rFonts w:hint="eastAsia" w:ascii="Times New Roman"/>
                <w:szCs w:val="21"/>
              </w:rPr>
              <w:t>0.6t</w:t>
            </w:r>
            <w:r>
              <w:rPr>
                <w:rFonts w:ascii="Times New Roman"/>
                <w:szCs w:val="21"/>
              </w:rPr>
              <w:t>/a</w:t>
            </w:r>
          </w:p>
        </w:tc>
      </w:tr>
    </w:tbl>
    <w:p w14:paraId="395D83C5">
      <w:pPr>
        <w:pStyle w:val="61"/>
        <w:spacing w:before="192" w:beforeLines="80" w:after="24"/>
        <w:jc w:val="left"/>
        <w:rPr>
          <w:rFonts w:hint="eastAsia" w:hAnsi="宋体"/>
          <w:snapToGrid w:val="0"/>
          <w:spacing w:val="-6"/>
          <w:kern w:val="21"/>
          <w:szCs w:val="21"/>
        </w:rPr>
        <w:sectPr>
          <w:footerReference r:id="rId7" w:type="default"/>
          <w:pgSz w:w="16838" w:h="11906" w:orient="landscape"/>
          <w:pgMar w:top="1701" w:right="1531" w:bottom="1701" w:left="1531" w:header="851" w:footer="851" w:gutter="0"/>
          <w:cols w:space="720" w:num="1"/>
          <w:docGrid w:linePitch="312" w:charSpace="0"/>
        </w:sect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25E6D664">
      <w:pPr>
        <w:pStyle w:val="77"/>
        <w:outlineLvl w:val="0"/>
        <w:rPr>
          <w:snapToGrid w:val="0"/>
          <w:sz w:val="28"/>
          <w:szCs w:val="28"/>
        </w:rPr>
      </w:pPr>
      <w:r>
        <w:rPr>
          <w:rFonts w:hint="eastAsia"/>
          <w:snapToGrid w:val="0"/>
          <w:sz w:val="28"/>
          <w:szCs w:val="28"/>
        </w:rPr>
        <w:t>附图1</w:t>
      </w:r>
      <w:r>
        <w:rPr>
          <w:snapToGrid w:val="0"/>
          <w:sz w:val="28"/>
          <w:szCs w:val="28"/>
        </w:rPr>
        <w:t xml:space="preserve"> </w:t>
      </w:r>
      <w:r>
        <w:rPr>
          <w:rFonts w:hint="eastAsia"/>
          <w:snapToGrid w:val="0"/>
          <w:sz w:val="28"/>
          <w:szCs w:val="28"/>
        </w:rPr>
        <w:t>鄂尔多斯市生态环境管控分区图</w:t>
      </w:r>
    </w:p>
    <w:p w14:paraId="7FF2CE0B">
      <w:pPr>
        <w:pStyle w:val="77"/>
        <w:jc w:val="center"/>
        <w:rPr>
          <w:snapToGrid w:val="0"/>
          <w:sz w:val="28"/>
          <w:szCs w:val="28"/>
        </w:rPr>
      </w:pPr>
      <w:r>
        <w:rPr>
          <w:snapToGrid w:val="0"/>
          <w:sz w:val="28"/>
          <w:szCs w:val="28"/>
        </w:rPr>
        <w:drawing>
          <wp:inline distT="0" distB="0" distL="0" distR="0">
            <wp:extent cx="6823710" cy="5527675"/>
            <wp:effectExtent l="0" t="0" r="0" b="0"/>
            <wp:docPr id="494559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59174"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843979" cy="5544477"/>
                    </a:xfrm>
                    <a:prstGeom prst="rect">
                      <a:avLst/>
                    </a:prstGeom>
                    <a:noFill/>
                    <a:ln>
                      <a:noFill/>
                    </a:ln>
                  </pic:spPr>
                </pic:pic>
              </a:graphicData>
            </a:graphic>
          </wp:inline>
        </w:drawing>
      </w:r>
    </w:p>
    <w:p w14:paraId="1DFBD7F7">
      <w:pPr>
        <w:pStyle w:val="77"/>
        <w:outlineLvl w:val="0"/>
        <w:rPr>
          <w:snapToGrid w:val="0"/>
          <w:sz w:val="28"/>
          <w:szCs w:val="28"/>
        </w:rPr>
      </w:pPr>
      <w:r>
        <w:rPr>
          <w:rFonts w:hint="eastAsia"/>
          <w:snapToGrid w:val="0"/>
          <w:sz w:val="28"/>
          <w:szCs w:val="28"/>
        </w:rPr>
        <w:t>附图2 地理位置图</w:t>
      </w:r>
    </w:p>
    <w:p w14:paraId="080A2B32">
      <w:pPr>
        <w:pStyle w:val="77"/>
        <w:jc w:val="center"/>
        <w:rPr>
          <w:snapToGrid w:val="0"/>
          <w:sz w:val="28"/>
          <w:szCs w:val="28"/>
        </w:rPr>
        <w:sectPr>
          <w:footerReference r:id="rId8" w:type="default"/>
          <w:pgSz w:w="16838" w:h="11906" w:orient="landscape"/>
          <w:pgMar w:top="720" w:right="720" w:bottom="720" w:left="720" w:header="851" w:footer="851" w:gutter="0"/>
          <w:cols w:space="720" w:num="1"/>
          <w:docGrid w:linePitch="312" w:charSpace="0"/>
        </w:sectPr>
      </w:pPr>
      <w:r>
        <w:rPr>
          <w:snapToGrid w:val="0"/>
          <w:sz w:val="28"/>
          <w:szCs w:val="28"/>
        </w:rPr>
        <w:drawing>
          <wp:inline distT="0" distB="0" distL="0" distR="0">
            <wp:extent cx="7854315" cy="5557520"/>
            <wp:effectExtent l="0" t="0" r="0" b="5080"/>
            <wp:docPr id="1505930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30648"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882766" cy="5577580"/>
                    </a:xfrm>
                    <a:prstGeom prst="rect">
                      <a:avLst/>
                    </a:prstGeom>
                    <a:noFill/>
                  </pic:spPr>
                </pic:pic>
              </a:graphicData>
            </a:graphic>
          </wp:inline>
        </w:drawing>
      </w:r>
    </w:p>
    <w:p w14:paraId="0DB42D29">
      <w:pPr>
        <w:pStyle w:val="77"/>
        <w:outlineLvl w:val="0"/>
        <w:rPr>
          <w:sz w:val="28"/>
          <w:szCs w:val="28"/>
        </w:rPr>
      </w:pPr>
      <w:r>
        <w:rPr>
          <w:rFonts w:hint="eastAsia"/>
          <w:sz w:val="28"/>
          <w:szCs w:val="28"/>
        </w:rPr>
        <w:t>附图</w:t>
      </w:r>
      <w:r>
        <w:rPr>
          <w:sz w:val="28"/>
          <w:szCs w:val="28"/>
        </w:rPr>
        <w:t xml:space="preserve">3 </w:t>
      </w:r>
      <w:r>
        <w:rPr>
          <w:rFonts w:hint="eastAsia"/>
          <w:sz w:val="28"/>
          <w:szCs w:val="28"/>
        </w:rPr>
        <w:t>厂区平面布置图</w:t>
      </w:r>
    </w:p>
    <w:p w14:paraId="2C7705C3">
      <w:pPr>
        <w:pStyle w:val="77"/>
        <w:jc w:val="center"/>
        <w:rPr>
          <w:sz w:val="28"/>
          <w:szCs w:val="28"/>
        </w:rPr>
        <w:sectPr>
          <w:footerReference r:id="rId9" w:type="default"/>
          <w:pgSz w:w="16838" w:h="11906" w:orient="landscape"/>
          <w:pgMar w:top="720" w:right="720" w:bottom="720" w:left="720" w:header="283" w:footer="283" w:gutter="0"/>
          <w:cols w:space="425" w:num="1"/>
          <w:docGrid w:type="linesAndChars" w:linePitch="312" w:charSpace="0"/>
        </w:sectPr>
      </w:pPr>
    </w:p>
    <w:p w14:paraId="08059DBA">
      <w:pPr>
        <w:pStyle w:val="77"/>
        <w:outlineLvl w:val="0"/>
        <w:rPr>
          <w:sz w:val="28"/>
          <w:szCs w:val="28"/>
        </w:rPr>
      </w:pPr>
      <w:r>
        <w:rPr>
          <w:rFonts w:hint="eastAsia"/>
          <w:sz w:val="28"/>
          <w:szCs w:val="28"/>
        </w:rPr>
        <w:t>附图</w:t>
      </w:r>
      <w:r>
        <w:rPr>
          <w:sz w:val="28"/>
          <w:szCs w:val="28"/>
        </w:rPr>
        <w:t xml:space="preserve">4 </w:t>
      </w:r>
      <w:r>
        <w:rPr>
          <w:rFonts w:hint="eastAsia"/>
          <w:sz w:val="28"/>
          <w:szCs w:val="28"/>
        </w:rPr>
        <w:t>环境保护目标图</w:t>
      </w:r>
    </w:p>
    <w:p w14:paraId="5F0D5AA2">
      <w:pPr>
        <w:tabs>
          <w:tab w:val="left" w:pos="1680"/>
        </w:tabs>
        <w:jc w:val="center"/>
        <w:sectPr>
          <w:pgSz w:w="16838" w:h="11906" w:orient="landscape"/>
          <w:pgMar w:top="720" w:right="720" w:bottom="720" w:left="720" w:header="283" w:footer="283" w:gutter="0"/>
          <w:cols w:space="425" w:num="1"/>
          <w:docGrid w:type="linesAndChars" w:linePitch="312" w:charSpace="0"/>
        </w:sectPr>
      </w:pPr>
    </w:p>
    <w:p w14:paraId="6424E917">
      <w:pPr>
        <w:spacing w:line="360" w:lineRule="auto"/>
        <w:jc w:val="left"/>
        <w:outlineLvl w:val="0"/>
        <w:rPr>
          <w:b/>
          <w:bCs/>
          <w:sz w:val="28"/>
          <w:szCs w:val="28"/>
        </w:rPr>
      </w:pPr>
      <w:r>
        <w:rPr>
          <w:b/>
          <w:bCs/>
          <w:sz w:val="28"/>
          <w:szCs w:val="28"/>
        </w:rPr>
        <w:t>附件1  委托书</w:t>
      </w:r>
    </w:p>
    <w:p w14:paraId="42B442CB">
      <w:pPr>
        <w:rPr>
          <w:b/>
          <w:bCs/>
          <w:sz w:val="28"/>
          <w:szCs w:val="28"/>
        </w:rPr>
      </w:pPr>
    </w:p>
    <w:p w14:paraId="3BDBAEB4">
      <w:pPr>
        <w:jc w:val="center"/>
        <w:rPr>
          <w:b/>
          <w:bCs/>
          <w:color w:val="000000"/>
          <w:sz w:val="44"/>
          <w:szCs w:val="44"/>
        </w:rPr>
      </w:pPr>
      <w:r>
        <w:rPr>
          <w:b/>
          <w:bCs/>
          <w:color w:val="000000"/>
          <w:sz w:val="44"/>
          <w:szCs w:val="44"/>
        </w:rPr>
        <w:t>委 托 书</w:t>
      </w:r>
    </w:p>
    <w:p w14:paraId="54BD9468">
      <w:pPr>
        <w:adjustRightInd w:val="0"/>
        <w:snapToGrid w:val="0"/>
        <w:spacing w:line="360" w:lineRule="auto"/>
        <w:rPr>
          <w:color w:val="000000"/>
          <w:sz w:val="36"/>
        </w:rPr>
      </w:pPr>
    </w:p>
    <w:p w14:paraId="65A318B8">
      <w:pPr>
        <w:adjustRightInd w:val="0"/>
        <w:snapToGrid w:val="0"/>
        <w:spacing w:line="360" w:lineRule="auto"/>
        <w:rPr>
          <w:rFonts w:hint="eastAsia"/>
          <w:bCs/>
          <w:color w:val="000000"/>
          <w:sz w:val="28"/>
          <w:szCs w:val="28"/>
        </w:rPr>
      </w:pPr>
    </w:p>
    <w:p w14:paraId="64D305EA">
      <w:pPr>
        <w:adjustRightInd w:val="0"/>
        <w:snapToGrid w:val="0"/>
        <w:spacing w:line="360" w:lineRule="auto"/>
        <w:rPr>
          <w:bCs/>
          <w:color w:val="000000"/>
          <w:sz w:val="28"/>
          <w:szCs w:val="28"/>
        </w:rPr>
      </w:pPr>
      <w:r>
        <w:rPr>
          <w:rFonts w:hint="eastAsia" w:eastAsia="宋体"/>
          <w:bCs/>
          <w:color w:val="000000"/>
          <w:sz w:val="28"/>
          <w:szCs w:val="28"/>
          <w:lang w:val="en-US" w:eastAsia="zh-CN"/>
        </w:rPr>
        <w:t>内蒙古宝钜环保技术服务有限</w:t>
      </w:r>
      <w:r>
        <w:rPr>
          <w:rFonts w:hint="eastAsia"/>
          <w:bCs/>
          <w:color w:val="000000"/>
          <w:sz w:val="28"/>
          <w:szCs w:val="28"/>
        </w:rPr>
        <w:t>公司</w:t>
      </w:r>
      <w:r>
        <w:rPr>
          <w:bCs/>
          <w:color w:val="000000"/>
          <w:sz w:val="28"/>
          <w:szCs w:val="28"/>
        </w:rPr>
        <w:t>：</w:t>
      </w:r>
    </w:p>
    <w:p w14:paraId="22E9AD94">
      <w:pPr>
        <w:adjustRightInd w:val="0"/>
        <w:snapToGrid w:val="0"/>
        <w:spacing w:line="360" w:lineRule="auto"/>
        <w:ind w:firstLine="560" w:firstLineChars="200"/>
        <w:rPr>
          <w:bCs/>
          <w:color w:val="000000"/>
          <w:sz w:val="28"/>
          <w:szCs w:val="28"/>
        </w:rPr>
      </w:pPr>
    </w:p>
    <w:p w14:paraId="235023FC">
      <w:pPr>
        <w:adjustRightInd w:val="0"/>
        <w:snapToGrid w:val="0"/>
        <w:spacing w:line="360" w:lineRule="auto"/>
        <w:ind w:firstLine="560" w:firstLineChars="200"/>
        <w:rPr>
          <w:bCs/>
          <w:color w:val="000000"/>
          <w:sz w:val="28"/>
          <w:szCs w:val="28"/>
        </w:rPr>
      </w:pPr>
      <w:r>
        <w:rPr>
          <w:bCs/>
          <w:color w:val="000000"/>
          <w:sz w:val="28"/>
          <w:szCs w:val="28"/>
        </w:rPr>
        <w:t>我公</w:t>
      </w:r>
      <w:r>
        <w:rPr>
          <w:rFonts w:eastAsia="宋体"/>
          <w:bCs/>
          <w:color w:val="000000"/>
          <w:sz w:val="28"/>
          <w:szCs w:val="28"/>
        </w:rPr>
        <w:t>司建设</w:t>
      </w:r>
      <w:r>
        <w:rPr>
          <w:rFonts w:hint="eastAsia" w:eastAsia="宋体"/>
          <w:bCs/>
          <w:color w:val="000000"/>
          <w:sz w:val="28"/>
          <w:szCs w:val="28"/>
          <w:lang w:eastAsia="zh-CN"/>
        </w:rPr>
        <w:t>“</w:t>
      </w:r>
      <w:r>
        <w:rPr>
          <w:rFonts w:hint="eastAsia"/>
          <w:bCs/>
          <w:color w:val="000000"/>
          <w:sz w:val="28"/>
          <w:szCs w:val="28"/>
          <w:lang w:eastAsia="zh-CN"/>
        </w:rPr>
        <w:t>汇能科创大厦负一层北京大学鄂尔多斯能源研究院综合实验室项目</w:t>
      </w:r>
      <w:r>
        <w:rPr>
          <w:rFonts w:hint="eastAsia" w:eastAsia="宋体"/>
          <w:bCs/>
          <w:color w:val="000000"/>
          <w:sz w:val="28"/>
          <w:szCs w:val="28"/>
          <w:lang w:eastAsia="zh-CN"/>
        </w:rPr>
        <w:t>”</w:t>
      </w:r>
      <w:r>
        <w:rPr>
          <w:rFonts w:eastAsia="宋体"/>
          <w:bCs/>
          <w:color w:val="000000"/>
          <w:sz w:val="28"/>
          <w:szCs w:val="28"/>
        </w:rPr>
        <w:t>，根据</w:t>
      </w:r>
      <w:r>
        <w:rPr>
          <w:bCs/>
          <w:color w:val="000000"/>
          <w:sz w:val="28"/>
          <w:szCs w:val="28"/>
        </w:rPr>
        <w:t>《中华人民共和国环境保护法》、《中华人民共和国环境影响评价法》等有关条款规定，本项目需进行环境影响评价，并编制“环境影响报告表”。</w:t>
      </w:r>
    </w:p>
    <w:p w14:paraId="2576D0CA">
      <w:pPr>
        <w:adjustRightInd w:val="0"/>
        <w:snapToGrid w:val="0"/>
        <w:spacing w:line="360" w:lineRule="auto"/>
        <w:ind w:firstLine="560" w:firstLineChars="200"/>
        <w:rPr>
          <w:bCs/>
          <w:color w:val="000000"/>
          <w:sz w:val="28"/>
          <w:szCs w:val="28"/>
        </w:rPr>
      </w:pPr>
      <w:r>
        <w:rPr>
          <w:bCs/>
          <w:color w:val="000000"/>
          <w:sz w:val="28"/>
          <w:szCs w:val="28"/>
        </w:rPr>
        <w:t>我公司现委托贵公司承担本项目的环境影响评价工作，请贵公司尽快组织力量，按照有关条例要求，</w:t>
      </w:r>
      <w:r>
        <w:rPr>
          <w:rFonts w:hint="eastAsia"/>
          <w:bCs/>
          <w:color w:val="000000"/>
          <w:sz w:val="28"/>
          <w:szCs w:val="28"/>
          <w:lang w:eastAsia="zh-CN"/>
        </w:rPr>
        <w:t>开展</w:t>
      </w:r>
      <w:r>
        <w:rPr>
          <w:bCs/>
          <w:color w:val="000000"/>
          <w:sz w:val="28"/>
          <w:szCs w:val="28"/>
        </w:rPr>
        <w:t>环评工作。</w:t>
      </w:r>
    </w:p>
    <w:p w14:paraId="51C81D34">
      <w:pPr>
        <w:ind w:firstLine="3600"/>
        <w:rPr>
          <w:color w:val="000000"/>
          <w:sz w:val="36"/>
          <w:szCs w:val="36"/>
        </w:rPr>
      </w:pPr>
    </w:p>
    <w:p w14:paraId="502727FE">
      <w:pPr>
        <w:ind w:firstLine="3600"/>
        <w:rPr>
          <w:color w:val="000000"/>
          <w:sz w:val="36"/>
          <w:szCs w:val="36"/>
        </w:rPr>
      </w:pPr>
    </w:p>
    <w:p w14:paraId="23EFB4C5">
      <w:pPr>
        <w:ind w:firstLine="3600"/>
        <w:rPr>
          <w:color w:val="000000"/>
          <w:sz w:val="36"/>
          <w:szCs w:val="36"/>
        </w:rPr>
      </w:pPr>
    </w:p>
    <w:p w14:paraId="67935853">
      <w:pPr>
        <w:rPr>
          <w:bCs/>
          <w:color w:val="000000"/>
          <w:sz w:val="36"/>
          <w:szCs w:val="18"/>
        </w:rPr>
      </w:pPr>
    </w:p>
    <w:p w14:paraId="6BA6F681">
      <w:pPr>
        <w:snapToGrid w:val="0"/>
        <w:spacing w:line="360" w:lineRule="auto"/>
        <w:jc w:val="right"/>
        <w:rPr>
          <w:rFonts w:hint="eastAsia" w:eastAsia="宋体"/>
          <w:color w:val="000000"/>
          <w:sz w:val="28"/>
          <w:szCs w:val="28"/>
        </w:rPr>
      </w:pPr>
      <w:r>
        <w:rPr>
          <w:rFonts w:hint="eastAsia" w:eastAsia="宋体"/>
          <w:color w:val="000000"/>
          <w:sz w:val="28"/>
          <w:szCs w:val="28"/>
        </w:rPr>
        <w:t>北京大学鄂尔多斯能源研究院</w:t>
      </w:r>
    </w:p>
    <w:p w14:paraId="4EDA2E49">
      <w:pPr>
        <w:snapToGrid w:val="0"/>
        <w:spacing w:line="360" w:lineRule="auto"/>
        <w:jc w:val="right"/>
      </w:pPr>
      <w:r>
        <w:rPr>
          <w:color w:val="000000"/>
          <w:sz w:val="28"/>
          <w:szCs w:val="28"/>
        </w:rPr>
        <w:t>202</w:t>
      </w:r>
      <w:r>
        <w:rPr>
          <w:rFonts w:hint="eastAsia" w:eastAsia="宋体"/>
          <w:color w:val="000000"/>
          <w:sz w:val="28"/>
          <w:szCs w:val="28"/>
          <w:lang w:val="en-US" w:eastAsia="zh-CN"/>
        </w:rPr>
        <w:t>4</w:t>
      </w:r>
      <w:r>
        <w:rPr>
          <w:color w:val="000000"/>
          <w:sz w:val="28"/>
          <w:szCs w:val="28"/>
        </w:rPr>
        <w:t>年</w:t>
      </w:r>
      <w:r>
        <w:rPr>
          <w:rFonts w:hint="eastAsia" w:eastAsia="宋体"/>
          <w:color w:val="000000"/>
          <w:sz w:val="28"/>
          <w:szCs w:val="28"/>
          <w:lang w:val="en-US" w:eastAsia="zh-CN"/>
        </w:rPr>
        <w:t>6</w:t>
      </w:r>
      <w:r>
        <w:rPr>
          <w:color w:val="000000"/>
          <w:sz w:val="28"/>
          <w:szCs w:val="28"/>
        </w:rPr>
        <w:t>月</w:t>
      </w:r>
    </w:p>
    <w:p w14:paraId="3FB9FBBB">
      <w:pPr>
        <w:rPr>
          <w:b/>
          <w:bCs/>
          <w:sz w:val="28"/>
          <w:szCs w:val="28"/>
        </w:rPr>
        <w:sectPr>
          <w:footerReference r:id="rId10" w:type="default"/>
          <w:pgSz w:w="11906" w:h="16838"/>
          <w:pgMar w:top="1417" w:right="1134" w:bottom="1417" w:left="1474" w:header="851" w:footer="851" w:gutter="0"/>
          <w:cols w:space="720" w:num="1"/>
          <w:docGrid w:linePitch="312" w:charSpace="0"/>
        </w:sectPr>
      </w:pPr>
    </w:p>
    <w:p w14:paraId="1105253F">
      <w:pPr>
        <w:rPr>
          <w:b/>
          <w:bCs/>
          <w:sz w:val="28"/>
          <w:szCs w:val="28"/>
        </w:rPr>
      </w:pPr>
    </w:p>
    <w:sectPr>
      <w:headerReference r:id="rId11" w:type="default"/>
      <w:footerReference r:id="rId12" w:type="default"/>
      <w:pgSz w:w="11906" w:h="16838"/>
      <w:pgMar w:top="720" w:right="720" w:bottom="720" w:left="72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Sim Sun">
    <w:altName w:val="宋体"/>
    <w:panose1 w:val="00000000000000000000"/>
    <w:charset w:val="86"/>
    <w:family w:val="swiss"/>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Segoe UI Emoji">
    <w:altName w:val="Segoe UI"/>
    <w:panose1 w:val="020B0502040204020203"/>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方正小标宋_GBK">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757F">
    <w:pPr>
      <w:pStyle w:val="3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62D2">
    <w:pPr>
      <w:pStyle w:val="32"/>
      <w:framePr w:wrap="around" w:vAnchor="text" w:hAnchor="margin" w:xAlign="center" w:y="1"/>
      <w:rPr>
        <w:rStyle w:val="55"/>
      </w:rPr>
    </w:pPr>
    <w:r>
      <w:fldChar w:fldCharType="begin"/>
    </w:r>
    <w:r>
      <w:rPr>
        <w:rStyle w:val="55"/>
      </w:rPr>
      <w:instrText xml:space="preserve">PAGE  </w:instrText>
    </w:r>
    <w:r>
      <w:fldChar w:fldCharType="end"/>
    </w:r>
  </w:p>
  <w:p w14:paraId="2236E191">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64F9">
    <w:pPr>
      <w:pStyle w:val="32"/>
      <w:ind w:right="360" w:firstLine="360"/>
    </w:pPr>
    <w:r>
      <mc:AlternateContent>
        <mc:Choice Requires="wps">
          <w:drawing>
            <wp:anchor distT="0" distB="0" distL="114300" distR="114300" simplePos="0" relativeHeight="251659264" behindDoc="0" locked="0" layoutInCell="1" allowOverlap="1">
              <wp:simplePos x="0" y="0"/>
              <wp:positionH relativeFrom="margin">
                <wp:posOffset>2778125</wp:posOffset>
              </wp:positionH>
              <wp:positionV relativeFrom="paragraph">
                <wp:posOffset>147320</wp:posOffset>
              </wp:positionV>
              <wp:extent cx="236855" cy="1828800"/>
              <wp:effectExtent l="0" t="0" r="10795" b="14605"/>
              <wp:wrapNone/>
              <wp:docPr id="4" name="文本框 4"/>
              <wp:cNvGraphicFramePr/>
              <a:graphic xmlns:a="http://schemas.openxmlformats.org/drawingml/2006/main">
                <a:graphicData uri="http://schemas.microsoft.com/office/word/2010/wordprocessingShape">
                  <wps:wsp>
                    <wps:cNvSpPr txBox="1"/>
                    <wps:spPr>
                      <a:xfrm>
                        <a:off x="0" y="0"/>
                        <a:ext cx="237067"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637AD">
                          <w:pPr>
                            <w:pStyle w:val="3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8.75pt;margin-top:11.6pt;height:144pt;width:18.65pt;mso-position-horizontal-relative:margin;z-index:251659264;mso-width-relative:page;mso-height-relative:page;" filled="f" stroked="f" coordsize="21600,21600" o:gfxdata="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6dD29kAAAAKAQAADwAAAAAAAAABACAAAAAiAAAAZHJzL2Rvd25yZXYu&#10;eG1sUEsBAhQAFAAAAAgAh07iQJTUtmIzAgAAVgQAAA4AAAAAAAAAAQAgAAAAKAEAAGRycy9lMm9E&#10;b2MueG1sUEsFBgAAAAAGAAYAWQEAAM0FAAAAAA==&#10;">
              <v:fill on="f" focussize="0,0"/>
              <v:stroke on="f" weight="0.5pt"/>
              <v:imagedata o:title=""/>
              <o:lock v:ext="edit" aspectratio="f"/>
              <v:textbox inset="0mm,0mm,0mm,0mm" style="mso-fit-shape-to-text:t;">
                <w:txbxContent>
                  <w:p w14:paraId="202637AD">
                    <w:pPr>
                      <w:pStyle w:val="3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CE783">
    <w:pPr>
      <w:pStyle w:val="32"/>
      <w:rPr>
        <w:rStyle w:val="55"/>
        <w:rFonts w:hint="eastAsia" w:ascii="宋体" w:hAnsi="宋体"/>
        <w:sz w:val="28"/>
        <w:szCs w:val="28"/>
      </w:rPr>
    </w:pPr>
    <w:r>
      <w:rPr>
        <w:rStyle w:val="55"/>
        <w:rFonts w:hint="eastAsia" w:ascii="宋体" w:hAnsi="宋体"/>
        <w:sz w:val="20"/>
      </w:rPr>
      <w:t xml:space="preserve">  </w:t>
    </w:r>
  </w:p>
  <w:p w14:paraId="022A5BF1">
    <w:pPr>
      <w:pStyle w:val="3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468E">
    <w:pPr>
      <w:pStyle w:val="32"/>
      <w:rPr>
        <w:rStyle w:val="55"/>
        <w:rFonts w:hint="eastAsia" w:ascii="宋体" w:hAnsi="宋体"/>
        <w:sz w:val="28"/>
        <w:szCs w:val="28"/>
      </w:rPr>
    </w:pPr>
    <w:r>
      <w:rPr>
        <w:rStyle w:val="55"/>
        <w:rFonts w:hint="eastAsia" w:ascii="宋体" w:hAnsi="宋体"/>
        <w:sz w:val="20"/>
      </w:rPr>
      <w:t xml:space="preserve">  </w:t>
    </w:r>
  </w:p>
  <w:p w14:paraId="47F5665D">
    <w:pPr>
      <w:pStyle w:val="32"/>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F660">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63B7A">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987A9">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E02E9">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9025">
    <w:pPr>
      <w:pStyle w:val="3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2MjE4YWVmYjViMjg3ZDZjYzg3ZTg5MzE5NzM5OTMifQ=="/>
  </w:docVars>
  <w:rsids>
    <w:rsidRoot w:val="00A14947"/>
    <w:rsid w:val="00000745"/>
    <w:rsid w:val="00000F78"/>
    <w:rsid w:val="00000FD9"/>
    <w:rsid w:val="00003F16"/>
    <w:rsid w:val="00004491"/>
    <w:rsid w:val="000047C9"/>
    <w:rsid w:val="000060B3"/>
    <w:rsid w:val="000062BC"/>
    <w:rsid w:val="0001013A"/>
    <w:rsid w:val="000108F7"/>
    <w:rsid w:val="00011098"/>
    <w:rsid w:val="0001664F"/>
    <w:rsid w:val="0002110F"/>
    <w:rsid w:val="000211EC"/>
    <w:rsid w:val="00022D8E"/>
    <w:rsid w:val="00025558"/>
    <w:rsid w:val="0002624B"/>
    <w:rsid w:val="000270B2"/>
    <w:rsid w:val="0003104E"/>
    <w:rsid w:val="00031C57"/>
    <w:rsid w:val="000322DF"/>
    <w:rsid w:val="00032709"/>
    <w:rsid w:val="0003342A"/>
    <w:rsid w:val="0003433B"/>
    <w:rsid w:val="00034B64"/>
    <w:rsid w:val="00037688"/>
    <w:rsid w:val="00037823"/>
    <w:rsid w:val="0004089D"/>
    <w:rsid w:val="000420A5"/>
    <w:rsid w:val="00042141"/>
    <w:rsid w:val="0004329F"/>
    <w:rsid w:val="0004364B"/>
    <w:rsid w:val="00044FEB"/>
    <w:rsid w:val="00045730"/>
    <w:rsid w:val="000468D4"/>
    <w:rsid w:val="0004706F"/>
    <w:rsid w:val="0004739E"/>
    <w:rsid w:val="000519B8"/>
    <w:rsid w:val="000527CB"/>
    <w:rsid w:val="000528D3"/>
    <w:rsid w:val="0005390C"/>
    <w:rsid w:val="00056835"/>
    <w:rsid w:val="00056F81"/>
    <w:rsid w:val="00060338"/>
    <w:rsid w:val="000604BD"/>
    <w:rsid w:val="000619A2"/>
    <w:rsid w:val="00061B1F"/>
    <w:rsid w:val="000640F9"/>
    <w:rsid w:val="00065D4D"/>
    <w:rsid w:val="00065F37"/>
    <w:rsid w:val="00066685"/>
    <w:rsid w:val="00067366"/>
    <w:rsid w:val="00070B60"/>
    <w:rsid w:val="00072AB7"/>
    <w:rsid w:val="000733A6"/>
    <w:rsid w:val="000733C4"/>
    <w:rsid w:val="00074783"/>
    <w:rsid w:val="0007520C"/>
    <w:rsid w:val="0007624C"/>
    <w:rsid w:val="00076F6E"/>
    <w:rsid w:val="0008070B"/>
    <w:rsid w:val="000810AC"/>
    <w:rsid w:val="00081A02"/>
    <w:rsid w:val="00082231"/>
    <w:rsid w:val="00082784"/>
    <w:rsid w:val="00083270"/>
    <w:rsid w:val="00084724"/>
    <w:rsid w:val="00085731"/>
    <w:rsid w:val="0009003E"/>
    <w:rsid w:val="00091B4D"/>
    <w:rsid w:val="0009237A"/>
    <w:rsid w:val="00092549"/>
    <w:rsid w:val="00092D38"/>
    <w:rsid w:val="0009377B"/>
    <w:rsid w:val="00093FC9"/>
    <w:rsid w:val="00095BCA"/>
    <w:rsid w:val="00096DBA"/>
    <w:rsid w:val="000A08A4"/>
    <w:rsid w:val="000A20C9"/>
    <w:rsid w:val="000A30C8"/>
    <w:rsid w:val="000A376B"/>
    <w:rsid w:val="000A537D"/>
    <w:rsid w:val="000A56B7"/>
    <w:rsid w:val="000A74FA"/>
    <w:rsid w:val="000A7CC5"/>
    <w:rsid w:val="000B058F"/>
    <w:rsid w:val="000B1031"/>
    <w:rsid w:val="000B2048"/>
    <w:rsid w:val="000B4467"/>
    <w:rsid w:val="000B4C89"/>
    <w:rsid w:val="000B4DB9"/>
    <w:rsid w:val="000B7F35"/>
    <w:rsid w:val="000C09AC"/>
    <w:rsid w:val="000C0F9F"/>
    <w:rsid w:val="000C20D1"/>
    <w:rsid w:val="000C2379"/>
    <w:rsid w:val="000C2A75"/>
    <w:rsid w:val="000C3C1C"/>
    <w:rsid w:val="000C3EA5"/>
    <w:rsid w:val="000C434A"/>
    <w:rsid w:val="000C73CA"/>
    <w:rsid w:val="000C767F"/>
    <w:rsid w:val="000C7B61"/>
    <w:rsid w:val="000C7D9E"/>
    <w:rsid w:val="000D06E5"/>
    <w:rsid w:val="000D1281"/>
    <w:rsid w:val="000D1C62"/>
    <w:rsid w:val="000D206B"/>
    <w:rsid w:val="000D5A44"/>
    <w:rsid w:val="000D6A8D"/>
    <w:rsid w:val="000E2446"/>
    <w:rsid w:val="000E3ED2"/>
    <w:rsid w:val="000E43E8"/>
    <w:rsid w:val="000E707E"/>
    <w:rsid w:val="000E7626"/>
    <w:rsid w:val="000F0C56"/>
    <w:rsid w:val="000F1EF7"/>
    <w:rsid w:val="000F25CC"/>
    <w:rsid w:val="000F374F"/>
    <w:rsid w:val="000F459D"/>
    <w:rsid w:val="000F590B"/>
    <w:rsid w:val="000F6583"/>
    <w:rsid w:val="000F6DE5"/>
    <w:rsid w:val="000F73F1"/>
    <w:rsid w:val="000F742E"/>
    <w:rsid w:val="00101289"/>
    <w:rsid w:val="00102362"/>
    <w:rsid w:val="00102829"/>
    <w:rsid w:val="00102E0B"/>
    <w:rsid w:val="00103DFF"/>
    <w:rsid w:val="001069DA"/>
    <w:rsid w:val="00106B66"/>
    <w:rsid w:val="00107D53"/>
    <w:rsid w:val="00110D10"/>
    <w:rsid w:val="001111F4"/>
    <w:rsid w:val="001116DB"/>
    <w:rsid w:val="00113CEE"/>
    <w:rsid w:val="00113F28"/>
    <w:rsid w:val="001148FB"/>
    <w:rsid w:val="00115257"/>
    <w:rsid w:val="00115B3B"/>
    <w:rsid w:val="0011770D"/>
    <w:rsid w:val="00117BE2"/>
    <w:rsid w:val="00122405"/>
    <w:rsid w:val="00123F13"/>
    <w:rsid w:val="001266BF"/>
    <w:rsid w:val="001266EC"/>
    <w:rsid w:val="00127A1E"/>
    <w:rsid w:val="00127E44"/>
    <w:rsid w:val="00130259"/>
    <w:rsid w:val="00131F42"/>
    <w:rsid w:val="00132622"/>
    <w:rsid w:val="00132E80"/>
    <w:rsid w:val="0013374E"/>
    <w:rsid w:val="00133B5A"/>
    <w:rsid w:val="00134182"/>
    <w:rsid w:val="001357F1"/>
    <w:rsid w:val="0013792B"/>
    <w:rsid w:val="001406A9"/>
    <w:rsid w:val="00140FA8"/>
    <w:rsid w:val="001419B2"/>
    <w:rsid w:val="00141A1D"/>
    <w:rsid w:val="00142FEB"/>
    <w:rsid w:val="00143A2D"/>
    <w:rsid w:val="00143A37"/>
    <w:rsid w:val="00143C16"/>
    <w:rsid w:val="00145A41"/>
    <w:rsid w:val="00146FC4"/>
    <w:rsid w:val="00147D5B"/>
    <w:rsid w:val="001502A7"/>
    <w:rsid w:val="00150C46"/>
    <w:rsid w:val="00151675"/>
    <w:rsid w:val="00151F71"/>
    <w:rsid w:val="0015275E"/>
    <w:rsid w:val="0015300C"/>
    <w:rsid w:val="00154F42"/>
    <w:rsid w:val="00154FA0"/>
    <w:rsid w:val="00155EAE"/>
    <w:rsid w:val="00157435"/>
    <w:rsid w:val="00157FD7"/>
    <w:rsid w:val="001605FE"/>
    <w:rsid w:val="0016133B"/>
    <w:rsid w:val="00163DC9"/>
    <w:rsid w:val="00164B3B"/>
    <w:rsid w:val="00165BAB"/>
    <w:rsid w:val="001668DD"/>
    <w:rsid w:val="00167321"/>
    <w:rsid w:val="0016745B"/>
    <w:rsid w:val="001700DB"/>
    <w:rsid w:val="0017065B"/>
    <w:rsid w:val="001707B9"/>
    <w:rsid w:val="0017132D"/>
    <w:rsid w:val="001720E8"/>
    <w:rsid w:val="0017504D"/>
    <w:rsid w:val="0017671A"/>
    <w:rsid w:val="00177422"/>
    <w:rsid w:val="00177AE7"/>
    <w:rsid w:val="00180419"/>
    <w:rsid w:val="0018041C"/>
    <w:rsid w:val="00183C30"/>
    <w:rsid w:val="00184590"/>
    <w:rsid w:val="0018625E"/>
    <w:rsid w:val="001870D1"/>
    <w:rsid w:val="0018781E"/>
    <w:rsid w:val="0019051F"/>
    <w:rsid w:val="0019262D"/>
    <w:rsid w:val="00193999"/>
    <w:rsid w:val="00194CD1"/>
    <w:rsid w:val="00194D78"/>
    <w:rsid w:val="001951A8"/>
    <w:rsid w:val="0019577D"/>
    <w:rsid w:val="00195BD1"/>
    <w:rsid w:val="00195FFB"/>
    <w:rsid w:val="001A031C"/>
    <w:rsid w:val="001A05D4"/>
    <w:rsid w:val="001A06C0"/>
    <w:rsid w:val="001A1B35"/>
    <w:rsid w:val="001A48A2"/>
    <w:rsid w:val="001A4A54"/>
    <w:rsid w:val="001A6F61"/>
    <w:rsid w:val="001B033D"/>
    <w:rsid w:val="001B0AAA"/>
    <w:rsid w:val="001B0B98"/>
    <w:rsid w:val="001B14B3"/>
    <w:rsid w:val="001B2FE5"/>
    <w:rsid w:val="001B3804"/>
    <w:rsid w:val="001B3D8D"/>
    <w:rsid w:val="001B566F"/>
    <w:rsid w:val="001B59F4"/>
    <w:rsid w:val="001B716C"/>
    <w:rsid w:val="001B72B8"/>
    <w:rsid w:val="001B74ED"/>
    <w:rsid w:val="001C2E7B"/>
    <w:rsid w:val="001C503B"/>
    <w:rsid w:val="001C5061"/>
    <w:rsid w:val="001C69B3"/>
    <w:rsid w:val="001C6A55"/>
    <w:rsid w:val="001C704E"/>
    <w:rsid w:val="001C714C"/>
    <w:rsid w:val="001C7FDC"/>
    <w:rsid w:val="001D0057"/>
    <w:rsid w:val="001D015D"/>
    <w:rsid w:val="001D07BE"/>
    <w:rsid w:val="001D0891"/>
    <w:rsid w:val="001D1957"/>
    <w:rsid w:val="001D2949"/>
    <w:rsid w:val="001D3175"/>
    <w:rsid w:val="001D3CEC"/>
    <w:rsid w:val="001D5595"/>
    <w:rsid w:val="001D5908"/>
    <w:rsid w:val="001D7874"/>
    <w:rsid w:val="001D7F22"/>
    <w:rsid w:val="001E2CFC"/>
    <w:rsid w:val="001E4EF2"/>
    <w:rsid w:val="001E7637"/>
    <w:rsid w:val="001F00CB"/>
    <w:rsid w:val="001F0F14"/>
    <w:rsid w:val="001F0F17"/>
    <w:rsid w:val="001F1082"/>
    <w:rsid w:val="001F1E2D"/>
    <w:rsid w:val="001F2282"/>
    <w:rsid w:val="001F2DDF"/>
    <w:rsid w:val="001F3347"/>
    <w:rsid w:val="001F3E79"/>
    <w:rsid w:val="001F547E"/>
    <w:rsid w:val="001F5575"/>
    <w:rsid w:val="001F69E4"/>
    <w:rsid w:val="001F6D64"/>
    <w:rsid w:val="001F77DD"/>
    <w:rsid w:val="001F7922"/>
    <w:rsid w:val="00201651"/>
    <w:rsid w:val="0020187F"/>
    <w:rsid w:val="00201DC4"/>
    <w:rsid w:val="00202B0E"/>
    <w:rsid w:val="002074FD"/>
    <w:rsid w:val="002108E4"/>
    <w:rsid w:val="00210E0C"/>
    <w:rsid w:val="002111A0"/>
    <w:rsid w:val="002117BF"/>
    <w:rsid w:val="00211D1F"/>
    <w:rsid w:val="0021214F"/>
    <w:rsid w:val="002125B4"/>
    <w:rsid w:val="00213F6A"/>
    <w:rsid w:val="0021445A"/>
    <w:rsid w:val="002151E2"/>
    <w:rsid w:val="002155B8"/>
    <w:rsid w:val="00215AAB"/>
    <w:rsid w:val="00215C88"/>
    <w:rsid w:val="00216EBD"/>
    <w:rsid w:val="0021717C"/>
    <w:rsid w:val="00217F10"/>
    <w:rsid w:val="00220C73"/>
    <w:rsid w:val="002212EB"/>
    <w:rsid w:val="002246C8"/>
    <w:rsid w:val="00224822"/>
    <w:rsid w:val="00224839"/>
    <w:rsid w:val="002249B2"/>
    <w:rsid w:val="002254F6"/>
    <w:rsid w:val="00226574"/>
    <w:rsid w:val="00226FEF"/>
    <w:rsid w:val="002278EC"/>
    <w:rsid w:val="00230598"/>
    <w:rsid w:val="0023280E"/>
    <w:rsid w:val="002337A3"/>
    <w:rsid w:val="00234282"/>
    <w:rsid w:val="00235FB8"/>
    <w:rsid w:val="002377D1"/>
    <w:rsid w:val="00240CF1"/>
    <w:rsid w:val="002439EB"/>
    <w:rsid w:val="00244688"/>
    <w:rsid w:val="002459FB"/>
    <w:rsid w:val="002506BC"/>
    <w:rsid w:val="00251486"/>
    <w:rsid w:val="00251558"/>
    <w:rsid w:val="00253A9B"/>
    <w:rsid w:val="002541BF"/>
    <w:rsid w:val="00254345"/>
    <w:rsid w:val="002547E3"/>
    <w:rsid w:val="00255FA0"/>
    <w:rsid w:val="002565B6"/>
    <w:rsid w:val="002573C8"/>
    <w:rsid w:val="00257734"/>
    <w:rsid w:val="00260838"/>
    <w:rsid w:val="002617AA"/>
    <w:rsid w:val="0026425F"/>
    <w:rsid w:val="00264313"/>
    <w:rsid w:val="00264557"/>
    <w:rsid w:val="00266F1F"/>
    <w:rsid w:val="002673E9"/>
    <w:rsid w:val="00267D58"/>
    <w:rsid w:val="00273572"/>
    <w:rsid w:val="00273FFB"/>
    <w:rsid w:val="0027494E"/>
    <w:rsid w:val="00275BC1"/>
    <w:rsid w:val="002763C2"/>
    <w:rsid w:val="002764E7"/>
    <w:rsid w:val="0027767E"/>
    <w:rsid w:val="00277A7D"/>
    <w:rsid w:val="002805AB"/>
    <w:rsid w:val="00280D68"/>
    <w:rsid w:val="00281F33"/>
    <w:rsid w:val="002827B8"/>
    <w:rsid w:val="00283D0E"/>
    <w:rsid w:val="00284204"/>
    <w:rsid w:val="00285351"/>
    <w:rsid w:val="00285790"/>
    <w:rsid w:val="0029009D"/>
    <w:rsid w:val="00290860"/>
    <w:rsid w:val="00290FB4"/>
    <w:rsid w:val="00291773"/>
    <w:rsid w:val="00294B67"/>
    <w:rsid w:val="0029506B"/>
    <w:rsid w:val="00295940"/>
    <w:rsid w:val="00295949"/>
    <w:rsid w:val="002960FA"/>
    <w:rsid w:val="0029633C"/>
    <w:rsid w:val="00296AB7"/>
    <w:rsid w:val="002976D2"/>
    <w:rsid w:val="0029792E"/>
    <w:rsid w:val="002A168C"/>
    <w:rsid w:val="002A3DC7"/>
    <w:rsid w:val="002A48EA"/>
    <w:rsid w:val="002A4F1F"/>
    <w:rsid w:val="002A7F4C"/>
    <w:rsid w:val="002B0662"/>
    <w:rsid w:val="002B2EC5"/>
    <w:rsid w:val="002B3172"/>
    <w:rsid w:val="002B3795"/>
    <w:rsid w:val="002B3B35"/>
    <w:rsid w:val="002B3DE7"/>
    <w:rsid w:val="002B49E2"/>
    <w:rsid w:val="002B53D9"/>
    <w:rsid w:val="002B5612"/>
    <w:rsid w:val="002B6F07"/>
    <w:rsid w:val="002B7B00"/>
    <w:rsid w:val="002B7C44"/>
    <w:rsid w:val="002B7CF9"/>
    <w:rsid w:val="002C2B17"/>
    <w:rsid w:val="002C537E"/>
    <w:rsid w:val="002C5BD8"/>
    <w:rsid w:val="002C7707"/>
    <w:rsid w:val="002D12A4"/>
    <w:rsid w:val="002D1654"/>
    <w:rsid w:val="002D363D"/>
    <w:rsid w:val="002D3DD0"/>
    <w:rsid w:val="002D41D7"/>
    <w:rsid w:val="002D45F6"/>
    <w:rsid w:val="002D4757"/>
    <w:rsid w:val="002D4D30"/>
    <w:rsid w:val="002D4E6B"/>
    <w:rsid w:val="002D72B8"/>
    <w:rsid w:val="002D7881"/>
    <w:rsid w:val="002E178F"/>
    <w:rsid w:val="002E1F3A"/>
    <w:rsid w:val="002E21CB"/>
    <w:rsid w:val="002E298A"/>
    <w:rsid w:val="002E35C3"/>
    <w:rsid w:val="002E50E5"/>
    <w:rsid w:val="002E5CA4"/>
    <w:rsid w:val="002F08E5"/>
    <w:rsid w:val="002F1615"/>
    <w:rsid w:val="002F291D"/>
    <w:rsid w:val="002F39A0"/>
    <w:rsid w:val="002F5A0E"/>
    <w:rsid w:val="002F6A17"/>
    <w:rsid w:val="0030122E"/>
    <w:rsid w:val="003012E4"/>
    <w:rsid w:val="00301978"/>
    <w:rsid w:val="00301C5A"/>
    <w:rsid w:val="00301E07"/>
    <w:rsid w:val="0030332C"/>
    <w:rsid w:val="00304C19"/>
    <w:rsid w:val="003051C2"/>
    <w:rsid w:val="00306009"/>
    <w:rsid w:val="0030622D"/>
    <w:rsid w:val="003079C5"/>
    <w:rsid w:val="00307A31"/>
    <w:rsid w:val="003115A6"/>
    <w:rsid w:val="00311BE3"/>
    <w:rsid w:val="00312296"/>
    <w:rsid w:val="00312B2C"/>
    <w:rsid w:val="003143A5"/>
    <w:rsid w:val="00314F0E"/>
    <w:rsid w:val="00315AA2"/>
    <w:rsid w:val="00317FDC"/>
    <w:rsid w:val="00321D8E"/>
    <w:rsid w:val="00321EE9"/>
    <w:rsid w:val="003220B3"/>
    <w:rsid w:val="00322962"/>
    <w:rsid w:val="00323357"/>
    <w:rsid w:val="003245E4"/>
    <w:rsid w:val="00325928"/>
    <w:rsid w:val="003271DA"/>
    <w:rsid w:val="0033049B"/>
    <w:rsid w:val="00331DDF"/>
    <w:rsid w:val="003327C2"/>
    <w:rsid w:val="00332863"/>
    <w:rsid w:val="00333C01"/>
    <w:rsid w:val="00336531"/>
    <w:rsid w:val="0033684D"/>
    <w:rsid w:val="00337B42"/>
    <w:rsid w:val="00340CCF"/>
    <w:rsid w:val="003412EE"/>
    <w:rsid w:val="00341420"/>
    <w:rsid w:val="00341B42"/>
    <w:rsid w:val="003420D7"/>
    <w:rsid w:val="00342776"/>
    <w:rsid w:val="0034348F"/>
    <w:rsid w:val="003452E6"/>
    <w:rsid w:val="0034558F"/>
    <w:rsid w:val="00345EBC"/>
    <w:rsid w:val="00345F32"/>
    <w:rsid w:val="003464F5"/>
    <w:rsid w:val="00346B3C"/>
    <w:rsid w:val="00346C32"/>
    <w:rsid w:val="0034783D"/>
    <w:rsid w:val="003518F0"/>
    <w:rsid w:val="003524C1"/>
    <w:rsid w:val="003540FD"/>
    <w:rsid w:val="00355064"/>
    <w:rsid w:val="00355FE1"/>
    <w:rsid w:val="00356653"/>
    <w:rsid w:val="00356DB7"/>
    <w:rsid w:val="00357150"/>
    <w:rsid w:val="0035743F"/>
    <w:rsid w:val="00357BE2"/>
    <w:rsid w:val="0036170C"/>
    <w:rsid w:val="00361B27"/>
    <w:rsid w:val="003621FA"/>
    <w:rsid w:val="003640D7"/>
    <w:rsid w:val="00364D73"/>
    <w:rsid w:val="00365D37"/>
    <w:rsid w:val="00366641"/>
    <w:rsid w:val="00366E0F"/>
    <w:rsid w:val="00367AD1"/>
    <w:rsid w:val="00370C15"/>
    <w:rsid w:val="00372FA8"/>
    <w:rsid w:val="00374497"/>
    <w:rsid w:val="00374B34"/>
    <w:rsid w:val="00374DB0"/>
    <w:rsid w:val="0037622C"/>
    <w:rsid w:val="00380070"/>
    <w:rsid w:val="0038092A"/>
    <w:rsid w:val="003819EE"/>
    <w:rsid w:val="00381A72"/>
    <w:rsid w:val="00382723"/>
    <w:rsid w:val="0038277F"/>
    <w:rsid w:val="00383F80"/>
    <w:rsid w:val="00384676"/>
    <w:rsid w:val="003852A9"/>
    <w:rsid w:val="003860D1"/>
    <w:rsid w:val="00387E29"/>
    <w:rsid w:val="00390857"/>
    <w:rsid w:val="00392593"/>
    <w:rsid w:val="00393B7E"/>
    <w:rsid w:val="00394832"/>
    <w:rsid w:val="00395CAE"/>
    <w:rsid w:val="003A0D0A"/>
    <w:rsid w:val="003A0DFF"/>
    <w:rsid w:val="003A2104"/>
    <w:rsid w:val="003A4BF3"/>
    <w:rsid w:val="003A4C61"/>
    <w:rsid w:val="003A6F55"/>
    <w:rsid w:val="003A6FF2"/>
    <w:rsid w:val="003A7313"/>
    <w:rsid w:val="003A7642"/>
    <w:rsid w:val="003B0EB7"/>
    <w:rsid w:val="003B1890"/>
    <w:rsid w:val="003B191C"/>
    <w:rsid w:val="003B1D66"/>
    <w:rsid w:val="003B2238"/>
    <w:rsid w:val="003B26FC"/>
    <w:rsid w:val="003B2D9E"/>
    <w:rsid w:val="003B3BE7"/>
    <w:rsid w:val="003B420D"/>
    <w:rsid w:val="003B7760"/>
    <w:rsid w:val="003B7EF3"/>
    <w:rsid w:val="003C030B"/>
    <w:rsid w:val="003C058A"/>
    <w:rsid w:val="003C2DFB"/>
    <w:rsid w:val="003C470C"/>
    <w:rsid w:val="003C4945"/>
    <w:rsid w:val="003C54FD"/>
    <w:rsid w:val="003C6C16"/>
    <w:rsid w:val="003C6FA3"/>
    <w:rsid w:val="003C7D5E"/>
    <w:rsid w:val="003D01D3"/>
    <w:rsid w:val="003D0980"/>
    <w:rsid w:val="003D141C"/>
    <w:rsid w:val="003D2B43"/>
    <w:rsid w:val="003D4977"/>
    <w:rsid w:val="003D50FE"/>
    <w:rsid w:val="003D54DD"/>
    <w:rsid w:val="003D58B7"/>
    <w:rsid w:val="003D794D"/>
    <w:rsid w:val="003D7A7A"/>
    <w:rsid w:val="003E3058"/>
    <w:rsid w:val="003E65A6"/>
    <w:rsid w:val="003E76A9"/>
    <w:rsid w:val="003F0809"/>
    <w:rsid w:val="003F4E73"/>
    <w:rsid w:val="003F5853"/>
    <w:rsid w:val="003F5EBD"/>
    <w:rsid w:val="003F6A8C"/>
    <w:rsid w:val="003F755C"/>
    <w:rsid w:val="004008A1"/>
    <w:rsid w:val="00400BA5"/>
    <w:rsid w:val="00403601"/>
    <w:rsid w:val="00403729"/>
    <w:rsid w:val="00406F01"/>
    <w:rsid w:val="0041006C"/>
    <w:rsid w:val="00412510"/>
    <w:rsid w:val="0041501A"/>
    <w:rsid w:val="004153B1"/>
    <w:rsid w:val="004168D0"/>
    <w:rsid w:val="00416B6F"/>
    <w:rsid w:val="00416D0A"/>
    <w:rsid w:val="00416D50"/>
    <w:rsid w:val="00416FD5"/>
    <w:rsid w:val="00417772"/>
    <w:rsid w:val="00417DCD"/>
    <w:rsid w:val="00420820"/>
    <w:rsid w:val="00420E6A"/>
    <w:rsid w:val="00421A96"/>
    <w:rsid w:val="004227AB"/>
    <w:rsid w:val="00424FD7"/>
    <w:rsid w:val="00425A9E"/>
    <w:rsid w:val="004263E8"/>
    <w:rsid w:val="00426D6B"/>
    <w:rsid w:val="00427EF8"/>
    <w:rsid w:val="004302CB"/>
    <w:rsid w:val="004310A4"/>
    <w:rsid w:val="00431E6C"/>
    <w:rsid w:val="00432708"/>
    <w:rsid w:val="00433657"/>
    <w:rsid w:val="00433753"/>
    <w:rsid w:val="00433CE7"/>
    <w:rsid w:val="00436431"/>
    <w:rsid w:val="00436510"/>
    <w:rsid w:val="00440C64"/>
    <w:rsid w:val="00444FF5"/>
    <w:rsid w:val="004471E1"/>
    <w:rsid w:val="00447CE0"/>
    <w:rsid w:val="004507C6"/>
    <w:rsid w:val="00452219"/>
    <w:rsid w:val="00452738"/>
    <w:rsid w:val="00453752"/>
    <w:rsid w:val="00453E21"/>
    <w:rsid w:val="00454769"/>
    <w:rsid w:val="004547FC"/>
    <w:rsid w:val="00454D25"/>
    <w:rsid w:val="00456091"/>
    <w:rsid w:val="004565F4"/>
    <w:rsid w:val="004603C2"/>
    <w:rsid w:val="004604B9"/>
    <w:rsid w:val="00461481"/>
    <w:rsid w:val="00461830"/>
    <w:rsid w:val="00462D77"/>
    <w:rsid w:val="00465A24"/>
    <w:rsid w:val="00466321"/>
    <w:rsid w:val="00470320"/>
    <w:rsid w:val="00470BE6"/>
    <w:rsid w:val="00470D8A"/>
    <w:rsid w:val="0047174F"/>
    <w:rsid w:val="004745CA"/>
    <w:rsid w:val="00474E05"/>
    <w:rsid w:val="00476A56"/>
    <w:rsid w:val="00477CC1"/>
    <w:rsid w:val="004810AA"/>
    <w:rsid w:val="0048175B"/>
    <w:rsid w:val="004828E9"/>
    <w:rsid w:val="00483139"/>
    <w:rsid w:val="004835F7"/>
    <w:rsid w:val="004847D4"/>
    <w:rsid w:val="00484B9B"/>
    <w:rsid w:val="00484C40"/>
    <w:rsid w:val="004855F6"/>
    <w:rsid w:val="0048661E"/>
    <w:rsid w:val="004866D6"/>
    <w:rsid w:val="00486F24"/>
    <w:rsid w:val="004906CD"/>
    <w:rsid w:val="00490E6A"/>
    <w:rsid w:val="00490E74"/>
    <w:rsid w:val="0049156A"/>
    <w:rsid w:val="004916F6"/>
    <w:rsid w:val="0049170F"/>
    <w:rsid w:val="00494670"/>
    <w:rsid w:val="0049686C"/>
    <w:rsid w:val="00496FB9"/>
    <w:rsid w:val="004A0430"/>
    <w:rsid w:val="004A0D07"/>
    <w:rsid w:val="004A1E82"/>
    <w:rsid w:val="004A23B0"/>
    <w:rsid w:val="004A3823"/>
    <w:rsid w:val="004A5B4F"/>
    <w:rsid w:val="004B0C18"/>
    <w:rsid w:val="004B266C"/>
    <w:rsid w:val="004B280D"/>
    <w:rsid w:val="004B2CBE"/>
    <w:rsid w:val="004B47C9"/>
    <w:rsid w:val="004B47E6"/>
    <w:rsid w:val="004B57AB"/>
    <w:rsid w:val="004B588D"/>
    <w:rsid w:val="004B5D6C"/>
    <w:rsid w:val="004B7177"/>
    <w:rsid w:val="004C070F"/>
    <w:rsid w:val="004C0CF4"/>
    <w:rsid w:val="004C68E5"/>
    <w:rsid w:val="004C7E04"/>
    <w:rsid w:val="004D0865"/>
    <w:rsid w:val="004D0C0A"/>
    <w:rsid w:val="004D107A"/>
    <w:rsid w:val="004D2AC1"/>
    <w:rsid w:val="004D4D76"/>
    <w:rsid w:val="004D50EE"/>
    <w:rsid w:val="004D5640"/>
    <w:rsid w:val="004D584F"/>
    <w:rsid w:val="004D7341"/>
    <w:rsid w:val="004D7763"/>
    <w:rsid w:val="004E0826"/>
    <w:rsid w:val="004E614E"/>
    <w:rsid w:val="004E6946"/>
    <w:rsid w:val="004E71C4"/>
    <w:rsid w:val="004E74BA"/>
    <w:rsid w:val="004F1AD8"/>
    <w:rsid w:val="004F60B6"/>
    <w:rsid w:val="004F6900"/>
    <w:rsid w:val="0050195E"/>
    <w:rsid w:val="00501FBD"/>
    <w:rsid w:val="00502B5F"/>
    <w:rsid w:val="00503260"/>
    <w:rsid w:val="005039CB"/>
    <w:rsid w:val="005040E2"/>
    <w:rsid w:val="00504507"/>
    <w:rsid w:val="00504514"/>
    <w:rsid w:val="00505500"/>
    <w:rsid w:val="0050558F"/>
    <w:rsid w:val="005056BC"/>
    <w:rsid w:val="00506286"/>
    <w:rsid w:val="005065F8"/>
    <w:rsid w:val="00507E4F"/>
    <w:rsid w:val="00510813"/>
    <w:rsid w:val="005108E4"/>
    <w:rsid w:val="00511990"/>
    <w:rsid w:val="005119F9"/>
    <w:rsid w:val="00511DE0"/>
    <w:rsid w:val="00511F87"/>
    <w:rsid w:val="005121D9"/>
    <w:rsid w:val="005124D8"/>
    <w:rsid w:val="005132BF"/>
    <w:rsid w:val="0051343E"/>
    <w:rsid w:val="005136FF"/>
    <w:rsid w:val="00514870"/>
    <w:rsid w:val="00514B9B"/>
    <w:rsid w:val="005155FF"/>
    <w:rsid w:val="0051580D"/>
    <w:rsid w:val="00515909"/>
    <w:rsid w:val="00517F02"/>
    <w:rsid w:val="00520216"/>
    <w:rsid w:val="005206A8"/>
    <w:rsid w:val="00521A48"/>
    <w:rsid w:val="0052201D"/>
    <w:rsid w:val="00524303"/>
    <w:rsid w:val="00524B21"/>
    <w:rsid w:val="0052586E"/>
    <w:rsid w:val="005258A2"/>
    <w:rsid w:val="005277BD"/>
    <w:rsid w:val="00527F58"/>
    <w:rsid w:val="00530E79"/>
    <w:rsid w:val="00531440"/>
    <w:rsid w:val="00532B28"/>
    <w:rsid w:val="0053322E"/>
    <w:rsid w:val="00535329"/>
    <w:rsid w:val="00535E3C"/>
    <w:rsid w:val="00536195"/>
    <w:rsid w:val="005401AE"/>
    <w:rsid w:val="00540BEA"/>
    <w:rsid w:val="00540ED7"/>
    <w:rsid w:val="005427BA"/>
    <w:rsid w:val="00542E07"/>
    <w:rsid w:val="0054512B"/>
    <w:rsid w:val="00545424"/>
    <w:rsid w:val="0054645E"/>
    <w:rsid w:val="005469CC"/>
    <w:rsid w:val="00547F41"/>
    <w:rsid w:val="005500EB"/>
    <w:rsid w:val="00551BD7"/>
    <w:rsid w:val="0055384B"/>
    <w:rsid w:val="00553864"/>
    <w:rsid w:val="005538A3"/>
    <w:rsid w:val="00553A1B"/>
    <w:rsid w:val="00554A7B"/>
    <w:rsid w:val="00554DB3"/>
    <w:rsid w:val="0055572C"/>
    <w:rsid w:val="005565E8"/>
    <w:rsid w:val="0056106A"/>
    <w:rsid w:val="00561CA4"/>
    <w:rsid w:val="0056240C"/>
    <w:rsid w:val="00562464"/>
    <w:rsid w:val="005625AF"/>
    <w:rsid w:val="005643D1"/>
    <w:rsid w:val="00567F42"/>
    <w:rsid w:val="00567F6A"/>
    <w:rsid w:val="00571068"/>
    <w:rsid w:val="005711B6"/>
    <w:rsid w:val="00571272"/>
    <w:rsid w:val="005720AE"/>
    <w:rsid w:val="0057462B"/>
    <w:rsid w:val="00575213"/>
    <w:rsid w:val="00575BAB"/>
    <w:rsid w:val="0057681B"/>
    <w:rsid w:val="00576DFF"/>
    <w:rsid w:val="00577077"/>
    <w:rsid w:val="0057718F"/>
    <w:rsid w:val="005801D3"/>
    <w:rsid w:val="0058109D"/>
    <w:rsid w:val="005814CA"/>
    <w:rsid w:val="005824E8"/>
    <w:rsid w:val="00582C80"/>
    <w:rsid w:val="00584C12"/>
    <w:rsid w:val="00586B2F"/>
    <w:rsid w:val="00586BC9"/>
    <w:rsid w:val="005871AC"/>
    <w:rsid w:val="00587F9D"/>
    <w:rsid w:val="005906B4"/>
    <w:rsid w:val="0059259E"/>
    <w:rsid w:val="00594D77"/>
    <w:rsid w:val="005950B8"/>
    <w:rsid w:val="005966D5"/>
    <w:rsid w:val="005969E4"/>
    <w:rsid w:val="005975A3"/>
    <w:rsid w:val="00597A00"/>
    <w:rsid w:val="00597C0A"/>
    <w:rsid w:val="005A06B7"/>
    <w:rsid w:val="005A0893"/>
    <w:rsid w:val="005A0A63"/>
    <w:rsid w:val="005A0DD9"/>
    <w:rsid w:val="005A1759"/>
    <w:rsid w:val="005A281F"/>
    <w:rsid w:val="005A491A"/>
    <w:rsid w:val="005A4D43"/>
    <w:rsid w:val="005A68A7"/>
    <w:rsid w:val="005B1BCE"/>
    <w:rsid w:val="005B31CC"/>
    <w:rsid w:val="005B3D83"/>
    <w:rsid w:val="005B4791"/>
    <w:rsid w:val="005B5040"/>
    <w:rsid w:val="005B5C54"/>
    <w:rsid w:val="005B66D1"/>
    <w:rsid w:val="005B7B5A"/>
    <w:rsid w:val="005C0366"/>
    <w:rsid w:val="005C1E2A"/>
    <w:rsid w:val="005C46A2"/>
    <w:rsid w:val="005C47FE"/>
    <w:rsid w:val="005C5213"/>
    <w:rsid w:val="005C559F"/>
    <w:rsid w:val="005C68EF"/>
    <w:rsid w:val="005D0986"/>
    <w:rsid w:val="005D15F9"/>
    <w:rsid w:val="005D28F9"/>
    <w:rsid w:val="005D30BF"/>
    <w:rsid w:val="005D36AB"/>
    <w:rsid w:val="005D535C"/>
    <w:rsid w:val="005E2887"/>
    <w:rsid w:val="005E3178"/>
    <w:rsid w:val="005E387C"/>
    <w:rsid w:val="005E3C95"/>
    <w:rsid w:val="005E4D14"/>
    <w:rsid w:val="005E4DCE"/>
    <w:rsid w:val="005E50A4"/>
    <w:rsid w:val="005F09BF"/>
    <w:rsid w:val="005F10AE"/>
    <w:rsid w:val="005F329D"/>
    <w:rsid w:val="005F44E1"/>
    <w:rsid w:val="005F5008"/>
    <w:rsid w:val="005F52E9"/>
    <w:rsid w:val="005F68E3"/>
    <w:rsid w:val="005F6A74"/>
    <w:rsid w:val="005F76B7"/>
    <w:rsid w:val="005F7F7E"/>
    <w:rsid w:val="006038A0"/>
    <w:rsid w:val="00603FDE"/>
    <w:rsid w:val="006074FC"/>
    <w:rsid w:val="00607952"/>
    <w:rsid w:val="00611CA8"/>
    <w:rsid w:val="006130B1"/>
    <w:rsid w:val="0061335A"/>
    <w:rsid w:val="0061372F"/>
    <w:rsid w:val="00617AE7"/>
    <w:rsid w:val="00617CC3"/>
    <w:rsid w:val="00617FE2"/>
    <w:rsid w:val="006211BC"/>
    <w:rsid w:val="00622475"/>
    <w:rsid w:val="00622757"/>
    <w:rsid w:val="00623FC1"/>
    <w:rsid w:val="0062521A"/>
    <w:rsid w:val="00625C7E"/>
    <w:rsid w:val="0062642B"/>
    <w:rsid w:val="006266E0"/>
    <w:rsid w:val="006275B8"/>
    <w:rsid w:val="006300AC"/>
    <w:rsid w:val="00630937"/>
    <w:rsid w:val="00630A75"/>
    <w:rsid w:val="00630FF6"/>
    <w:rsid w:val="006312B2"/>
    <w:rsid w:val="006325F1"/>
    <w:rsid w:val="00632F76"/>
    <w:rsid w:val="00632FAB"/>
    <w:rsid w:val="006337BA"/>
    <w:rsid w:val="006345D6"/>
    <w:rsid w:val="0063631B"/>
    <w:rsid w:val="00636978"/>
    <w:rsid w:val="00636E5E"/>
    <w:rsid w:val="006377A6"/>
    <w:rsid w:val="00637A3D"/>
    <w:rsid w:val="006411EF"/>
    <w:rsid w:val="006415E8"/>
    <w:rsid w:val="0064272F"/>
    <w:rsid w:val="0064681B"/>
    <w:rsid w:val="00647217"/>
    <w:rsid w:val="00650B3B"/>
    <w:rsid w:val="00652B38"/>
    <w:rsid w:val="00654A08"/>
    <w:rsid w:val="006601A8"/>
    <w:rsid w:val="00662513"/>
    <w:rsid w:val="0066521D"/>
    <w:rsid w:val="00665C2C"/>
    <w:rsid w:val="00666746"/>
    <w:rsid w:val="00666FC6"/>
    <w:rsid w:val="00667068"/>
    <w:rsid w:val="006679FB"/>
    <w:rsid w:val="00667B92"/>
    <w:rsid w:val="0067177F"/>
    <w:rsid w:val="00672131"/>
    <w:rsid w:val="0067227C"/>
    <w:rsid w:val="006742B0"/>
    <w:rsid w:val="00674387"/>
    <w:rsid w:val="006748B8"/>
    <w:rsid w:val="00674B22"/>
    <w:rsid w:val="00675DE0"/>
    <w:rsid w:val="006775C3"/>
    <w:rsid w:val="00677B63"/>
    <w:rsid w:val="00682D6E"/>
    <w:rsid w:val="0068473B"/>
    <w:rsid w:val="006853F4"/>
    <w:rsid w:val="00686554"/>
    <w:rsid w:val="00687282"/>
    <w:rsid w:val="006915F2"/>
    <w:rsid w:val="00691BE0"/>
    <w:rsid w:val="006923F0"/>
    <w:rsid w:val="0069290A"/>
    <w:rsid w:val="00692C5A"/>
    <w:rsid w:val="00692FB3"/>
    <w:rsid w:val="006931B6"/>
    <w:rsid w:val="00693493"/>
    <w:rsid w:val="00694962"/>
    <w:rsid w:val="00695365"/>
    <w:rsid w:val="006956FA"/>
    <w:rsid w:val="00695EAB"/>
    <w:rsid w:val="00696C89"/>
    <w:rsid w:val="00697100"/>
    <w:rsid w:val="0069775A"/>
    <w:rsid w:val="006977B6"/>
    <w:rsid w:val="00697813"/>
    <w:rsid w:val="006A0614"/>
    <w:rsid w:val="006A3239"/>
    <w:rsid w:val="006A3EE8"/>
    <w:rsid w:val="006A60AA"/>
    <w:rsid w:val="006A72BF"/>
    <w:rsid w:val="006A7345"/>
    <w:rsid w:val="006B03F2"/>
    <w:rsid w:val="006B23E9"/>
    <w:rsid w:val="006B2930"/>
    <w:rsid w:val="006B37DC"/>
    <w:rsid w:val="006B4F68"/>
    <w:rsid w:val="006B5C7B"/>
    <w:rsid w:val="006B68A1"/>
    <w:rsid w:val="006B70A1"/>
    <w:rsid w:val="006C02F4"/>
    <w:rsid w:val="006C0592"/>
    <w:rsid w:val="006C1FDF"/>
    <w:rsid w:val="006C272E"/>
    <w:rsid w:val="006C3A22"/>
    <w:rsid w:val="006C43B2"/>
    <w:rsid w:val="006C4780"/>
    <w:rsid w:val="006C4EFA"/>
    <w:rsid w:val="006C5016"/>
    <w:rsid w:val="006C5479"/>
    <w:rsid w:val="006C6A46"/>
    <w:rsid w:val="006D089F"/>
    <w:rsid w:val="006D13B5"/>
    <w:rsid w:val="006D173B"/>
    <w:rsid w:val="006D191B"/>
    <w:rsid w:val="006D474A"/>
    <w:rsid w:val="006D537E"/>
    <w:rsid w:val="006D60BE"/>
    <w:rsid w:val="006D764B"/>
    <w:rsid w:val="006E08C6"/>
    <w:rsid w:val="006E10BC"/>
    <w:rsid w:val="006E12FF"/>
    <w:rsid w:val="006E2830"/>
    <w:rsid w:val="006E2E40"/>
    <w:rsid w:val="006E2F2F"/>
    <w:rsid w:val="006E3D9E"/>
    <w:rsid w:val="006E454D"/>
    <w:rsid w:val="006E4F2A"/>
    <w:rsid w:val="006E607E"/>
    <w:rsid w:val="006E6E5E"/>
    <w:rsid w:val="006E7DD7"/>
    <w:rsid w:val="006F00E1"/>
    <w:rsid w:val="006F1162"/>
    <w:rsid w:val="006F127C"/>
    <w:rsid w:val="006F1417"/>
    <w:rsid w:val="006F1585"/>
    <w:rsid w:val="006F17EE"/>
    <w:rsid w:val="006F2E02"/>
    <w:rsid w:val="006F34A7"/>
    <w:rsid w:val="006F35CF"/>
    <w:rsid w:val="006F7DC7"/>
    <w:rsid w:val="00701089"/>
    <w:rsid w:val="007037C4"/>
    <w:rsid w:val="0070420A"/>
    <w:rsid w:val="007062EC"/>
    <w:rsid w:val="00706BE8"/>
    <w:rsid w:val="00706C5D"/>
    <w:rsid w:val="00706E9F"/>
    <w:rsid w:val="007122C9"/>
    <w:rsid w:val="00713AAD"/>
    <w:rsid w:val="00715604"/>
    <w:rsid w:val="00716159"/>
    <w:rsid w:val="0071638A"/>
    <w:rsid w:val="00722100"/>
    <w:rsid w:val="007221CA"/>
    <w:rsid w:val="00722202"/>
    <w:rsid w:val="0072408B"/>
    <w:rsid w:val="00727E2E"/>
    <w:rsid w:val="0073002F"/>
    <w:rsid w:val="00731474"/>
    <w:rsid w:val="00731495"/>
    <w:rsid w:val="00731AC7"/>
    <w:rsid w:val="00731AD5"/>
    <w:rsid w:val="0073225F"/>
    <w:rsid w:val="00732922"/>
    <w:rsid w:val="00733F77"/>
    <w:rsid w:val="0073467D"/>
    <w:rsid w:val="00734BD2"/>
    <w:rsid w:val="007353D7"/>
    <w:rsid w:val="007377A7"/>
    <w:rsid w:val="00742964"/>
    <w:rsid w:val="00742A78"/>
    <w:rsid w:val="00742D0C"/>
    <w:rsid w:val="00743522"/>
    <w:rsid w:val="007437F8"/>
    <w:rsid w:val="00744198"/>
    <w:rsid w:val="0075162E"/>
    <w:rsid w:val="00751DC8"/>
    <w:rsid w:val="00754034"/>
    <w:rsid w:val="00754987"/>
    <w:rsid w:val="007564B7"/>
    <w:rsid w:val="00756556"/>
    <w:rsid w:val="00756E19"/>
    <w:rsid w:val="0075725B"/>
    <w:rsid w:val="007600F8"/>
    <w:rsid w:val="007609C3"/>
    <w:rsid w:val="0076166E"/>
    <w:rsid w:val="007618C4"/>
    <w:rsid w:val="007635DD"/>
    <w:rsid w:val="007643C5"/>
    <w:rsid w:val="00764F6F"/>
    <w:rsid w:val="007655F8"/>
    <w:rsid w:val="0076603A"/>
    <w:rsid w:val="00767980"/>
    <w:rsid w:val="0077018E"/>
    <w:rsid w:val="0077031C"/>
    <w:rsid w:val="00770B19"/>
    <w:rsid w:val="00772A05"/>
    <w:rsid w:val="0077463F"/>
    <w:rsid w:val="00775FB2"/>
    <w:rsid w:val="00780839"/>
    <w:rsid w:val="007812DF"/>
    <w:rsid w:val="00782BDF"/>
    <w:rsid w:val="007833AA"/>
    <w:rsid w:val="00783463"/>
    <w:rsid w:val="007836EA"/>
    <w:rsid w:val="0078491B"/>
    <w:rsid w:val="00784C8F"/>
    <w:rsid w:val="00784CDA"/>
    <w:rsid w:val="00785743"/>
    <w:rsid w:val="00785920"/>
    <w:rsid w:val="00786200"/>
    <w:rsid w:val="007862A3"/>
    <w:rsid w:val="007866D4"/>
    <w:rsid w:val="00787D03"/>
    <w:rsid w:val="007903F9"/>
    <w:rsid w:val="007905D1"/>
    <w:rsid w:val="007906C4"/>
    <w:rsid w:val="00791678"/>
    <w:rsid w:val="00792251"/>
    <w:rsid w:val="007925ED"/>
    <w:rsid w:val="00793B72"/>
    <w:rsid w:val="007940EA"/>
    <w:rsid w:val="00794873"/>
    <w:rsid w:val="00794A46"/>
    <w:rsid w:val="00794C97"/>
    <w:rsid w:val="007951BA"/>
    <w:rsid w:val="007967E8"/>
    <w:rsid w:val="00797768"/>
    <w:rsid w:val="007A06A5"/>
    <w:rsid w:val="007A1913"/>
    <w:rsid w:val="007A1E87"/>
    <w:rsid w:val="007A2170"/>
    <w:rsid w:val="007A22BF"/>
    <w:rsid w:val="007A3323"/>
    <w:rsid w:val="007A55D1"/>
    <w:rsid w:val="007A5C06"/>
    <w:rsid w:val="007B1A2C"/>
    <w:rsid w:val="007B1AC3"/>
    <w:rsid w:val="007B4A21"/>
    <w:rsid w:val="007B70EC"/>
    <w:rsid w:val="007B72B8"/>
    <w:rsid w:val="007B754E"/>
    <w:rsid w:val="007B7A58"/>
    <w:rsid w:val="007B7B8A"/>
    <w:rsid w:val="007C0784"/>
    <w:rsid w:val="007C169B"/>
    <w:rsid w:val="007C1A0B"/>
    <w:rsid w:val="007C1C84"/>
    <w:rsid w:val="007C21B5"/>
    <w:rsid w:val="007C298A"/>
    <w:rsid w:val="007C2A58"/>
    <w:rsid w:val="007C3477"/>
    <w:rsid w:val="007C388C"/>
    <w:rsid w:val="007D0174"/>
    <w:rsid w:val="007D2B29"/>
    <w:rsid w:val="007D2B4F"/>
    <w:rsid w:val="007D450F"/>
    <w:rsid w:val="007D7953"/>
    <w:rsid w:val="007E098C"/>
    <w:rsid w:val="007E2035"/>
    <w:rsid w:val="007E4BD2"/>
    <w:rsid w:val="007E58B3"/>
    <w:rsid w:val="007E683B"/>
    <w:rsid w:val="007F1088"/>
    <w:rsid w:val="007F1F98"/>
    <w:rsid w:val="007F2ACF"/>
    <w:rsid w:val="007F3E14"/>
    <w:rsid w:val="007F4E9A"/>
    <w:rsid w:val="007F5169"/>
    <w:rsid w:val="007F53B0"/>
    <w:rsid w:val="007F56B3"/>
    <w:rsid w:val="008002EC"/>
    <w:rsid w:val="008008E7"/>
    <w:rsid w:val="00801393"/>
    <w:rsid w:val="00801494"/>
    <w:rsid w:val="00801FD1"/>
    <w:rsid w:val="00802F88"/>
    <w:rsid w:val="008031C9"/>
    <w:rsid w:val="0080422F"/>
    <w:rsid w:val="008043FA"/>
    <w:rsid w:val="00805FE5"/>
    <w:rsid w:val="00806C52"/>
    <w:rsid w:val="00807107"/>
    <w:rsid w:val="008109FB"/>
    <w:rsid w:val="0081293E"/>
    <w:rsid w:val="00815465"/>
    <w:rsid w:val="008167BD"/>
    <w:rsid w:val="00817DCD"/>
    <w:rsid w:val="00817E9A"/>
    <w:rsid w:val="008210FE"/>
    <w:rsid w:val="008225DD"/>
    <w:rsid w:val="00824BA9"/>
    <w:rsid w:val="00825FAA"/>
    <w:rsid w:val="008261A8"/>
    <w:rsid w:val="0082684B"/>
    <w:rsid w:val="00826D79"/>
    <w:rsid w:val="008306BD"/>
    <w:rsid w:val="008312BB"/>
    <w:rsid w:val="00831A80"/>
    <w:rsid w:val="00831D42"/>
    <w:rsid w:val="00832C73"/>
    <w:rsid w:val="00833743"/>
    <w:rsid w:val="008340A4"/>
    <w:rsid w:val="00834F2E"/>
    <w:rsid w:val="0083514D"/>
    <w:rsid w:val="00835D78"/>
    <w:rsid w:val="0083691F"/>
    <w:rsid w:val="008435CB"/>
    <w:rsid w:val="00844091"/>
    <w:rsid w:val="00844502"/>
    <w:rsid w:val="00844FA2"/>
    <w:rsid w:val="00845800"/>
    <w:rsid w:val="00846453"/>
    <w:rsid w:val="008470E4"/>
    <w:rsid w:val="008505CD"/>
    <w:rsid w:val="0085314B"/>
    <w:rsid w:val="0085471D"/>
    <w:rsid w:val="00854939"/>
    <w:rsid w:val="0085548D"/>
    <w:rsid w:val="00856715"/>
    <w:rsid w:val="00856C41"/>
    <w:rsid w:val="00856CA2"/>
    <w:rsid w:val="00857E5E"/>
    <w:rsid w:val="008603CD"/>
    <w:rsid w:val="00861173"/>
    <w:rsid w:val="008626C8"/>
    <w:rsid w:val="00863F15"/>
    <w:rsid w:val="0087135F"/>
    <w:rsid w:val="0087184F"/>
    <w:rsid w:val="008722BF"/>
    <w:rsid w:val="00872A3A"/>
    <w:rsid w:val="00872D94"/>
    <w:rsid w:val="008736B3"/>
    <w:rsid w:val="0087437F"/>
    <w:rsid w:val="00880364"/>
    <w:rsid w:val="00880467"/>
    <w:rsid w:val="00880E1A"/>
    <w:rsid w:val="00881412"/>
    <w:rsid w:val="008824EB"/>
    <w:rsid w:val="00882FC5"/>
    <w:rsid w:val="00883826"/>
    <w:rsid w:val="00883A83"/>
    <w:rsid w:val="00883DDC"/>
    <w:rsid w:val="00885B41"/>
    <w:rsid w:val="00885D98"/>
    <w:rsid w:val="008860A4"/>
    <w:rsid w:val="0088662D"/>
    <w:rsid w:val="00887925"/>
    <w:rsid w:val="00890111"/>
    <w:rsid w:val="008903CD"/>
    <w:rsid w:val="00890E0A"/>
    <w:rsid w:val="00891592"/>
    <w:rsid w:val="00891E9E"/>
    <w:rsid w:val="00891F00"/>
    <w:rsid w:val="00892AB3"/>
    <w:rsid w:val="00892BEC"/>
    <w:rsid w:val="00892EB2"/>
    <w:rsid w:val="00895181"/>
    <w:rsid w:val="00896875"/>
    <w:rsid w:val="008A24C2"/>
    <w:rsid w:val="008A2F68"/>
    <w:rsid w:val="008A467E"/>
    <w:rsid w:val="008A53E0"/>
    <w:rsid w:val="008A5984"/>
    <w:rsid w:val="008A716E"/>
    <w:rsid w:val="008A71B9"/>
    <w:rsid w:val="008B3FFA"/>
    <w:rsid w:val="008B4FA6"/>
    <w:rsid w:val="008B5282"/>
    <w:rsid w:val="008B7C17"/>
    <w:rsid w:val="008C0F75"/>
    <w:rsid w:val="008C1428"/>
    <w:rsid w:val="008C2D01"/>
    <w:rsid w:val="008C2F01"/>
    <w:rsid w:val="008C3FF5"/>
    <w:rsid w:val="008C40E6"/>
    <w:rsid w:val="008C4550"/>
    <w:rsid w:val="008C4A81"/>
    <w:rsid w:val="008C4FA7"/>
    <w:rsid w:val="008C65EB"/>
    <w:rsid w:val="008C69DB"/>
    <w:rsid w:val="008D0276"/>
    <w:rsid w:val="008D0F7A"/>
    <w:rsid w:val="008D2542"/>
    <w:rsid w:val="008D55BC"/>
    <w:rsid w:val="008D5E7D"/>
    <w:rsid w:val="008D66A1"/>
    <w:rsid w:val="008D68E4"/>
    <w:rsid w:val="008E0506"/>
    <w:rsid w:val="008E0925"/>
    <w:rsid w:val="008E0CFF"/>
    <w:rsid w:val="008E1489"/>
    <w:rsid w:val="008E2E18"/>
    <w:rsid w:val="008E3E61"/>
    <w:rsid w:val="008E51F1"/>
    <w:rsid w:val="008E52AC"/>
    <w:rsid w:val="008E5D6B"/>
    <w:rsid w:val="008E5E57"/>
    <w:rsid w:val="008E6019"/>
    <w:rsid w:val="008E6136"/>
    <w:rsid w:val="008E61F1"/>
    <w:rsid w:val="008E76F0"/>
    <w:rsid w:val="008F1451"/>
    <w:rsid w:val="008F149E"/>
    <w:rsid w:val="008F15FE"/>
    <w:rsid w:val="008F204E"/>
    <w:rsid w:val="008F244C"/>
    <w:rsid w:val="008F27C7"/>
    <w:rsid w:val="008F27FE"/>
    <w:rsid w:val="008F2D29"/>
    <w:rsid w:val="008F476D"/>
    <w:rsid w:val="008F5187"/>
    <w:rsid w:val="008F537C"/>
    <w:rsid w:val="008F60D8"/>
    <w:rsid w:val="008F6689"/>
    <w:rsid w:val="008F7D08"/>
    <w:rsid w:val="00900D4A"/>
    <w:rsid w:val="00901BB4"/>
    <w:rsid w:val="009024B2"/>
    <w:rsid w:val="00902727"/>
    <w:rsid w:val="0090312B"/>
    <w:rsid w:val="009047BA"/>
    <w:rsid w:val="0090545B"/>
    <w:rsid w:val="0090607D"/>
    <w:rsid w:val="00906386"/>
    <w:rsid w:val="009071B1"/>
    <w:rsid w:val="00910D13"/>
    <w:rsid w:val="00912F4B"/>
    <w:rsid w:val="0091421F"/>
    <w:rsid w:val="00914639"/>
    <w:rsid w:val="00914B21"/>
    <w:rsid w:val="00914C19"/>
    <w:rsid w:val="009152FA"/>
    <w:rsid w:val="009156BF"/>
    <w:rsid w:val="00916826"/>
    <w:rsid w:val="0091736D"/>
    <w:rsid w:val="00920F6F"/>
    <w:rsid w:val="009216D9"/>
    <w:rsid w:val="00922AC8"/>
    <w:rsid w:val="00922FA7"/>
    <w:rsid w:val="00923160"/>
    <w:rsid w:val="00924250"/>
    <w:rsid w:val="00924758"/>
    <w:rsid w:val="009254C2"/>
    <w:rsid w:val="009262E5"/>
    <w:rsid w:val="009270D0"/>
    <w:rsid w:val="0093025D"/>
    <w:rsid w:val="0093037A"/>
    <w:rsid w:val="009314AE"/>
    <w:rsid w:val="0093201C"/>
    <w:rsid w:val="009337DE"/>
    <w:rsid w:val="009349C0"/>
    <w:rsid w:val="00934C6A"/>
    <w:rsid w:val="009356AD"/>
    <w:rsid w:val="009373D9"/>
    <w:rsid w:val="0094154D"/>
    <w:rsid w:val="00942075"/>
    <w:rsid w:val="009420EA"/>
    <w:rsid w:val="009428A0"/>
    <w:rsid w:val="00942D63"/>
    <w:rsid w:val="00945349"/>
    <w:rsid w:val="00945F6F"/>
    <w:rsid w:val="00946B67"/>
    <w:rsid w:val="00947CAE"/>
    <w:rsid w:val="00951366"/>
    <w:rsid w:val="0095155F"/>
    <w:rsid w:val="00952486"/>
    <w:rsid w:val="009538EE"/>
    <w:rsid w:val="00954429"/>
    <w:rsid w:val="00955F79"/>
    <w:rsid w:val="00956089"/>
    <w:rsid w:val="009563CE"/>
    <w:rsid w:val="009605DC"/>
    <w:rsid w:val="009635D1"/>
    <w:rsid w:val="00964014"/>
    <w:rsid w:val="00964288"/>
    <w:rsid w:val="00964886"/>
    <w:rsid w:val="00966232"/>
    <w:rsid w:val="009676A5"/>
    <w:rsid w:val="00967AD4"/>
    <w:rsid w:val="00973C62"/>
    <w:rsid w:val="00976328"/>
    <w:rsid w:val="0097680D"/>
    <w:rsid w:val="009805DF"/>
    <w:rsid w:val="00981643"/>
    <w:rsid w:val="0098186F"/>
    <w:rsid w:val="00982438"/>
    <w:rsid w:val="00983DD5"/>
    <w:rsid w:val="00983DD9"/>
    <w:rsid w:val="0098404C"/>
    <w:rsid w:val="009848AA"/>
    <w:rsid w:val="009848E6"/>
    <w:rsid w:val="0098512C"/>
    <w:rsid w:val="00985283"/>
    <w:rsid w:val="00985E56"/>
    <w:rsid w:val="00986E34"/>
    <w:rsid w:val="0098757C"/>
    <w:rsid w:val="00987710"/>
    <w:rsid w:val="009902C6"/>
    <w:rsid w:val="00990354"/>
    <w:rsid w:val="009905F4"/>
    <w:rsid w:val="00991267"/>
    <w:rsid w:val="00991CCA"/>
    <w:rsid w:val="0099205A"/>
    <w:rsid w:val="00992712"/>
    <w:rsid w:val="00992DCA"/>
    <w:rsid w:val="00993C56"/>
    <w:rsid w:val="0099414A"/>
    <w:rsid w:val="00995992"/>
    <w:rsid w:val="00995EFB"/>
    <w:rsid w:val="00996993"/>
    <w:rsid w:val="009A03E5"/>
    <w:rsid w:val="009A0F3B"/>
    <w:rsid w:val="009A1BB4"/>
    <w:rsid w:val="009A2628"/>
    <w:rsid w:val="009A3200"/>
    <w:rsid w:val="009A345D"/>
    <w:rsid w:val="009A4D4B"/>
    <w:rsid w:val="009A641B"/>
    <w:rsid w:val="009B03AE"/>
    <w:rsid w:val="009B0897"/>
    <w:rsid w:val="009B0C57"/>
    <w:rsid w:val="009B1978"/>
    <w:rsid w:val="009B3BA9"/>
    <w:rsid w:val="009B46BF"/>
    <w:rsid w:val="009B46DC"/>
    <w:rsid w:val="009B59F0"/>
    <w:rsid w:val="009B5F48"/>
    <w:rsid w:val="009B7BD9"/>
    <w:rsid w:val="009C0086"/>
    <w:rsid w:val="009C0660"/>
    <w:rsid w:val="009C63D2"/>
    <w:rsid w:val="009C7DD5"/>
    <w:rsid w:val="009D0B1B"/>
    <w:rsid w:val="009D1831"/>
    <w:rsid w:val="009D190E"/>
    <w:rsid w:val="009D276B"/>
    <w:rsid w:val="009D2EAD"/>
    <w:rsid w:val="009D328A"/>
    <w:rsid w:val="009D4BAB"/>
    <w:rsid w:val="009D7193"/>
    <w:rsid w:val="009D7EAB"/>
    <w:rsid w:val="009E0370"/>
    <w:rsid w:val="009E227D"/>
    <w:rsid w:val="009E5019"/>
    <w:rsid w:val="009E5440"/>
    <w:rsid w:val="009E65A2"/>
    <w:rsid w:val="009E69DF"/>
    <w:rsid w:val="009E7EEC"/>
    <w:rsid w:val="009F20CA"/>
    <w:rsid w:val="009F279F"/>
    <w:rsid w:val="009F2B15"/>
    <w:rsid w:val="009F3328"/>
    <w:rsid w:val="009F6218"/>
    <w:rsid w:val="009F6D9A"/>
    <w:rsid w:val="009F6DE5"/>
    <w:rsid w:val="009F7A31"/>
    <w:rsid w:val="009F7D2A"/>
    <w:rsid w:val="00A00745"/>
    <w:rsid w:val="00A02312"/>
    <w:rsid w:val="00A028F9"/>
    <w:rsid w:val="00A03682"/>
    <w:rsid w:val="00A04F1B"/>
    <w:rsid w:val="00A0501B"/>
    <w:rsid w:val="00A05D48"/>
    <w:rsid w:val="00A10674"/>
    <w:rsid w:val="00A10FB8"/>
    <w:rsid w:val="00A126D2"/>
    <w:rsid w:val="00A129AB"/>
    <w:rsid w:val="00A13D72"/>
    <w:rsid w:val="00A14562"/>
    <w:rsid w:val="00A14947"/>
    <w:rsid w:val="00A160F9"/>
    <w:rsid w:val="00A162EC"/>
    <w:rsid w:val="00A16882"/>
    <w:rsid w:val="00A17998"/>
    <w:rsid w:val="00A17EE9"/>
    <w:rsid w:val="00A2049C"/>
    <w:rsid w:val="00A22CE3"/>
    <w:rsid w:val="00A22D84"/>
    <w:rsid w:val="00A23525"/>
    <w:rsid w:val="00A24508"/>
    <w:rsid w:val="00A24F5D"/>
    <w:rsid w:val="00A253D5"/>
    <w:rsid w:val="00A254EC"/>
    <w:rsid w:val="00A25A1F"/>
    <w:rsid w:val="00A2621A"/>
    <w:rsid w:val="00A26F37"/>
    <w:rsid w:val="00A3040A"/>
    <w:rsid w:val="00A30500"/>
    <w:rsid w:val="00A32A83"/>
    <w:rsid w:val="00A339C8"/>
    <w:rsid w:val="00A33DAD"/>
    <w:rsid w:val="00A352A4"/>
    <w:rsid w:val="00A35CBF"/>
    <w:rsid w:val="00A366DB"/>
    <w:rsid w:val="00A368DB"/>
    <w:rsid w:val="00A40B73"/>
    <w:rsid w:val="00A40FA8"/>
    <w:rsid w:val="00A412B2"/>
    <w:rsid w:val="00A423AA"/>
    <w:rsid w:val="00A4301F"/>
    <w:rsid w:val="00A44AC9"/>
    <w:rsid w:val="00A4728B"/>
    <w:rsid w:val="00A4774A"/>
    <w:rsid w:val="00A53EC6"/>
    <w:rsid w:val="00A5535F"/>
    <w:rsid w:val="00A55C0F"/>
    <w:rsid w:val="00A55F43"/>
    <w:rsid w:val="00A56198"/>
    <w:rsid w:val="00A57371"/>
    <w:rsid w:val="00A57434"/>
    <w:rsid w:val="00A57FAB"/>
    <w:rsid w:val="00A6229A"/>
    <w:rsid w:val="00A626FD"/>
    <w:rsid w:val="00A632E2"/>
    <w:rsid w:val="00A63D86"/>
    <w:rsid w:val="00A65D9E"/>
    <w:rsid w:val="00A660DB"/>
    <w:rsid w:val="00A74E5D"/>
    <w:rsid w:val="00A7700C"/>
    <w:rsid w:val="00A80809"/>
    <w:rsid w:val="00A80C68"/>
    <w:rsid w:val="00A82153"/>
    <w:rsid w:val="00A82D54"/>
    <w:rsid w:val="00A83941"/>
    <w:rsid w:val="00A84173"/>
    <w:rsid w:val="00A8713F"/>
    <w:rsid w:val="00A87CA0"/>
    <w:rsid w:val="00A909BC"/>
    <w:rsid w:val="00A909BD"/>
    <w:rsid w:val="00A90BA1"/>
    <w:rsid w:val="00A914F4"/>
    <w:rsid w:val="00A91B52"/>
    <w:rsid w:val="00A92E5D"/>
    <w:rsid w:val="00A940F0"/>
    <w:rsid w:val="00A95DFE"/>
    <w:rsid w:val="00A96F70"/>
    <w:rsid w:val="00A9746C"/>
    <w:rsid w:val="00A97A9A"/>
    <w:rsid w:val="00AA0671"/>
    <w:rsid w:val="00AA1B51"/>
    <w:rsid w:val="00AA1E2A"/>
    <w:rsid w:val="00AA2531"/>
    <w:rsid w:val="00AA3838"/>
    <w:rsid w:val="00AA3C00"/>
    <w:rsid w:val="00AA4858"/>
    <w:rsid w:val="00AA5E87"/>
    <w:rsid w:val="00AA68A3"/>
    <w:rsid w:val="00AA750D"/>
    <w:rsid w:val="00AB187D"/>
    <w:rsid w:val="00AB1E09"/>
    <w:rsid w:val="00AB4856"/>
    <w:rsid w:val="00AB5043"/>
    <w:rsid w:val="00AB5330"/>
    <w:rsid w:val="00AB6971"/>
    <w:rsid w:val="00AB6EC7"/>
    <w:rsid w:val="00AB7747"/>
    <w:rsid w:val="00AC14CE"/>
    <w:rsid w:val="00AC2A56"/>
    <w:rsid w:val="00AC3215"/>
    <w:rsid w:val="00AC6C1B"/>
    <w:rsid w:val="00AC7155"/>
    <w:rsid w:val="00AC7D83"/>
    <w:rsid w:val="00AD055E"/>
    <w:rsid w:val="00AD0AA7"/>
    <w:rsid w:val="00AD15E9"/>
    <w:rsid w:val="00AD1DCB"/>
    <w:rsid w:val="00AD22AF"/>
    <w:rsid w:val="00AD2722"/>
    <w:rsid w:val="00AD2B79"/>
    <w:rsid w:val="00AD454E"/>
    <w:rsid w:val="00AD45B6"/>
    <w:rsid w:val="00AD47A7"/>
    <w:rsid w:val="00AD4ACB"/>
    <w:rsid w:val="00AD54EF"/>
    <w:rsid w:val="00AD6C21"/>
    <w:rsid w:val="00AD703E"/>
    <w:rsid w:val="00AD7C74"/>
    <w:rsid w:val="00AE0555"/>
    <w:rsid w:val="00AE1DC4"/>
    <w:rsid w:val="00AE27E6"/>
    <w:rsid w:val="00AE27EE"/>
    <w:rsid w:val="00AE463E"/>
    <w:rsid w:val="00AE46E0"/>
    <w:rsid w:val="00AE4735"/>
    <w:rsid w:val="00AE5CFF"/>
    <w:rsid w:val="00AE6240"/>
    <w:rsid w:val="00AF01A3"/>
    <w:rsid w:val="00AF08FC"/>
    <w:rsid w:val="00AF0BCE"/>
    <w:rsid w:val="00AF0CBF"/>
    <w:rsid w:val="00AF1B62"/>
    <w:rsid w:val="00AF257F"/>
    <w:rsid w:val="00AF2934"/>
    <w:rsid w:val="00AF2C17"/>
    <w:rsid w:val="00AF303A"/>
    <w:rsid w:val="00AF33CF"/>
    <w:rsid w:val="00AF3A86"/>
    <w:rsid w:val="00AF3AE4"/>
    <w:rsid w:val="00AF4D50"/>
    <w:rsid w:val="00AF5F58"/>
    <w:rsid w:val="00AF6179"/>
    <w:rsid w:val="00AF62F3"/>
    <w:rsid w:val="00AF781D"/>
    <w:rsid w:val="00B003FB"/>
    <w:rsid w:val="00B0051F"/>
    <w:rsid w:val="00B03E5D"/>
    <w:rsid w:val="00B062E5"/>
    <w:rsid w:val="00B06FA4"/>
    <w:rsid w:val="00B109E5"/>
    <w:rsid w:val="00B10D0C"/>
    <w:rsid w:val="00B126BC"/>
    <w:rsid w:val="00B1295A"/>
    <w:rsid w:val="00B129E6"/>
    <w:rsid w:val="00B13E65"/>
    <w:rsid w:val="00B14348"/>
    <w:rsid w:val="00B15411"/>
    <w:rsid w:val="00B16727"/>
    <w:rsid w:val="00B20A45"/>
    <w:rsid w:val="00B22B37"/>
    <w:rsid w:val="00B22C5C"/>
    <w:rsid w:val="00B23B35"/>
    <w:rsid w:val="00B243EC"/>
    <w:rsid w:val="00B24F30"/>
    <w:rsid w:val="00B2543C"/>
    <w:rsid w:val="00B25B32"/>
    <w:rsid w:val="00B25B7C"/>
    <w:rsid w:val="00B26F03"/>
    <w:rsid w:val="00B30F71"/>
    <w:rsid w:val="00B31853"/>
    <w:rsid w:val="00B31ABF"/>
    <w:rsid w:val="00B338F1"/>
    <w:rsid w:val="00B33BE3"/>
    <w:rsid w:val="00B34FC0"/>
    <w:rsid w:val="00B3508B"/>
    <w:rsid w:val="00B421A6"/>
    <w:rsid w:val="00B43873"/>
    <w:rsid w:val="00B46332"/>
    <w:rsid w:val="00B46481"/>
    <w:rsid w:val="00B511FA"/>
    <w:rsid w:val="00B52679"/>
    <w:rsid w:val="00B53B5D"/>
    <w:rsid w:val="00B547E2"/>
    <w:rsid w:val="00B54AAB"/>
    <w:rsid w:val="00B57072"/>
    <w:rsid w:val="00B57246"/>
    <w:rsid w:val="00B6055E"/>
    <w:rsid w:val="00B60B7D"/>
    <w:rsid w:val="00B62760"/>
    <w:rsid w:val="00B62C5C"/>
    <w:rsid w:val="00B63115"/>
    <w:rsid w:val="00B6314D"/>
    <w:rsid w:val="00B6317D"/>
    <w:rsid w:val="00B63965"/>
    <w:rsid w:val="00B64326"/>
    <w:rsid w:val="00B669C5"/>
    <w:rsid w:val="00B67497"/>
    <w:rsid w:val="00B71E98"/>
    <w:rsid w:val="00B76DB8"/>
    <w:rsid w:val="00B7723F"/>
    <w:rsid w:val="00B80534"/>
    <w:rsid w:val="00B812A6"/>
    <w:rsid w:val="00B82A91"/>
    <w:rsid w:val="00B8433C"/>
    <w:rsid w:val="00B87491"/>
    <w:rsid w:val="00B94A65"/>
    <w:rsid w:val="00B96577"/>
    <w:rsid w:val="00B966CE"/>
    <w:rsid w:val="00B96CB2"/>
    <w:rsid w:val="00B970A4"/>
    <w:rsid w:val="00BA065C"/>
    <w:rsid w:val="00BA29E9"/>
    <w:rsid w:val="00BA36D1"/>
    <w:rsid w:val="00BA6A1D"/>
    <w:rsid w:val="00BA7123"/>
    <w:rsid w:val="00BA7142"/>
    <w:rsid w:val="00BA7445"/>
    <w:rsid w:val="00BB2269"/>
    <w:rsid w:val="00BB237C"/>
    <w:rsid w:val="00BB3B98"/>
    <w:rsid w:val="00BB41A3"/>
    <w:rsid w:val="00BB4F63"/>
    <w:rsid w:val="00BB60DE"/>
    <w:rsid w:val="00BB728B"/>
    <w:rsid w:val="00BC1197"/>
    <w:rsid w:val="00BC2A45"/>
    <w:rsid w:val="00BC32DC"/>
    <w:rsid w:val="00BC35B6"/>
    <w:rsid w:val="00BC44B3"/>
    <w:rsid w:val="00BC471E"/>
    <w:rsid w:val="00BC48EF"/>
    <w:rsid w:val="00BC6F7F"/>
    <w:rsid w:val="00BC7F49"/>
    <w:rsid w:val="00BD1B51"/>
    <w:rsid w:val="00BD4596"/>
    <w:rsid w:val="00BD470F"/>
    <w:rsid w:val="00BD5661"/>
    <w:rsid w:val="00BD5797"/>
    <w:rsid w:val="00BD5DA8"/>
    <w:rsid w:val="00BD606F"/>
    <w:rsid w:val="00BD671B"/>
    <w:rsid w:val="00BD6A69"/>
    <w:rsid w:val="00BE0454"/>
    <w:rsid w:val="00BE1405"/>
    <w:rsid w:val="00BE1ED8"/>
    <w:rsid w:val="00BE22C3"/>
    <w:rsid w:val="00BE312D"/>
    <w:rsid w:val="00BE384A"/>
    <w:rsid w:val="00BE47BD"/>
    <w:rsid w:val="00BE5BCA"/>
    <w:rsid w:val="00BE7077"/>
    <w:rsid w:val="00BF0D1F"/>
    <w:rsid w:val="00BF1C20"/>
    <w:rsid w:val="00BF28F7"/>
    <w:rsid w:val="00BF29E6"/>
    <w:rsid w:val="00BF2BDF"/>
    <w:rsid w:val="00BF31D2"/>
    <w:rsid w:val="00BF426C"/>
    <w:rsid w:val="00BF48E1"/>
    <w:rsid w:val="00BF4A0F"/>
    <w:rsid w:val="00BF512F"/>
    <w:rsid w:val="00BF76AD"/>
    <w:rsid w:val="00BF7A00"/>
    <w:rsid w:val="00C000BC"/>
    <w:rsid w:val="00C006FA"/>
    <w:rsid w:val="00C0174E"/>
    <w:rsid w:val="00C033AB"/>
    <w:rsid w:val="00C04B5A"/>
    <w:rsid w:val="00C057EE"/>
    <w:rsid w:val="00C10578"/>
    <w:rsid w:val="00C10692"/>
    <w:rsid w:val="00C111A0"/>
    <w:rsid w:val="00C11B43"/>
    <w:rsid w:val="00C12E8A"/>
    <w:rsid w:val="00C135A5"/>
    <w:rsid w:val="00C135BC"/>
    <w:rsid w:val="00C136A4"/>
    <w:rsid w:val="00C13F8E"/>
    <w:rsid w:val="00C14673"/>
    <w:rsid w:val="00C15C95"/>
    <w:rsid w:val="00C17EBE"/>
    <w:rsid w:val="00C214E1"/>
    <w:rsid w:val="00C22A58"/>
    <w:rsid w:val="00C23851"/>
    <w:rsid w:val="00C244B0"/>
    <w:rsid w:val="00C24FE7"/>
    <w:rsid w:val="00C25895"/>
    <w:rsid w:val="00C2596A"/>
    <w:rsid w:val="00C26B99"/>
    <w:rsid w:val="00C27537"/>
    <w:rsid w:val="00C2777F"/>
    <w:rsid w:val="00C328FE"/>
    <w:rsid w:val="00C33507"/>
    <w:rsid w:val="00C358F2"/>
    <w:rsid w:val="00C36BA7"/>
    <w:rsid w:val="00C40D24"/>
    <w:rsid w:val="00C40DDD"/>
    <w:rsid w:val="00C419FD"/>
    <w:rsid w:val="00C42E76"/>
    <w:rsid w:val="00C430C1"/>
    <w:rsid w:val="00C4409D"/>
    <w:rsid w:val="00C44116"/>
    <w:rsid w:val="00C44E72"/>
    <w:rsid w:val="00C45A06"/>
    <w:rsid w:val="00C45C59"/>
    <w:rsid w:val="00C473C4"/>
    <w:rsid w:val="00C47E5B"/>
    <w:rsid w:val="00C5045D"/>
    <w:rsid w:val="00C51BD6"/>
    <w:rsid w:val="00C5281C"/>
    <w:rsid w:val="00C529A9"/>
    <w:rsid w:val="00C56CD7"/>
    <w:rsid w:val="00C60424"/>
    <w:rsid w:val="00C60468"/>
    <w:rsid w:val="00C6071B"/>
    <w:rsid w:val="00C61E4B"/>
    <w:rsid w:val="00C64BFF"/>
    <w:rsid w:val="00C65781"/>
    <w:rsid w:val="00C660C2"/>
    <w:rsid w:val="00C67BAE"/>
    <w:rsid w:val="00C704E9"/>
    <w:rsid w:val="00C70DE2"/>
    <w:rsid w:val="00C719A7"/>
    <w:rsid w:val="00C71B84"/>
    <w:rsid w:val="00C72CBB"/>
    <w:rsid w:val="00C73005"/>
    <w:rsid w:val="00C73D5D"/>
    <w:rsid w:val="00C74800"/>
    <w:rsid w:val="00C763C9"/>
    <w:rsid w:val="00C76545"/>
    <w:rsid w:val="00C76F09"/>
    <w:rsid w:val="00C7737F"/>
    <w:rsid w:val="00C7786F"/>
    <w:rsid w:val="00C80057"/>
    <w:rsid w:val="00C80095"/>
    <w:rsid w:val="00C80F16"/>
    <w:rsid w:val="00C8177C"/>
    <w:rsid w:val="00C82232"/>
    <w:rsid w:val="00C82913"/>
    <w:rsid w:val="00C82A51"/>
    <w:rsid w:val="00C82CF9"/>
    <w:rsid w:val="00C84189"/>
    <w:rsid w:val="00C85802"/>
    <w:rsid w:val="00C85DF7"/>
    <w:rsid w:val="00C864F4"/>
    <w:rsid w:val="00C867A7"/>
    <w:rsid w:val="00C87211"/>
    <w:rsid w:val="00C87B25"/>
    <w:rsid w:val="00C905BC"/>
    <w:rsid w:val="00C91978"/>
    <w:rsid w:val="00C9197A"/>
    <w:rsid w:val="00C94838"/>
    <w:rsid w:val="00C95486"/>
    <w:rsid w:val="00C95DAD"/>
    <w:rsid w:val="00C972B1"/>
    <w:rsid w:val="00CA0346"/>
    <w:rsid w:val="00CA1BFD"/>
    <w:rsid w:val="00CA2CCE"/>
    <w:rsid w:val="00CA3202"/>
    <w:rsid w:val="00CA43FD"/>
    <w:rsid w:val="00CA57DC"/>
    <w:rsid w:val="00CA6F4C"/>
    <w:rsid w:val="00CA7328"/>
    <w:rsid w:val="00CA7EF8"/>
    <w:rsid w:val="00CB2454"/>
    <w:rsid w:val="00CB481F"/>
    <w:rsid w:val="00CB48AA"/>
    <w:rsid w:val="00CB7269"/>
    <w:rsid w:val="00CB72E2"/>
    <w:rsid w:val="00CB798B"/>
    <w:rsid w:val="00CC0DB7"/>
    <w:rsid w:val="00CC2199"/>
    <w:rsid w:val="00CC3669"/>
    <w:rsid w:val="00CC3898"/>
    <w:rsid w:val="00CC4372"/>
    <w:rsid w:val="00CC47F1"/>
    <w:rsid w:val="00CC489B"/>
    <w:rsid w:val="00CC56DC"/>
    <w:rsid w:val="00CD2BCD"/>
    <w:rsid w:val="00CD3A4C"/>
    <w:rsid w:val="00CD3EBE"/>
    <w:rsid w:val="00CD3F89"/>
    <w:rsid w:val="00CD3F8D"/>
    <w:rsid w:val="00CD48AA"/>
    <w:rsid w:val="00CD602C"/>
    <w:rsid w:val="00CE10E9"/>
    <w:rsid w:val="00CE2060"/>
    <w:rsid w:val="00CE2178"/>
    <w:rsid w:val="00CE2910"/>
    <w:rsid w:val="00CE29CE"/>
    <w:rsid w:val="00CE2C41"/>
    <w:rsid w:val="00CE3E2B"/>
    <w:rsid w:val="00CE444C"/>
    <w:rsid w:val="00CE5393"/>
    <w:rsid w:val="00CE616C"/>
    <w:rsid w:val="00CE6E0F"/>
    <w:rsid w:val="00CE7304"/>
    <w:rsid w:val="00CE768F"/>
    <w:rsid w:val="00CF091A"/>
    <w:rsid w:val="00CF0B05"/>
    <w:rsid w:val="00CF10F0"/>
    <w:rsid w:val="00CF13A3"/>
    <w:rsid w:val="00CF32D7"/>
    <w:rsid w:val="00CF36BE"/>
    <w:rsid w:val="00CF6000"/>
    <w:rsid w:val="00CF6405"/>
    <w:rsid w:val="00CF7758"/>
    <w:rsid w:val="00D003F3"/>
    <w:rsid w:val="00D00893"/>
    <w:rsid w:val="00D018E0"/>
    <w:rsid w:val="00D01D8A"/>
    <w:rsid w:val="00D0292F"/>
    <w:rsid w:val="00D02980"/>
    <w:rsid w:val="00D0364F"/>
    <w:rsid w:val="00D05E84"/>
    <w:rsid w:val="00D05EE3"/>
    <w:rsid w:val="00D06834"/>
    <w:rsid w:val="00D072B0"/>
    <w:rsid w:val="00D07D3C"/>
    <w:rsid w:val="00D07FC9"/>
    <w:rsid w:val="00D11377"/>
    <w:rsid w:val="00D125F4"/>
    <w:rsid w:val="00D12EDA"/>
    <w:rsid w:val="00D14463"/>
    <w:rsid w:val="00D1726F"/>
    <w:rsid w:val="00D17E7D"/>
    <w:rsid w:val="00D20072"/>
    <w:rsid w:val="00D2028A"/>
    <w:rsid w:val="00D20F26"/>
    <w:rsid w:val="00D21B24"/>
    <w:rsid w:val="00D2317E"/>
    <w:rsid w:val="00D23482"/>
    <w:rsid w:val="00D2353B"/>
    <w:rsid w:val="00D24C9E"/>
    <w:rsid w:val="00D25094"/>
    <w:rsid w:val="00D25153"/>
    <w:rsid w:val="00D308ED"/>
    <w:rsid w:val="00D31823"/>
    <w:rsid w:val="00D326AF"/>
    <w:rsid w:val="00D33B01"/>
    <w:rsid w:val="00D34045"/>
    <w:rsid w:val="00D36B5B"/>
    <w:rsid w:val="00D36D86"/>
    <w:rsid w:val="00D40AB1"/>
    <w:rsid w:val="00D4264D"/>
    <w:rsid w:val="00D428AA"/>
    <w:rsid w:val="00D45E3B"/>
    <w:rsid w:val="00D47DDE"/>
    <w:rsid w:val="00D50A34"/>
    <w:rsid w:val="00D522EB"/>
    <w:rsid w:val="00D5289B"/>
    <w:rsid w:val="00D53539"/>
    <w:rsid w:val="00D53EFA"/>
    <w:rsid w:val="00D5505D"/>
    <w:rsid w:val="00D55406"/>
    <w:rsid w:val="00D6087C"/>
    <w:rsid w:val="00D60FF4"/>
    <w:rsid w:val="00D63A88"/>
    <w:rsid w:val="00D63ABB"/>
    <w:rsid w:val="00D6586F"/>
    <w:rsid w:val="00D65A35"/>
    <w:rsid w:val="00D65CCC"/>
    <w:rsid w:val="00D66900"/>
    <w:rsid w:val="00D6735F"/>
    <w:rsid w:val="00D71A23"/>
    <w:rsid w:val="00D72B74"/>
    <w:rsid w:val="00D72E11"/>
    <w:rsid w:val="00D73560"/>
    <w:rsid w:val="00D76672"/>
    <w:rsid w:val="00D81BE1"/>
    <w:rsid w:val="00D83228"/>
    <w:rsid w:val="00D84121"/>
    <w:rsid w:val="00D841EB"/>
    <w:rsid w:val="00D8434A"/>
    <w:rsid w:val="00D845D0"/>
    <w:rsid w:val="00D84A60"/>
    <w:rsid w:val="00D84CF1"/>
    <w:rsid w:val="00D84D87"/>
    <w:rsid w:val="00D84F37"/>
    <w:rsid w:val="00D85731"/>
    <w:rsid w:val="00D86249"/>
    <w:rsid w:val="00D864AF"/>
    <w:rsid w:val="00D86F4B"/>
    <w:rsid w:val="00D870A9"/>
    <w:rsid w:val="00D87104"/>
    <w:rsid w:val="00D87642"/>
    <w:rsid w:val="00D8781F"/>
    <w:rsid w:val="00D90721"/>
    <w:rsid w:val="00D9183D"/>
    <w:rsid w:val="00D919CF"/>
    <w:rsid w:val="00D9238B"/>
    <w:rsid w:val="00D9262F"/>
    <w:rsid w:val="00D929E9"/>
    <w:rsid w:val="00D9474C"/>
    <w:rsid w:val="00D94A7C"/>
    <w:rsid w:val="00D95896"/>
    <w:rsid w:val="00DA09DA"/>
    <w:rsid w:val="00DA3481"/>
    <w:rsid w:val="00DA3A32"/>
    <w:rsid w:val="00DA3D2C"/>
    <w:rsid w:val="00DA5700"/>
    <w:rsid w:val="00DA7DD5"/>
    <w:rsid w:val="00DB0E0E"/>
    <w:rsid w:val="00DB2983"/>
    <w:rsid w:val="00DB2F06"/>
    <w:rsid w:val="00DB550F"/>
    <w:rsid w:val="00DB70D9"/>
    <w:rsid w:val="00DC0F88"/>
    <w:rsid w:val="00DC1257"/>
    <w:rsid w:val="00DC234F"/>
    <w:rsid w:val="00DC3DC0"/>
    <w:rsid w:val="00DC41EB"/>
    <w:rsid w:val="00DC5B2B"/>
    <w:rsid w:val="00DC5E73"/>
    <w:rsid w:val="00DD22D7"/>
    <w:rsid w:val="00DD2C0A"/>
    <w:rsid w:val="00DD2E75"/>
    <w:rsid w:val="00DD318D"/>
    <w:rsid w:val="00DD6837"/>
    <w:rsid w:val="00DD6BC0"/>
    <w:rsid w:val="00DD6BD4"/>
    <w:rsid w:val="00DD755E"/>
    <w:rsid w:val="00DD791F"/>
    <w:rsid w:val="00DE0C7F"/>
    <w:rsid w:val="00DE20E7"/>
    <w:rsid w:val="00DE3C02"/>
    <w:rsid w:val="00DE4388"/>
    <w:rsid w:val="00DE4490"/>
    <w:rsid w:val="00DE468A"/>
    <w:rsid w:val="00DE54DF"/>
    <w:rsid w:val="00DE62C0"/>
    <w:rsid w:val="00DE69FF"/>
    <w:rsid w:val="00DE71E2"/>
    <w:rsid w:val="00DE7DC9"/>
    <w:rsid w:val="00DF01C0"/>
    <w:rsid w:val="00DF1F58"/>
    <w:rsid w:val="00DF2328"/>
    <w:rsid w:val="00DF2C84"/>
    <w:rsid w:val="00DF2E12"/>
    <w:rsid w:val="00DF3F47"/>
    <w:rsid w:val="00DF4648"/>
    <w:rsid w:val="00DF514A"/>
    <w:rsid w:val="00DF62AE"/>
    <w:rsid w:val="00DF6690"/>
    <w:rsid w:val="00DF6804"/>
    <w:rsid w:val="00DF6CFF"/>
    <w:rsid w:val="00DF7337"/>
    <w:rsid w:val="00DF7425"/>
    <w:rsid w:val="00E00952"/>
    <w:rsid w:val="00E009E6"/>
    <w:rsid w:val="00E03180"/>
    <w:rsid w:val="00E0358D"/>
    <w:rsid w:val="00E03EFA"/>
    <w:rsid w:val="00E04323"/>
    <w:rsid w:val="00E049DE"/>
    <w:rsid w:val="00E059B3"/>
    <w:rsid w:val="00E06FC3"/>
    <w:rsid w:val="00E070A2"/>
    <w:rsid w:val="00E071BF"/>
    <w:rsid w:val="00E075B0"/>
    <w:rsid w:val="00E07819"/>
    <w:rsid w:val="00E10972"/>
    <w:rsid w:val="00E10DBC"/>
    <w:rsid w:val="00E11692"/>
    <w:rsid w:val="00E116AB"/>
    <w:rsid w:val="00E12CB1"/>
    <w:rsid w:val="00E13189"/>
    <w:rsid w:val="00E133A5"/>
    <w:rsid w:val="00E14BCB"/>
    <w:rsid w:val="00E15234"/>
    <w:rsid w:val="00E15840"/>
    <w:rsid w:val="00E15984"/>
    <w:rsid w:val="00E15E81"/>
    <w:rsid w:val="00E15F33"/>
    <w:rsid w:val="00E1650D"/>
    <w:rsid w:val="00E17B68"/>
    <w:rsid w:val="00E202B3"/>
    <w:rsid w:val="00E20E96"/>
    <w:rsid w:val="00E246BE"/>
    <w:rsid w:val="00E2651D"/>
    <w:rsid w:val="00E2656A"/>
    <w:rsid w:val="00E3128B"/>
    <w:rsid w:val="00E312E9"/>
    <w:rsid w:val="00E323F0"/>
    <w:rsid w:val="00E324E4"/>
    <w:rsid w:val="00E33BEA"/>
    <w:rsid w:val="00E34ED6"/>
    <w:rsid w:val="00E3751C"/>
    <w:rsid w:val="00E37A8D"/>
    <w:rsid w:val="00E412D0"/>
    <w:rsid w:val="00E42EBE"/>
    <w:rsid w:val="00E45554"/>
    <w:rsid w:val="00E47D27"/>
    <w:rsid w:val="00E5089F"/>
    <w:rsid w:val="00E50918"/>
    <w:rsid w:val="00E51647"/>
    <w:rsid w:val="00E5329A"/>
    <w:rsid w:val="00E538E3"/>
    <w:rsid w:val="00E54AE6"/>
    <w:rsid w:val="00E54D6E"/>
    <w:rsid w:val="00E55872"/>
    <w:rsid w:val="00E56322"/>
    <w:rsid w:val="00E60982"/>
    <w:rsid w:val="00E610AE"/>
    <w:rsid w:val="00E61DBC"/>
    <w:rsid w:val="00E62C62"/>
    <w:rsid w:val="00E63B13"/>
    <w:rsid w:val="00E65088"/>
    <w:rsid w:val="00E654C1"/>
    <w:rsid w:val="00E65D97"/>
    <w:rsid w:val="00E71BFA"/>
    <w:rsid w:val="00E72A5A"/>
    <w:rsid w:val="00E73354"/>
    <w:rsid w:val="00E73902"/>
    <w:rsid w:val="00E76087"/>
    <w:rsid w:val="00E81533"/>
    <w:rsid w:val="00E84967"/>
    <w:rsid w:val="00E86175"/>
    <w:rsid w:val="00E90DD8"/>
    <w:rsid w:val="00E913B6"/>
    <w:rsid w:val="00E9242D"/>
    <w:rsid w:val="00E92534"/>
    <w:rsid w:val="00E927AE"/>
    <w:rsid w:val="00E92FC2"/>
    <w:rsid w:val="00E9653A"/>
    <w:rsid w:val="00E965F8"/>
    <w:rsid w:val="00EA0F73"/>
    <w:rsid w:val="00EA152E"/>
    <w:rsid w:val="00EA2D84"/>
    <w:rsid w:val="00EA2F91"/>
    <w:rsid w:val="00EA35DD"/>
    <w:rsid w:val="00EA50C6"/>
    <w:rsid w:val="00EA561F"/>
    <w:rsid w:val="00EA5CD9"/>
    <w:rsid w:val="00EA6BE1"/>
    <w:rsid w:val="00EA74A3"/>
    <w:rsid w:val="00EB1A0C"/>
    <w:rsid w:val="00EB3DB0"/>
    <w:rsid w:val="00EB3F23"/>
    <w:rsid w:val="00EB4346"/>
    <w:rsid w:val="00EB4E8F"/>
    <w:rsid w:val="00EB5255"/>
    <w:rsid w:val="00EB5937"/>
    <w:rsid w:val="00EB5C47"/>
    <w:rsid w:val="00EB6FB3"/>
    <w:rsid w:val="00EB7073"/>
    <w:rsid w:val="00EC1D01"/>
    <w:rsid w:val="00EC1E2B"/>
    <w:rsid w:val="00EC2772"/>
    <w:rsid w:val="00EC5F85"/>
    <w:rsid w:val="00EC7018"/>
    <w:rsid w:val="00ED0639"/>
    <w:rsid w:val="00ED220E"/>
    <w:rsid w:val="00ED3C2F"/>
    <w:rsid w:val="00ED5CF3"/>
    <w:rsid w:val="00ED67F6"/>
    <w:rsid w:val="00ED75B0"/>
    <w:rsid w:val="00EE1289"/>
    <w:rsid w:val="00EE19CD"/>
    <w:rsid w:val="00EE234C"/>
    <w:rsid w:val="00EE3AC4"/>
    <w:rsid w:val="00EE3AD6"/>
    <w:rsid w:val="00EE4B63"/>
    <w:rsid w:val="00EE6830"/>
    <w:rsid w:val="00EF0B29"/>
    <w:rsid w:val="00EF0C7A"/>
    <w:rsid w:val="00EF3106"/>
    <w:rsid w:val="00EF40FE"/>
    <w:rsid w:val="00EF4755"/>
    <w:rsid w:val="00EF55D9"/>
    <w:rsid w:val="00EF5BC3"/>
    <w:rsid w:val="00EF63FB"/>
    <w:rsid w:val="00EF7135"/>
    <w:rsid w:val="00F00AD2"/>
    <w:rsid w:val="00F00E55"/>
    <w:rsid w:val="00F01287"/>
    <w:rsid w:val="00F027DB"/>
    <w:rsid w:val="00F03EAF"/>
    <w:rsid w:val="00F04E25"/>
    <w:rsid w:val="00F05375"/>
    <w:rsid w:val="00F111B7"/>
    <w:rsid w:val="00F14A7A"/>
    <w:rsid w:val="00F150C1"/>
    <w:rsid w:val="00F1525D"/>
    <w:rsid w:val="00F162A8"/>
    <w:rsid w:val="00F169DA"/>
    <w:rsid w:val="00F1733F"/>
    <w:rsid w:val="00F174CF"/>
    <w:rsid w:val="00F17690"/>
    <w:rsid w:val="00F2053A"/>
    <w:rsid w:val="00F21C29"/>
    <w:rsid w:val="00F22985"/>
    <w:rsid w:val="00F30588"/>
    <w:rsid w:val="00F3179D"/>
    <w:rsid w:val="00F332D8"/>
    <w:rsid w:val="00F336EF"/>
    <w:rsid w:val="00F3383E"/>
    <w:rsid w:val="00F342B1"/>
    <w:rsid w:val="00F35427"/>
    <w:rsid w:val="00F35482"/>
    <w:rsid w:val="00F373C1"/>
    <w:rsid w:val="00F37417"/>
    <w:rsid w:val="00F375B7"/>
    <w:rsid w:val="00F40449"/>
    <w:rsid w:val="00F41D85"/>
    <w:rsid w:val="00F42692"/>
    <w:rsid w:val="00F45B7B"/>
    <w:rsid w:val="00F465A7"/>
    <w:rsid w:val="00F47096"/>
    <w:rsid w:val="00F477BE"/>
    <w:rsid w:val="00F47958"/>
    <w:rsid w:val="00F47A94"/>
    <w:rsid w:val="00F50B7C"/>
    <w:rsid w:val="00F50D32"/>
    <w:rsid w:val="00F51FFD"/>
    <w:rsid w:val="00F5206B"/>
    <w:rsid w:val="00F527C0"/>
    <w:rsid w:val="00F54914"/>
    <w:rsid w:val="00F55057"/>
    <w:rsid w:val="00F550E6"/>
    <w:rsid w:val="00F554A3"/>
    <w:rsid w:val="00F567DC"/>
    <w:rsid w:val="00F60F7D"/>
    <w:rsid w:val="00F60F84"/>
    <w:rsid w:val="00F61B53"/>
    <w:rsid w:val="00F642DA"/>
    <w:rsid w:val="00F64676"/>
    <w:rsid w:val="00F64A24"/>
    <w:rsid w:val="00F6600E"/>
    <w:rsid w:val="00F660E4"/>
    <w:rsid w:val="00F66B1B"/>
    <w:rsid w:val="00F66D8C"/>
    <w:rsid w:val="00F671A6"/>
    <w:rsid w:val="00F67925"/>
    <w:rsid w:val="00F7045A"/>
    <w:rsid w:val="00F72C77"/>
    <w:rsid w:val="00F72E13"/>
    <w:rsid w:val="00F730FD"/>
    <w:rsid w:val="00F73EF3"/>
    <w:rsid w:val="00F74345"/>
    <w:rsid w:val="00F8096A"/>
    <w:rsid w:val="00F80A0A"/>
    <w:rsid w:val="00F819BF"/>
    <w:rsid w:val="00F81CB9"/>
    <w:rsid w:val="00F82B19"/>
    <w:rsid w:val="00F82FA6"/>
    <w:rsid w:val="00F84273"/>
    <w:rsid w:val="00F84560"/>
    <w:rsid w:val="00F84603"/>
    <w:rsid w:val="00F8640B"/>
    <w:rsid w:val="00F87C3A"/>
    <w:rsid w:val="00F87F9C"/>
    <w:rsid w:val="00F90DAD"/>
    <w:rsid w:val="00F90FF5"/>
    <w:rsid w:val="00F92008"/>
    <w:rsid w:val="00F9212D"/>
    <w:rsid w:val="00F9227F"/>
    <w:rsid w:val="00F92EF0"/>
    <w:rsid w:val="00F93369"/>
    <w:rsid w:val="00F953AC"/>
    <w:rsid w:val="00F962E4"/>
    <w:rsid w:val="00F963F3"/>
    <w:rsid w:val="00F965DA"/>
    <w:rsid w:val="00FA07C4"/>
    <w:rsid w:val="00FA089F"/>
    <w:rsid w:val="00FA0D42"/>
    <w:rsid w:val="00FA1C30"/>
    <w:rsid w:val="00FA2531"/>
    <w:rsid w:val="00FA2754"/>
    <w:rsid w:val="00FA2A87"/>
    <w:rsid w:val="00FA2CFE"/>
    <w:rsid w:val="00FA322A"/>
    <w:rsid w:val="00FA406A"/>
    <w:rsid w:val="00FA4A8E"/>
    <w:rsid w:val="00FA4FF9"/>
    <w:rsid w:val="00FA6294"/>
    <w:rsid w:val="00FA6B46"/>
    <w:rsid w:val="00FB0BFA"/>
    <w:rsid w:val="00FB1BE4"/>
    <w:rsid w:val="00FB1C68"/>
    <w:rsid w:val="00FB2423"/>
    <w:rsid w:val="00FB3254"/>
    <w:rsid w:val="00FB3832"/>
    <w:rsid w:val="00FB44EE"/>
    <w:rsid w:val="00FB4A84"/>
    <w:rsid w:val="00FB503A"/>
    <w:rsid w:val="00FB516C"/>
    <w:rsid w:val="00FB6248"/>
    <w:rsid w:val="00FC11A3"/>
    <w:rsid w:val="00FC1905"/>
    <w:rsid w:val="00FC28EC"/>
    <w:rsid w:val="00FC5605"/>
    <w:rsid w:val="00FC5878"/>
    <w:rsid w:val="00FC6574"/>
    <w:rsid w:val="00FD0236"/>
    <w:rsid w:val="00FD18F4"/>
    <w:rsid w:val="00FD424F"/>
    <w:rsid w:val="00FD54DB"/>
    <w:rsid w:val="00FD5AFA"/>
    <w:rsid w:val="00FD5C90"/>
    <w:rsid w:val="00FD619F"/>
    <w:rsid w:val="00FD6E6A"/>
    <w:rsid w:val="00FD6FAE"/>
    <w:rsid w:val="00FE010D"/>
    <w:rsid w:val="00FE0305"/>
    <w:rsid w:val="00FE0D92"/>
    <w:rsid w:val="00FE536C"/>
    <w:rsid w:val="00FE774B"/>
    <w:rsid w:val="00FE79A5"/>
    <w:rsid w:val="00FF0B41"/>
    <w:rsid w:val="00FF0C24"/>
    <w:rsid w:val="00FF2267"/>
    <w:rsid w:val="00FF2C56"/>
    <w:rsid w:val="00FF3C5E"/>
    <w:rsid w:val="00FF4972"/>
    <w:rsid w:val="00FF5AE8"/>
    <w:rsid w:val="00FF66A8"/>
    <w:rsid w:val="00FF77E9"/>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387E7E"/>
    <w:rsid w:val="0D621C7D"/>
    <w:rsid w:val="0E73034D"/>
    <w:rsid w:val="0F13775A"/>
    <w:rsid w:val="0F5F45FE"/>
    <w:rsid w:val="0F9A112B"/>
    <w:rsid w:val="106D2F64"/>
    <w:rsid w:val="109D26A6"/>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6863A3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B7401D"/>
    <w:rsid w:val="37E00298"/>
    <w:rsid w:val="381C4C27"/>
    <w:rsid w:val="38B302F9"/>
    <w:rsid w:val="38F12CD3"/>
    <w:rsid w:val="38F94775"/>
    <w:rsid w:val="392971ED"/>
    <w:rsid w:val="39325651"/>
    <w:rsid w:val="39A607ED"/>
    <w:rsid w:val="3A872856"/>
    <w:rsid w:val="3B3763D1"/>
    <w:rsid w:val="3C2F6E1E"/>
    <w:rsid w:val="3C4F64BA"/>
    <w:rsid w:val="3CDA245A"/>
    <w:rsid w:val="3D1E06B7"/>
    <w:rsid w:val="3ED351E1"/>
    <w:rsid w:val="3EDA0523"/>
    <w:rsid w:val="407A6407"/>
    <w:rsid w:val="4200449D"/>
    <w:rsid w:val="423A3BCC"/>
    <w:rsid w:val="424E57D2"/>
    <w:rsid w:val="42B26C49"/>
    <w:rsid w:val="433A6FE6"/>
    <w:rsid w:val="43480868"/>
    <w:rsid w:val="4350713C"/>
    <w:rsid w:val="436653E0"/>
    <w:rsid w:val="43C4431A"/>
    <w:rsid w:val="449124F5"/>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DC2F9C"/>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27B23BF"/>
    <w:rsid w:val="53A039CC"/>
    <w:rsid w:val="53A1505A"/>
    <w:rsid w:val="54063E08"/>
    <w:rsid w:val="543437E8"/>
    <w:rsid w:val="54574804"/>
    <w:rsid w:val="54E27FD0"/>
    <w:rsid w:val="54F73313"/>
    <w:rsid w:val="54F80955"/>
    <w:rsid w:val="54FF095A"/>
    <w:rsid w:val="555170A7"/>
    <w:rsid w:val="5587536D"/>
    <w:rsid w:val="559B174B"/>
    <w:rsid w:val="559E4385"/>
    <w:rsid w:val="55CE0CF4"/>
    <w:rsid w:val="5638215D"/>
    <w:rsid w:val="56B22A9C"/>
    <w:rsid w:val="57B72A76"/>
    <w:rsid w:val="57C3426C"/>
    <w:rsid w:val="57CE1F93"/>
    <w:rsid w:val="588743D1"/>
    <w:rsid w:val="5887701A"/>
    <w:rsid w:val="59C0439F"/>
    <w:rsid w:val="5A331AB7"/>
    <w:rsid w:val="5ABE2233"/>
    <w:rsid w:val="5AD94985"/>
    <w:rsid w:val="5BDF5D95"/>
    <w:rsid w:val="5BFE7528"/>
    <w:rsid w:val="5E2467F1"/>
    <w:rsid w:val="5E4E2AEA"/>
    <w:rsid w:val="5EB44778"/>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C9E4439"/>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iPriority="0" w:semiHidden="0" w:name="index 1" w:locked="1"/>
    <w:lsdException w:qFormat="1" w:unhideWhenUsed="0" w:uiPriority="0" w:semiHidden="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iPriority="39" w:semiHidden="0" w:name="toc 1" w:locked="1"/>
    <w:lsdException w:qFormat="1"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qFormat="1" w:unhideWhenUsed="0" w:uiPriority="0" w:semiHidden="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qFormat="1" w:unhideWhenUsed="0" w:uiPriority="0" w:semiHidden="0" w:name="endnote text" w:locked="1"/>
    <w:lsdException w:unhideWhenUsed="0" w:uiPriority="0" w:semiHidden="0" w:name="table of authorities" w:locked="1"/>
    <w:lsdException w:qFormat="1" w:unhideWhenUsed="0" w:uiPriority="0" w:semiHidden="0" w:name="macro" w:locked="1"/>
    <w:lsdException w:uiPriority="0" w:name="toa heading" w:locked="1"/>
    <w:lsdException w:qFormat="1" w:uiPriority="0" w:semiHidden="0" w:name="List" w:locked="1"/>
    <w:lsdException w:qFormat="1" w:unhideWhenUsed="0" w:uiPriority="0" w:semiHidden="0" w:name="List Bullet" w:locked="1"/>
    <w:lsdException w:uiPriority="0" w:name="List Number" w:locked="1"/>
    <w:lsdException w:qFormat="1" w:unhideWhenUsed="0" w:uiPriority="0" w:semiHidden="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semiHidden="0" w:name="Default Paragraph Font"/>
    <w:lsdException w:qFormat="1" w:unhideWhenUsed="0" w:uiPriority="99"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0" w:semiHidden="0" w:name="Body Text First Indent" w:locked="1"/>
    <w:lsdException w:qFormat="1"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iPriority="0" w:semiHidden="0" w:name="Body Text Indent 3" w:locked="1"/>
    <w:lsdException w:uiPriority="0" w:name="Block Text" w:locked="1"/>
    <w:lsdException w:qFormat="1" w:uiPriority="0" w:semiHidden="0" w:name="Hyperlink" w:locked="1"/>
    <w:lsdException w:uiPriority="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99" w:semiHidden="0" w:name="Normal (Web)"/>
    <w:lsdException w:uiPriority="0" w:name="HTML Acronym" w:locked="1"/>
    <w:lsdException w:qFormat="1" w:unhideWhenUsed="0" w:uiPriority="0" w:semiHidden="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59" w:semiHidden="0" w:name="Table Grid"/>
    <w:lsdException w:uiPriority="0" w:name="Table Theme" w:locked="1"/>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12"/>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13"/>
    <w:qFormat/>
    <w:locked/>
    <w:uiPriority w:val="0"/>
    <w:pPr>
      <w:keepNext/>
      <w:spacing w:line="400" w:lineRule="exact"/>
      <w:jc w:val="center"/>
      <w:outlineLvl w:val="1"/>
    </w:pPr>
    <w:rPr>
      <w:rFonts w:ascii="仿宋_GB2312" w:eastAsia="仿宋_GB2312"/>
      <w:sz w:val="28"/>
      <w:szCs w:val="21"/>
    </w:rPr>
  </w:style>
  <w:style w:type="paragraph" w:styleId="6">
    <w:name w:val="heading 3"/>
    <w:basedOn w:val="1"/>
    <w:next w:val="1"/>
    <w:link w:val="114"/>
    <w:qFormat/>
    <w:locked/>
    <w:uiPriority w:val="0"/>
    <w:pPr>
      <w:keepNext/>
      <w:keepLines/>
      <w:spacing w:before="260" w:after="260" w:line="416" w:lineRule="auto"/>
      <w:outlineLvl w:val="2"/>
    </w:pPr>
    <w:rPr>
      <w:b/>
      <w:bCs/>
      <w:sz w:val="32"/>
      <w:szCs w:val="32"/>
    </w:rPr>
  </w:style>
  <w:style w:type="paragraph" w:styleId="7">
    <w:name w:val="heading 4"/>
    <w:basedOn w:val="1"/>
    <w:next w:val="1"/>
    <w:link w:val="115"/>
    <w:qFormat/>
    <w:locked/>
    <w:uiPriority w:val="0"/>
    <w:pPr>
      <w:keepNext/>
      <w:spacing w:line="400" w:lineRule="exact"/>
      <w:jc w:val="center"/>
      <w:outlineLvl w:val="3"/>
    </w:pPr>
    <w:rPr>
      <w:rFonts w:ascii="仿宋_GB2312" w:eastAsia="仿宋_GB2312"/>
      <w:sz w:val="28"/>
      <w:szCs w:val="21"/>
    </w:rPr>
  </w:style>
  <w:style w:type="paragraph" w:styleId="8">
    <w:name w:val="heading 5"/>
    <w:basedOn w:val="1"/>
    <w:next w:val="1"/>
    <w:link w:val="116"/>
    <w:qFormat/>
    <w:locked/>
    <w:uiPriority w:val="0"/>
    <w:pPr>
      <w:keepNext/>
      <w:spacing w:line="380" w:lineRule="exact"/>
      <w:outlineLvl w:val="4"/>
    </w:pPr>
    <w:rPr>
      <w:rFonts w:ascii="仿宋_GB2312" w:eastAsia="仿宋_GB2312"/>
      <w:sz w:val="28"/>
      <w:szCs w:val="21"/>
    </w:rPr>
  </w:style>
  <w:style w:type="paragraph" w:styleId="9">
    <w:name w:val="heading 6"/>
    <w:basedOn w:val="1"/>
    <w:next w:val="1"/>
    <w:link w:val="117"/>
    <w:qFormat/>
    <w:locked/>
    <w:uiPriority w:val="0"/>
    <w:pPr>
      <w:keepNext/>
      <w:keepLines/>
      <w:tabs>
        <w:tab w:val="left" w:pos="2804"/>
      </w:tabs>
      <w:adjustRightInd w:val="0"/>
      <w:snapToGrid w:val="0"/>
      <w:spacing w:before="240" w:after="64" w:line="320" w:lineRule="atLeast"/>
      <w:ind w:left="2804" w:hanging="420"/>
      <w:textAlignment w:val="baseline"/>
      <w:outlineLvl w:val="5"/>
    </w:pPr>
    <w:rPr>
      <w:rFonts w:ascii="Arial" w:hAnsi="Arial" w:eastAsia="黑体"/>
      <w:b/>
      <w:kern w:val="0"/>
      <w:sz w:val="24"/>
      <w:szCs w:val="20"/>
    </w:rPr>
  </w:style>
  <w:style w:type="paragraph" w:styleId="10">
    <w:name w:val="heading 7"/>
    <w:basedOn w:val="1"/>
    <w:next w:val="1"/>
    <w:link w:val="118"/>
    <w:qFormat/>
    <w:locked/>
    <w:uiPriority w:val="0"/>
    <w:pPr>
      <w:keepNext/>
      <w:keepLines/>
      <w:tabs>
        <w:tab w:val="left" w:pos="3224"/>
      </w:tabs>
      <w:adjustRightInd w:val="0"/>
      <w:snapToGrid w:val="0"/>
      <w:spacing w:before="240" w:after="64" w:line="320" w:lineRule="atLeast"/>
      <w:ind w:left="3224" w:hanging="420"/>
      <w:textAlignment w:val="baseline"/>
      <w:outlineLvl w:val="6"/>
    </w:pPr>
    <w:rPr>
      <w:b/>
      <w:kern w:val="0"/>
      <w:sz w:val="24"/>
      <w:szCs w:val="20"/>
    </w:rPr>
  </w:style>
  <w:style w:type="paragraph" w:styleId="11">
    <w:name w:val="heading 8"/>
    <w:basedOn w:val="1"/>
    <w:next w:val="1"/>
    <w:link w:val="119"/>
    <w:qFormat/>
    <w:locked/>
    <w:uiPriority w:val="0"/>
    <w:pPr>
      <w:keepNext/>
      <w:keepLines/>
      <w:tabs>
        <w:tab w:val="left" w:pos="3644"/>
      </w:tabs>
      <w:adjustRightInd w:val="0"/>
      <w:snapToGrid w:val="0"/>
      <w:spacing w:before="240" w:after="64" w:line="320" w:lineRule="atLeast"/>
      <w:ind w:left="3644" w:hanging="420"/>
      <w:textAlignment w:val="baseline"/>
      <w:outlineLvl w:val="7"/>
    </w:pPr>
    <w:rPr>
      <w:rFonts w:ascii="Arial" w:hAnsi="Arial" w:eastAsia="黑体"/>
      <w:kern w:val="0"/>
      <w:sz w:val="24"/>
      <w:szCs w:val="20"/>
    </w:rPr>
  </w:style>
  <w:style w:type="paragraph" w:styleId="12">
    <w:name w:val="heading 9"/>
    <w:basedOn w:val="1"/>
    <w:next w:val="1"/>
    <w:link w:val="120"/>
    <w:qFormat/>
    <w:locked/>
    <w:uiPriority w:val="0"/>
    <w:pPr>
      <w:keepNext/>
      <w:keepLines/>
      <w:tabs>
        <w:tab w:val="left" w:pos="4064"/>
      </w:tabs>
      <w:adjustRightInd w:val="0"/>
      <w:snapToGrid w:val="0"/>
      <w:spacing w:before="240" w:after="64" w:line="320" w:lineRule="atLeast"/>
      <w:ind w:left="4064" w:hanging="420"/>
      <w:textAlignment w:val="baseline"/>
      <w:outlineLvl w:val="8"/>
    </w:pPr>
    <w:rPr>
      <w:rFonts w:ascii="Arial" w:hAnsi="Arial" w:eastAsia="黑体"/>
      <w:kern w:val="0"/>
      <w:szCs w:val="20"/>
    </w:rPr>
  </w:style>
  <w:style w:type="character" w:default="1" w:styleId="53">
    <w:name w:val="Default Paragraph Font"/>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customStyle="1" w:styleId="2">
    <w:name w:val="[1]正文"/>
    <w:basedOn w:val="1"/>
    <w:qFormat/>
    <w:uiPriority w:val="99"/>
    <w:pPr>
      <w:autoSpaceDE w:val="0"/>
      <w:autoSpaceDN w:val="0"/>
      <w:ind w:firstLine="200" w:firstLineChars="200"/>
    </w:pPr>
    <w:rPr>
      <w:color w:val="000000"/>
      <w:kern w:val="0"/>
      <w:lang w:val="zh-CN"/>
    </w:rPr>
  </w:style>
  <w:style w:type="paragraph" w:styleId="3">
    <w:name w:val="macro"/>
    <w:link w:val="262"/>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等线" w:cs="Courier New"/>
      <w:kern w:val="2"/>
      <w:sz w:val="24"/>
      <w:szCs w:val="24"/>
      <w:lang w:val="en-US" w:eastAsia="zh-CN" w:bidi="ar-SA"/>
    </w:rPr>
  </w:style>
  <w:style w:type="paragraph" w:styleId="13">
    <w:name w:val="Note Heading"/>
    <w:basedOn w:val="1"/>
    <w:next w:val="1"/>
    <w:link w:val="351"/>
    <w:qFormat/>
    <w:locked/>
    <w:uiPriority w:val="0"/>
    <w:pPr>
      <w:jc w:val="center"/>
    </w:pPr>
    <w:rPr>
      <w:rFonts w:ascii="等线" w:hAnsi="等线" w:eastAsia="等线"/>
    </w:rPr>
  </w:style>
  <w:style w:type="paragraph" w:styleId="14">
    <w:name w:val="E-mail Signature"/>
    <w:basedOn w:val="1"/>
    <w:link w:val="429"/>
    <w:qFormat/>
    <w:locked/>
    <w:uiPriority w:val="0"/>
    <w:rPr>
      <w:rFonts w:ascii="等线" w:hAnsi="等线" w:eastAsia="等线"/>
    </w:rPr>
  </w:style>
  <w:style w:type="paragraph" w:styleId="15">
    <w:name w:val="Normal Indent"/>
    <w:basedOn w:val="1"/>
    <w:link w:val="170"/>
    <w:unhideWhenUsed/>
    <w:qFormat/>
    <w:locked/>
    <w:uiPriority w:val="0"/>
    <w:pPr>
      <w:ind w:firstLine="420" w:firstLineChars="200"/>
    </w:pPr>
  </w:style>
  <w:style w:type="paragraph" w:styleId="16">
    <w:name w:val="List Bullet"/>
    <w:basedOn w:val="1"/>
    <w:qFormat/>
    <w:locked/>
    <w:uiPriority w:val="0"/>
    <w:pPr>
      <w:tabs>
        <w:tab w:val="left" w:pos="1064"/>
      </w:tabs>
      <w:ind w:left="1064" w:hanging="780"/>
    </w:pPr>
  </w:style>
  <w:style w:type="paragraph" w:styleId="17">
    <w:name w:val="envelope address"/>
    <w:basedOn w:val="1"/>
    <w:qFormat/>
    <w:locked/>
    <w:uiPriority w:val="0"/>
    <w:pPr>
      <w:snapToGrid w:val="0"/>
      <w:ind w:left="2880"/>
    </w:pPr>
    <w:rPr>
      <w:rFonts w:ascii="Arial" w:hAnsi="Arial" w:cs="Arial"/>
      <w:sz w:val="24"/>
    </w:rPr>
  </w:style>
  <w:style w:type="paragraph" w:styleId="18">
    <w:name w:val="Document Map"/>
    <w:basedOn w:val="1"/>
    <w:link w:val="406"/>
    <w:qFormat/>
    <w:locked/>
    <w:uiPriority w:val="0"/>
    <w:pPr>
      <w:shd w:val="clear" w:color="auto" w:fill="000080"/>
    </w:pPr>
    <w:rPr>
      <w:rFonts w:ascii="等线" w:hAnsi="等线" w:eastAsia="等线"/>
    </w:rPr>
  </w:style>
  <w:style w:type="paragraph" w:styleId="19">
    <w:name w:val="annotation text"/>
    <w:basedOn w:val="1"/>
    <w:link w:val="68"/>
    <w:qFormat/>
    <w:uiPriority w:val="0"/>
    <w:pPr>
      <w:jc w:val="left"/>
    </w:pPr>
    <w:rPr>
      <w:kern w:val="0"/>
      <w:sz w:val="24"/>
      <w:szCs w:val="20"/>
    </w:rPr>
  </w:style>
  <w:style w:type="paragraph" w:styleId="20">
    <w:name w:val="Salutation"/>
    <w:basedOn w:val="1"/>
    <w:next w:val="1"/>
    <w:link w:val="267"/>
    <w:qFormat/>
    <w:locked/>
    <w:uiPriority w:val="0"/>
    <w:rPr>
      <w:rFonts w:ascii="等线" w:hAnsi="等线" w:eastAsia="等线"/>
    </w:rPr>
  </w:style>
  <w:style w:type="paragraph" w:styleId="21">
    <w:name w:val="Body Text 3"/>
    <w:basedOn w:val="1"/>
    <w:link w:val="237"/>
    <w:qFormat/>
    <w:locked/>
    <w:uiPriority w:val="0"/>
    <w:pPr>
      <w:spacing w:after="120"/>
    </w:pPr>
    <w:rPr>
      <w:rFonts w:ascii="等线" w:hAnsi="等线" w:eastAsia="等线"/>
      <w:sz w:val="16"/>
      <w:szCs w:val="16"/>
    </w:rPr>
  </w:style>
  <w:style w:type="paragraph" w:styleId="22">
    <w:name w:val="Closing"/>
    <w:basedOn w:val="1"/>
    <w:link w:val="232"/>
    <w:qFormat/>
    <w:locked/>
    <w:uiPriority w:val="0"/>
    <w:pPr>
      <w:ind w:left="4320"/>
    </w:pPr>
    <w:rPr>
      <w:rFonts w:ascii="等线" w:hAnsi="等线" w:eastAsia="等线"/>
    </w:rPr>
  </w:style>
  <w:style w:type="paragraph" w:styleId="23">
    <w:name w:val="Body Text"/>
    <w:basedOn w:val="1"/>
    <w:link w:val="67"/>
    <w:qFormat/>
    <w:uiPriority w:val="99"/>
    <w:pPr>
      <w:widowControl/>
      <w:snapToGrid w:val="0"/>
      <w:spacing w:before="60" w:after="160" w:line="259" w:lineRule="auto"/>
      <w:ind w:right="113"/>
    </w:pPr>
    <w:rPr>
      <w:kern w:val="0"/>
      <w:sz w:val="18"/>
      <w:szCs w:val="20"/>
    </w:rPr>
  </w:style>
  <w:style w:type="paragraph" w:styleId="24">
    <w:name w:val="Body Text Indent"/>
    <w:basedOn w:val="1"/>
    <w:link w:val="75"/>
    <w:qFormat/>
    <w:uiPriority w:val="0"/>
    <w:pPr>
      <w:spacing w:after="120"/>
      <w:ind w:left="420" w:leftChars="200"/>
    </w:pPr>
    <w:rPr>
      <w:kern w:val="0"/>
      <w:sz w:val="24"/>
      <w:szCs w:val="20"/>
    </w:rPr>
  </w:style>
  <w:style w:type="paragraph" w:styleId="25">
    <w:name w:val="List 2"/>
    <w:basedOn w:val="1"/>
    <w:link w:val="263"/>
    <w:qFormat/>
    <w:locked/>
    <w:uiPriority w:val="0"/>
    <w:rPr>
      <w:rFonts w:ascii="楷体_GB2312" w:hAnsi="宋体" w:eastAsia="楷体_GB2312"/>
      <w:color w:val="000000"/>
      <w:szCs w:val="28"/>
    </w:rPr>
  </w:style>
  <w:style w:type="paragraph" w:styleId="26">
    <w:name w:val="HTML Address"/>
    <w:basedOn w:val="1"/>
    <w:link w:val="430"/>
    <w:qFormat/>
    <w:locked/>
    <w:uiPriority w:val="0"/>
    <w:rPr>
      <w:rFonts w:ascii="等线" w:hAnsi="等线" w:eastAsia="等线"/>
      <w:i/>
      <w:iCs/>
    </w:rPr>
  </w:style>
  <w:style w:type="paragraph" w:styleId="27">
    <w:name w:val="Plain Text"/>
    <w:basedOn w:val="1"/>
    <w:link w:val="295"/>
    <w:qFormat/>
    <w:locked/>
    <w:uiPriority w:val="0"/>
    <w:pPr>
      <w:adjustRightInd w:val="0"/>
      <w:spacing w:line="520" w:lineRule="atLeast"/>
      <w:jc w:val="left"/>
      <w:textAlignment w:val="baseline"/>
    </w:pPr>
    <w:rPr>
      <w:rFonts w:ascii="宋体" w:hAnsi="Courier New" w:eastAsia="等线"/>
      <w:sz w:val="28"/>
      <w:szCs w:val="22"/>
    </w:rPr>
  </w:style>
  <w:style w:type="paragraph" w:styleId="28">
    <w:name w:val="Date"/>
    <w:basedOn w:val="1"/>
    <w:next w:val="1"/>
    <w:link w:val="63"/>
    <w:qFormat/>
    <w:uiPriority w:val="0"/>
    <w:pPr>
      <w:ind w:left="100" w:leftChars="2500"/>
    </w:pPr>
    <w:rPr>
      <w:kern w:val="0"/>
      <w:sz w:val="24"/>
      <w:szCs w:val="20"/>
    </w:rPr>
  </w:style>
  <w:style w:type="paragraph" w:styleId="29">
    <w:name w:val="Body Text Indent 2"/>
    <w:basedOn w:val="1"/>
    <w:link w:val="264"/>
    <w:qFormat/>
    <w:locked/>
    <w:uiPriority w:val="0"/>
    <w:pPr>
      <w:spacing w:line="520" w:lineRule="exact"/>
      <w:ind w:firstLine="560" w:firstLineChars="200"/>
    </w:pPr>
    <w:rPr>
      <w:rFonts w:ascii="等线" w:hAnsi="等线" w:eastAsia="等线"/>
      <w:color w:val="FF0000"/>
      <w:sz w:val="28"/>
    </w:rPr>
  </w:style>
  <w:style w:type="paragraph" w:styleId="30">
    <w:name w:val="endnote text"/>
    <w:basedOn w:val="1"/>
    <w:link w:val="153"/>
    <w:qFormat/>
    <w:locked/>
    <w:uiPriority w:val="0"/>
    <w:pPr>
      <w:snapToGrid w:val="0"/>
      <w:jc w:val="left"/>
    </w:pPr>
    <w:rPr>
      <w:rFonts w:ascii="等线" w:hAnsi="等线" w:eastAsia="等线"/>
      <w:szCs w:val="22"/>
    </w:rPr>
  </w:style>
  <w:style w:type="paragraph" w:styleId="31">
    <w:name w:val="Balloon Text"/>
    <w:basedOn w:val="1"/>
    <w:link w:val="71"/>
    <w:qFormat/>
    <w:uiPriority w:val="0"/>
    <w:rPr>
      <w:kern w:val="0"/>
      <w:sz w:val="18"/>
      <w:szCs w:val="20"/>
    </w:rPr>
  </w:style>
  <w:style w:type="paragraph" w:styleId="32">
    <w:name w:val="footer"/>
    <w:basedOn w:val="1"/>
    <w:link w:val="62"/>
    <w:qFormat/>
    <w:uiPriority w:val="99"/>
    <w:pPr>
      <w:tabs>
        <w:tab w:val="center" w:pos="4153"/>
        <w:tab w:val="right" w:pos="8306"/>
      </w:tabs>
      <w:snapToGrid w:val="0"/>
      <w:jc w:val="left"/>
    </w:pPr>
    <w:rPr>
      <w:kern w:val="0"/>
      <w:sz w:val="18"/>
      <w:szCs w:val="20"/>
    </w:rPr>
  </w:style>
  <w:style w:type="paragraph" w:styleId="33">
    <w:name w:val="header"/>
    <w:basedOn w:val="1"/>
    <w:link w:val="73"/>
    <w:qFormat/>
    <w:uiPriority w:val="0"/>
    <w:pPr>
      <w:pBdr>
        <w:bottom w:val="single" w:color="auto" w:sz="6" w:space="1"/>
      </w:pBdr>
      <w:tabs>
        <w:tab w:val="center" w:pos="4153"/>
        <w:tab w:val="right" w:pos="8306"/>
      </w:tabs>
      <w:snapToGrid w:val="0"/>
      <w:jc w:val="center"/>
    </w:pPr>
    <w:rPr>
      <w:kern w:val="0"/>
      <w:sz w:val="18"/>
      <w:szCs w:val="20"/>
    </w:rPr>
  </w:style>
  <w:style w:type="paragraph" w:styleId="34">
    <w:name w:val="Signature"/>
    <w:basedOn w:val="1"/>
    <w:link w:val="221"/>
    <w:qFormat/>
    <w:locked/>
    <w:uiPriority w:val="0"/>
    <w:pPr>
      <w:ind w:left="4320"/>
    </w:pPr>
    <w:rPr>
      <w:rFonts w:ascii="等线" w:hAnsi="等线" w:eastAsia="等线"/>
    </w:rPr>
  </w:style>
  <w:style w:type="paragraph" w:styleId="35">
    <w:name w:val="toc 1"/>
    <w:basedOn w:val="1"/>
    <w:next w:val="1"/>
    <w:unhideWhenUsed/>
    <w:qFormat/>
    <w:locked/>
    <w:uiPriority w:val="39"/>
    <w:rPr>
      <w:szCs w:val="21"/>
    </w:rPr>
  </w:style>
  <w:style w:type="paragraph" w:styleId="36">
    <w:name w:val="Subtitle"/>
    <w:basedOn w:val="1"/>
    <w:next w:val="1"/>
    <w:link w:val="80"/>
    <w:qFormat/>
    <w:locked/>
    <w:uiPriority w:val="0"/>
    <w:pPr>
      <w:jc w:val="center"/>
    </w:pPr>
    <w:rPr>
      <w:b/>
      <w:bCs/>
      <w:kern w:val="28"/>
      <w:szCs w:val="32"/>
    </w:rPr>
  </w:style>
  <w:style w:type="paragraph" w:styleId="37">
    <w:name w:val="List"/>
    <w:basedOn w:val="1"/>
    <w:unhideWhenUsed/>
    <w:qFormat/>
    <w:locked/>
    <w:uiPriority w:val="0"/>
    <w:pPr>
      <w:ind w:left="200" w:hanging="200" w:hangingChars="200"/>
      <w:contextualSpacing/>
    </w:pPr>
    <w:rPr>
      <w:szCs w:val="21"/>
    </w:rPr>
  </w:style>
  <w:style w:type="paragraph" w:styleId="38">
    <w:name w:val="footnote text"/>
    <w:basedOn w:val="1"/>
    <w:link w:val="272"/>
    <w:qFormat/>
    <w:locked/>
    <w:uiPriority w:val="0"/>
    <w:pPr>
      <w:snapToGrid w:val="0"/>
      <w:jc w:val="left"/>
    </w:pPr>
    <w:rPr>
      <w:rFonts w:ascii="等线" w:hAnsi="等线" w:eastAsia="等线"/>
      <w:sz w:val="18"/>
      <w:szCs w:val="18"/>
    </w:rPr>
  </w:style>
  <w:style w:type="paragraph" w:styleId="39">
    <w:name w:val="Body Text Indent 3"/>
    <w:basedOn w:val="1"/>
    <w:link w:val="103"/>
    <w:unhideWhenUsed/>
    <w:qFormat/>
    <w:locked/>
    <w:uiPriority w:val="0"/>
    <w:pPr>
      <w:spacing w:after="120"/>
      <w:ind w:left="420" w:leftChars="200"/>
    </w:pPr>
    <w:rPr>
      <w:rFonts w:ascii="等线" w:hAnsi="等线" w:eastAsia="等线"/>
      <w:sz w:val="16"/>
      <w:szCs w:val="16"/>
    </w:rPr>
  </w:style>
  <w:style w:type="paragraph" w:styleId="40">
    <w:name w:val="toc 2"/>
    <w:basedOn w:val="1"/>
    <w:next w:val="1"/>
    <w:link w:val="302"/>
    <w:unhideWhenUsed/>
    <w:qFormat/>
    <w:locked/>
    <w:uiPriority w:val="39"/>
    <w:pPr>
      <w:ind w:left="420" w:leftChars="200"/>
    </w:pPr>
    <w:rPr>
      <w:rFonts w:ascii="Calibri" w:hAnsi="Calibri" w:eastAsia="等线" w:cs="Calibri"/>
      <w:smallCaps/>
      <w:szCs w:val="22"/>
    </w:rPr>
  </w:style>
  <w:style w:type="paragraph" w:styleId="41">
    <w:name w:val="Body Text 2"/>
    <w:basedOn w:val="1"/>
    <w:link w:val="386"/>
    <w:qFormat/>
    <w:locked/>
    <w:uiPriority w:val="0"/>
    <w:pPr>
      <w:spacing w:after="120" w:line="480" w:lineRule="auto"/>
    </w:pPr>
    <w:rPr>
      <w:rFonts w:ascii="等线" w:hAnsi="等线" w:eastAsia="等线"/>
    </w:rPr>
  </w:style>
  <w:style w:type="paragraph" w:styleId="42">
    <w:name w:val="Message Header"/>
    <w:basedOn w:val="1"/>
    <w:link w:val="182"/>
    <w:qFormat/>
    <w:locked/>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eastAsia="等线" w:cs="Arial"/>
      <w:sz w:val="24"/>
    </w:rPr>
  </w:style>
  <w:style w:type="paragraph" w:styleId="43">
    <w:name w:val="HTML Preformatted"/>
    <w:basedOn w:val="1"/>
    <w:link w:val="397"/>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等线" w:cs="宋体"/>
      <w:sz w:val="24"/>
    </w:rPr>
  </w:style>
  <w:style w:type="paragraph" w:styleId="44">
    <w:name w:val="Normal (Web)"/>
    <w:basedOn w:val="1"/>
    <w:link w:val="65"/>
    <w:qFormat/>
    <w:uiPriority w:val="99"/>
    <w:pPr>
      <w:widowControl/>
      <w:spacing w:before="100" w:beforeAutospacing="1" w:after="100" w:afterAutospacing="1"/>
      <w:jc w:val="left"/>
    </w:pPr>
    <w:rPr>
      <w:rFonts w:ascii="宋体" w:hAnsi="宋体"/>
      <w:kern w:val="0"/>
      <w:sz w:val="24"/>
      <w:szCs w:val="20"/>
    </w:rPr>
  </w:style>
  <w:style w:type="paragraph" w:styleId="45">
    <w:name w:val="index 1"/>
    <w:basedOn w:val="1"/>
    <w:next w:val="1"/>
    <w:unhideWhenUsed/>
    <w:qFormat/>
    <w:locked/>
    <w:uiPriority w:val="0"/>
    <w:rPr>
      <w:szCs w:val="21"/>
    </w:rPr>
  </w:style>
  <w:style w:type="paragraph" w:styleId="46">
    <w:name w:val="index 2"/>
    <w:basedOn w:val="1"/>
    <w:next w:val="1"/>
    <w:qFormat/>
    <w:locked/>
    <w:uiPriority w:val="0"/>
    <w:pPr>
      <w:ind w:left="200" w:leftChars="200"/>
    </w:pPr>
    <w:rPr>
      <w:szCs w:val="20"/>
    </w:rPr>
  </w:style>
  <w:style w:type="paragraph" w:styleId="47">
    <w:name w:val="Title"/>
    <w:basedOn w:val="1"/>
    <w:link w:val="202"/>
    <w:qFormat/>
    <w:locked/>
    <w:uiPriority w:val="0"/>
    <w:pPr>
      <w:spacing w:before="180" w:after="180" w:line="440" w:lineRule="exact"/>
      <w:jc w:val="left"/>
      <w:outlineLvl w:val="0"/>
    </w:pPr>
    <w:rPr>
      <w:rFonts w:ascii="等线" w:hAnsi="等线" w:eastAsia="等线"/>
      <w:b/>
      <w:sz w:val="30"/>
      <w:szCs w:val="22"/>
    </w:rPr>
  </w:style>
  <w:style w:type="paragraph" w:styleId="48">
    <w:name w:val="annotation subject"/>
    <w:basedOn w:val="19"/>
    <w:next w:val="19"/>
    <w:link w:val="72"/>
    <w:qFormat/>
    <w:uiPriority w:val="0"/>
    <w:rPr>
      <w:b/>
    </w:rPr>
  </w:style>
  <w:style w:type="paragraph" w:styleId="49">
    <w:name w:val="Body Text First Indent"/>
    <w:basedOn w:val="23"/>
    <w:link w:val="286"/>
    <w:unhideWhenUsed/>
    <w:qFormat/>
    <w:locked/>
    <w:uiPriority w:val="0"/>
    <w:pPr>
      <w:widowControl w:val="0"/>
      <w:snapToGrid/>
      <w:spacing w:before="0" w:after="120" w:line="240" w:lineRule="auto"/>
      <w:ind w:right="0" w:firstLine="420" w:firstLineChars="100"/>
    </w:pPr>
    <w:rPr>
      <w:rFonts w:ascii="等线" w:hAnsi="等线" w:eastAsia="等线"/>
      <w:color w:val="000000"/>
      <w:kern w:val="2"/>
      <w:sz w:val="24"/>
      <w:szCs w:val="24"/>
    </w:rPr>
  </w:style>
  <w:style w:type="paragraph" w:styleId="50">
    <w:name w:val="Body Text First Indent 2"/>
    <w:basedOn w:val="24"/>
    <w:link w:val="89"/>
    <w:unhideWhenUsed/>
    <w:qFormat/>
    <w:locked/>
    <w:uiPriority w:val="0"/>
    <w:pPr>
      <w:ind w:firstLine="420" w:firstLineChars="200"/>
    </w:pPr>
    <w:rPr>
      <w:kern w:val="2"/>
      <w:sz w:val="21"/>
      <w:szCs w:val="24"/>
    </w:rPr>
  </w:style>
  <w:style w:type="table" w:styleId="52">
    <w:name w:val="Table Grid"/>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locked/>
    <w:uiPriority w:val="22"/>
    <w:rPr>
      <w:b/>
      <w:bCs/>
    </w:rPr>
  </w:style>
  <w:style w:type="character" w:styleId="55">
    <w:name w:val="page number"/>
    <w:basedOn w:val="53"/>
    <w:qFormat/>
    <w:locked/>
    <w:uiPriority w:val="0"/>
  </w:style>
  <w:style w:type="character" w:styleId="56">
    <w:name w:val="Emphasis"/>
    <w:qFormat/>
    <w:locked/>
    <w:uiPriority w:val="0"/>
    <w:rPr>
      <w:rFonts w:ascii="黑体" w:eastAsia="宋体"/>
      <w:b/>
      <w:i/>
      <w:iCs/>
      <w:color w:val="000000"/>
      <w:sz w:val="28"/>
      <w:szCs w:val="32"/>
      <w:lang w:val="en-US" w:eastAsia="zh-CN" w:bidi="ar-SA"/>
    </w:rPr>
  </w:style>
  <w:style w:type="character" w:styleId="57">
    <w:name w:val="Hyperlink"/>
    <w:unhideWhenUsed/>
    <w:qFormat/>
    <w:locked/>
    <w:uiPriority w:val="0"/>
    <w:rPr>
      <w:color w:val="0563C1"/>
      <w:u w:val="single"/>
    </w:rPr>
  </w:style>
  <w:style w:type="character" w:styleId="58">
    <w:name w:val="annotation reference"/>
    <w:qFormat/>
    <w:uiPriority w:val="0"/>
    <w:rPr>
      <w:sz w:val="21"/>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1">
    <w:name w:val="表格"/>
    <w:basedOn w:val="1"/>
    <w:next w:val="1"/>
    <w:link w:val="69"/>
    <w:qFormat/>
    <w:uiPriority w:val="0"/>
    <w:pPr>
      <w:adjustRightInd w:val="0"/>
      <w:snapToGrid w:val="0"/>
      <w:spacing w:beforeLines="10" w:afterLines="10" w:line="259" w:lineRule="auto"/>
      <w:jc w:val="center"/>
    </w:pPr>
    <w:rPr>
      <w:rFonts w:ascii="宋体"/>
      <w:kern w:val="0"/>
      <w:szCs w:val="20"/>
    </w:rPr>
  </w:style>
  <w:style w:type="character" w:customStyle="1" w:styleId="62">
    <w:name w:val="页脚 字符1"/>
    <w:link w:val="32"/>
    <w:qFormat/>
    <w:locked/>
    <w:uiPriority w:val="99"/>
    <w:rPr>
      <w:sz w:val="18"/>
    </w:rPr>
  </w:style>
  <w:style w:type="character" w:customStyle="1" w:styleId="63">
    <w:name w:val="日期 字符1"/>
    <w:link w:val="28"/>
    <w:qFormat/>
    <w:locked/>
    <w:uiPriority w:val="0"/>
    <w:rPr>
      <w:rFonts w:ascii="Times New Roman" w:hAnsi="Times New Roman" w:eastAsia="宋体"/>
      <w:sz w:val="24"/>
    </w:rPr>
  </w:style>
  <w:style w:type="character" w:customStyle="1" w:styleId="64">
    <w:name w:val="页脚 字符"/>
    <w:basedOn w:val="53"/>
    <w:qFormat/>
    <w:uiPriority w:val="99"/>
  </w:style>
  <w:style w:type="character" w:customStyle="1" w:styleId="65">
    <w:name w:val="普通(网站) 字符"/>
    <w:link w:val="44"/>
    <w:qFormat/>
    <w:locked/>
    <w:uiPriority w:val="99"/>
    <w:rPr>
      <w:rFonts w:ascii="宋体" w:hAnsi="宋体" w:eastAsia="宋体"/>
      <w:sz w:val="24"/>
    </w:rPr>
  </w:style>
  <w:style w:type="character" w:customStyle="1" w:styleId="66">
    <w:name w:val="正文文本 字符1"/>
    <w:qFormat/>
    <w:uiPriority w:val="99"/>
    <w:rPr>
      <w:rFonts w:ascii="Times New Roman" w:hAnsi="Times New Roman" w:eastAsia="宋体"/>
      <w:sz w:val="24"/>
    </w:rPr>
  </w:style>
  <w:style w:type="character" w:customStyle="1" w:styleId="67">
    <w:name w:val="正文文本 字符"/>
    <w:link w:val="23"/>
    <w:qFormat/>
    <w:locked/>
    <w:uiPriority w:val="99"/>
    <w:rPr>
      <w:sz w:val="18"/>
    </w:rPr>
  </w:style>
  <w:style w:type="character" w:customStyle="1" w:styleId="68">
    <w:name w:val="批注文字 字符"/>
    <w:link w:val="19"/>
    <w:qFormat/>
    <w:locked/>
    <w:uiPriority w:val="0"/>
    <w:rPr>
      <w:rFonts w:ascii="Times New Roman" w:hAnsi="Times New Roman" w:eastAsia="宋体"/>
      <w:sz w:val="24"/>
    </w:rPr>
  </w:style>
  <w:style w:type="character" w:customStyle="1" w:styleId="69">
    <w:name w:val="表格 Char"/>
    <w:link w:val="61"/>
    <w:qFormat/>
    <w:locked/>
    <w:uiPriority w:val="0"/>
    <w:rPr>
      <w:rFonts w:ascii="宋体"/>
      <w:sz w:val="21"/>
    </w:rPr>
  </w:style>
  <w:style w:type="character" w:customStyle="1" w:styleId="70">
    <w:name w:val="日期 字符"/>
    <w:semiHidden/>
    <w:qFormat/>
    <w:uiPriority w:val="99"/>
    <w:rPr>
      <w:rFonts w:ascii="Times New Roman" w:hAnsi="Times New Roman" w:eastAsia="宋体"/>
      <w:sz w:val="24"/>
    </w:rPr>
  </w:style>
  <w:style w:type="character" w:customStyle="1" w:styleId="71">
    <w:name w:val="批注框文本 字符"/>
    <w:link w:val="31"/>
    <w:qFormat/>
    <w:locked/>
    <w:uiPriority w:val="0"/>
    <w:rPr>
      <w:rFonts w:ascii="Times New Roman" w:hAnsi="Times New Roman" w:eastAsia="宋体"/>
      <w:sz w:val="18"/>
    </w:rPr>
  </w:style>
  <w:style w:type="character" w:customStyle="1" w:styleId="72">
    <w:name w:val="批注主题 字符"/>
    <w:link w:val="48"/>
    <w:qFormat/>
    <w:locked/>
    <w:uiPriority w:val="0"/>
    <w:rPr>
      <w:rFonts w:ascii="Times New Roman" w:hAnsi="Times New Roman" w:eastAsia="宋体"/>
      <w:b/>
      <w:kern w:val="2"/>
      <w:sz w:val="24"/>
    </w:rPr>
  </w:style>
  <w:style w:type="character" w:customStyle="1" w:styleId="73">
    <w:name w:val="页眉 字符"/>
    <w:link w:val="33"/>
    <w:qFormat/>
    <w:locked/>
    <w:uiPriority w:val="0"/>
    <w:rPr>
      <w:sz w:val="18"/>
    </w:rPr>
  </w:style>
  <w:style w:type="character" w:customStyle="1" w:styleId="74">
    <w:name w:val="批注文字 字符1"/>
    <w:semiHidden/>
    <w:qFormat/>
    <w:uiPriority w:val="0"/>
    <w:rPr>
      <w:rFonts w:ascii="Times New Roman" w:hAnsi="Times New Roman" w:eastAsia="宋体"/>
      <w:sz w:val="24"/>
    </w:rPr>
  </w:style>
  <w:style w:type="character" w:customStyle="1" w:styleId="75">
    <w:name w:val="正文文本缩进 字符"/>
    <w:link w:val="24"/>
    <w:qFormat/>
    <w:locked/>
    <w:uiPriority w:val="0"/>
    <w:rPr>
      <w:rFonts w:ascii="Times New Roman" w:hAnsi="Times New Roman" w:eastAsia="宋体"/>
      <w:sz w:val="24"/>
    </w:rPr>
  </w:style>
  <w:style w:type="paragraph" w:customStyle="1" w:styleId="76">
    <w:name w:val="正文一"/>
    <w:basedOn w:val="1"/>
    <w:link w:val="78"/>
    <w:qFormat/>
    <w:uiPriority w:val="0"/>
    <w:pPr>
      <w:spacing w:line="360" w:lineRule="auto"/>
      <w:ind w:firstLine="200" w:firstLineChars="200"/>
    </w:pPr>
    <w:rPr>
      <w:sz w:val="24"/>
    </w:rPr>
  </w:style>
  <w:style w:type="paragraph" w:customStyle="1" w:styleId="77">
    <w:name w:val="标题2"/>
    <w:basedOn w:val="76"/>
    <w:link w:val="79"/>
    <w:qFormat/>
    <w:uiPriority w:val="0"/>
    <w:pPr>
      <w:ind w:firstLine="0" w:firstLineChars="0"/>
    </w:pPr>
    <w:rPr>
      <w:b/>
    </w:rPr>
  </w:style>
  <w:style w:type="character" w:customStyle="1" w:styleId="78">
    <w:name w:val="正文一 字符"/>
    <w:link w:val="76"/>
    <w:qFormat/>
    <w:uiPriority w:val="0"/>
    <w:rPr>
      <w:kern w:val="2"/>
      <w:sz w:val="24"/>
      <w:szCs w:val="24"/>
    </w:rPr>
  </w:style>
  <w:style w:type="character" w:customStyle="1" w:styleId="79">
    <w:name w:val="标题2 字符"/>
    <w:link w:val="77"/>
    <w:qFormat/>
    <w:uiPriority w:val="0"/>
    <w:rPr>
      <w:b/>
      <w:kern w:val="2"/>
      <w:sz w:val="24"/>
      <w:szCs w:val="24"/>
    </w:rPr>
  </w:style>
  <w:style w:type="character" w:customStyle="1" w:styleId="80">
    <w:name w:val="副标题 字符"/>
    <w:link w:val="36"/>
    <w:qFormat/>
    <w:uiPriority w:val="0"/>
    <w:rPr>
      <w:rFonts w:cs="Times New Roman"/>
      <w:b/>
      <w:bCs/>
      <w:kern w:val="28"/>
      <w:sz w:val="21"/>
      <w:szCs w:val="32"/>
    </w:rPr>
  </w:style>
  <w:style w:type="character" w:customStyle="1" w:styleId="81">
    <w:name w:val="标题 2 字符"/>
    <w:qFormat/>
    <w:uiPriority w:val="0"/>
    <w:rPr>
      <w:rFonts w:ascii="Cambria" w:hAnsi="Cambria" w:eastAsia="宋体" w:cs="Times New Roman"/>
      <w:b/>
      <w:bCs/>
      <w:kern w:val="2"/>
      <w:sz w:val="32"/>
      <w:szCs w:val="32"/>
    </w:rPr>
  </w:style>
  <w:style w:type="character" w:customStyle="1" w:styleId="82">
    <w:name w:val="标题 3 字符"/>
    <w:qFormat/>
    <w:uiPriority w:val="0"/>
    <w:rPr>
      <w:b/>
      <w:bCs/>
      <w:kern w:val="2"/>
      <w:sz w:val="32"/>
      <w:szCs w:val="32"/>
    </w:rPr>
  </w:style>
  <w:style w:type="character" w:customStyle="1" w:styleId="83">
    <w:name w:val="标题 4 字符"/>
    <w:qFormat/>
    <w:uiPriority w:val="0"/>
    <w:rPr>
      <w:rFonts w:ascii="Cambria" w:hAnsi="Cambria" w:eastAsia="宋体" w:cs="Times New Roman"/>
      <w:b/>
      <w:bCs/>
      <w:kern w:val="2"/>
      <w:sz w:val="28"/>
      <w:szCs w:val="28"/>
    </w:rPr>
  </w:style>
  <w:style w:type="character" w:customStyle="1" w:styleId="84">
    <w:name w:val="标题 5 字符"/>
    <w:qFormat/>
    <w:uiPriority w:val="0"/>
    <w:rPr>
      <w:b/>
      <w:bCs/>
      <w:kern w:val="2"/>
      <w:sz w:val="28"/>
      <w:szCs w:val="28"/>
    </w:rPr>
  </w:style>
  <w:style w:type="character" w:customStyle="1" w:styleId="85">
    <w:name w:val="标题 6 字符"/>
    <w:semiHidden/>
    <w:qFormat/>
    <w:uiPriority w:val="0"/>
    <w:rPr>
      <w:rFonts w:ascii="Cambria" w:hAnsi="Cambria" w:eastAsia="宋体" w:cs="Times New Roman"/>
      <w:b/>
      <w:bCs/>
      <w:kern w:val="2"/>
      <w:sz w:val="24"/>
      <w:szCs w:val="24"/>
    </w:rPr>
  </w:style>
  <w:style w:type="character" w:customStyle="1" w:styleId="86">
    <w:name w:val="标题 7 字符"/>
    <w:semiHidden/>
    <w:qFormat/>
    <w:uiPriority w:val="0"/>
    <w:rPr>
      <w:b/>
      <w:bCs/>
      <w:kern w:val="2"/>
      <w:sz w:val="24"/>
      <w:szCs w:val="24"/>
    </w:rPr>
  </w:style>
  <w:style w:type="character" w:customStyle="1" w:styleId="87">
    <w:name w:val="标题 8 字符"/>
    <w:semiHidden/>
    <w:qFormat/>
    <w:uiPriority w:val="0"/>
    <w:rPr>
      <w:rFonts w:ascii="Cambria" w:hAnsi="Cambria" w:eastAsia="宋体" w:cs="Times New Roman"/>
      <w:kern w:val="2"/>
      <w:sz w:val="24"/>
      <w:szCs w:val="24"/>
    </w:rPr>
  </w:style>
  <w:style w:type="character" w:customStyle="1" w:styleId="88">
    <w:name w:val="标题 9 字符"/>
    <w:semiHidden/>
    <w:qFormat/>
    <w:uiPriority w:val="0"/>
    <w:rPr>
      <w:rFonts w:ascii="Cambria" w:hAnsi="Cambria" w:eastAsia="宋体" w:cs="Times New Roman"/>
      <w:kern w:val="2"/>
      <w:sz w:val="21"/>
      <w:szCs w:val="21"/>
    </w:rPr>
  </w:style>
  <w:style w:type="character" w:customStyle="1" w:styleId="89">
    <w:name w:val="正文文本首行缩进 2 字符"/>
    <w:link w:val="50"/>
    <w:qFormat/>
    <w:uiPriority w:val="0"/>
    <w:rPr>
      <w:rFonts w:ascii="Times New Roman" w:hAnsi="Times New Roman" w:eastAsia="宋体"/>
      <w:kern w:val="2"/>
      <w:sz w:val="21"/>
      <w:szCs w:val="24"/>
    </w:rPr>
  </w:style>
  <w:style w:type="character" w:customStyle="1" w:styleId="90">
    <w:name w:val="宏文本 字符"/>
    <w:qFormat/>
    <w:uiPriority w:val="99"/>
    <w:rPr>
      <w:rFonts w:ascii="Courier New" w:hAnsi="Courier New" w:cs="Courier New"/>
      <w:kern w:val="2"/>
      <w:sz w:val="24"/>
      <w:szCs w:val="24"/>
    </w:rPr>
  </w:style>
  <w:style w:type="character" w:customStyle="1" w:styleId="91">
    <w:name w:val="注释标题 字符"/>
    <w:qFormat/>
    <w:uiPriority w:val="99"/>
    <w:rPr>
      <w:kern w:val="2"/>
      <w:sz w:val="21"/>
      <w:szCs w:val="24"/>
    </w:rPr>
  </w:style>
  <w:style w:type="character" w:customStyle="1" w:styleId="92">
    <w:name w:val="电子邮件签名 字符"/>
    <w:qFormat/>
    <w:uiPriority w:val="99"/>
    <w:rPr>
      <w:kern w:val="2"/>
      <w:sz w:val="21"/>
      <w:szCs w:val="24"/>
    </w:rPr>
  </w:style>
  <w:style w:type="character" w:customStyle="1" w:styleId="93">
    <w:name w:val="文档结构图 字符"/>
    <w:qFormat/>
    <w:uiPriority w:val="0"/>
    <w:rPr>
      <w:rFonts w:ascii="Microsoft YaHei UI" w:eastAsia="Microsoft YaHei UI"/>
      <w:kern w:val="2"/>
      <w:sz w:val="18"/>
      <w:szCs w:val="18"/>
    </w:rPr>
  </w:style>
  <w:style w:type="character" w:customStyle="1" w:styleId="94">
    <w:name w:val="称呼 字符"/>
    <w:qFormat/>
    <w:uiPriority w:val="99"/>
    <w:rPr>
      <w:kern w:val="2"/>
      <w:sz w:val="21"/>
      <w:szCs w:val="24"/>
    </w:rPr>
  </w:style>
  <w:style w:type="character" w:customStyle="1" w:styleId="95">
    <w:name w:val="正文文本 3 字符"/>
    <w:qFormat/>
    <w:uiPriority w:val="0"/>
    <w:rPr>
      <w:kern w:val="2"/>
      <w:sz w:val="16"/>
      <w:szCs w:val="16"/>
    </w:rPr>
  </w:style>
  <w:style w:type="character" w:customStyle="1" w:styleId="96">
    <w:name w:val="结束语 字符"/>
    <w:qFormat/>
    <w:uiPriority w:val="99"/>
    <w:rPr>
      <w:kern w:val="2"/>
      <w:sz w:val="21"/>
      <w:szCs w:val="24"/>
    </w:rPr>
  </w:style>
  <w:style w:type="character" w:customStyle="1" w:styleId="97">
    <w:name w:val="HTML 地址 字符"/>
    <w:qFormat/>
    <w:uiPriority w:val="99"/>
    <w:rPr>
      <w:i/>
      <w:iCs/>
      <w:kern w:val="2"/>
      <w:sz w:val="21"/>
      <w:szCs w:val="24"/>
    </w:rPr>
  </w:style>
  <w:style w:type="character" w:customStyle="1" w:styleId="98">
    <w:name w:val="纯文本 字符"/>
    <w:qFormat/>
    <w:uiPriority w:val="0"/>
    <w:rPr>
      <w:rFonts w:ascii="宋体" w:hAnsi="Courier New" w:cs="Courier New"/>
      <w:kern w:val="2"/>
      <w:sz w:val="21"/>
      <w:szCs w:val="21"/>
    </w:rPr>
  </w:style>
  <w:style w:type="character" w:customStyle="1" w:styleId="99">
    <w:name w:val="正文文本缩进 2 字符"/>
    <w:qFormat/>
    <w:uiPriority w:val="0"/>
    <w:rPr>
      <w:kern w:val="2"/>
      <w:sz w:val="21"/>
      <w:szCs w:val="24"/>
    </w:rPr>
  </w:style>
  <w:style w:type="character" w:customStyle="1" w:styleId="100">
    <w:name w:val="尾注文本 字符"/>
    <w:qFormat/>
    <w:uiPriority w:val="99"/>
    <w:rPr>
      <w:kern w:val="2"/>
      <w:sz w:val="21"/>
      <w:szCs w:val="24"/>
    </w:rPr>
  </w:style>
  <w:style w:type="character" w:customStyle="1" w:styleId="101">
    <w:name w:val="签名 字符"/>
    <w:qFormat/>
    <w:uiPriority w:val="99"/>
    <w:rPr>
      <w:kern w:val="2"/>
      <w:sz w:val="21"/>
      <w:szCs w:val="24"/>
    </w:rPr>
  </w:style>
  <w:style w:type="character" w:customStyle="1" w:styleId="102">
    <w:name w:val="脚注文本 字符"/>
    <w:qFormat/>
    <w:uiPriority w:val="99"/>
    <w:rPr>
      <w:kern w:val="2"/>
      <w:sz w:val="18"/>
      <w:szCs w:val="18"/>
    </w:rPr>
  </w:style>
  <w:style w:type="character" w:customStyle="1" w:styleId="103">
    <w:name w:val="正文文本缩进 3 字符"/>
    <w:link w:val="39"/>
    <w:qFormat/>
    <w:uiPriority w:val="0"/>
    <w:rPr>
      <w:rFonts w:ascii="等线" w:hAnsi="等线" w:eastAsia="等线"/>
      <w:kern w:val="2"/>
      <w:sz w:val="16"/>
      <w:szCs w:val="16"/>
    </w:rPr>
  </w:style>
  <w:style w:type="character" w:customStyle="1" w:styleId="104">
    <w:name w:val="正文文本 2 字符"/>
    <w:qFormat/>
    <w:uiPriority w:val="0"/>
    <w:rPr>
      <w:kern w:val="2"/>
      <w:sz w:val="21"/>
      <w:szCs w:val="24"/>
    </w:rPr>
  </w:style>
  <w:style w:type="character" w:customStyle="1" w:styleId="105">
    <w:name w:val="信息标题 字符"/>
    <w:qFormat/>
    <w:uiPriority w:val="99"/>
    <w:rPr>
      <w:rFonts w:ascii="Cambria" w:hAnsi="Cambria" w:eastAsia="宋体" w:cs="Times New Roman"/>
      <w:kern w:val="2"/>
      <w:sz w:val="24"/>
      <w:szCs w:val="24"/>
      <w:shd w:val="pct20" w:color="auto" w:fill="auto"/>
    </w:rPr>
  </w:style>
  <w:style w:type="character" w:customStyle="1" w:styleId="106">
    <w:name w:val="HTML 预设格式 字符"/>
    <w:qFormat/>
    <w:uiPriority w:val="99"/>
    <w:rPr>
      <w:rFonts w:ascii="Courier New" w:hAnsi="Courier New" w:cs="Courier New"/>
      <w:kern w:val="2"/>
    </w:rPr>
  </w:style>
  <w:style w:type="character" w:customStyle="1" w:styleId="107">
    <w:name w:val="标题 字符"/>
    <w:qFormat/>
    <w:uiPriority w:val="0"/>
    <w:rPr>
      <w:rFonts w:ascii="Cambria" w:hAnsi="Cambria" w:cs="Times New Roman"/>
      <w:b/>
      <w:bCs/>
      <w:kern w:val="2"/>
      <w:sz w:val="32"/>
      <w:szCs w:val="32"/>
    </w:rPr>
  </w:style>
  <w:style w:type="character" w:customStyle="1" w:styleId="108">
    <w:name w:val="正文文本首行缩进 字符"/>
    <w:qFormat/>
    <w:uiPriority w:val="99"/>
    <w:rPr>
      <w:kern w:val="2"/>
      <w:sz w:val="21"/>
      <w:szCs w:val="24"/>
    </w:rPr>
  </w:style>
  <w:style w:type="paragraph" w:customStyle="1" w:styleId="109">
    <w:name w:val="A样式 小四 行距: 1.5 倍行距 首行缩进:  2 字符"/>
    <w:basedOn w:val="1"/>
    <w:qFormat/>
    <w:uiPriority w:val="0"/>
    <w:pPr>
      <w:ind w:firstLine="480"/>
    </w:pPr>
    <w:rPr>
      <w:rFonts w:cs="宋体"/>
      <w:szCs w:val="22"/>
    </w:rPr>
  </w:style>
  <w:style w:type="paragraph" w:customStyle="1" w:styleId="110">
    <w:name w:val="样式 正文缩进正文缩进2正文缩进 Char Char正文缩进 Char Char Char Char正文缩进 Char ..."/>
    <w:basedOn w:val="15"/>
    <w:qFormat/>
    <w:uiPriority w:val="0"/>
    <w:pPr>
      <w:spacing w:line="360" w:lineRule="auto"/>
      <w:ind w:firstLine="200" w:firstLineChars="0"/>
    </w:pPr>
    <w:rPr>
      <w:rFonts w:cs="宋体"/>
      <w:sz w:val="24"/>
      <w:szCs w:val="20"/>
    </w:rPr>
  </w:style>
  <w:style w:type="character" w:customStyle="1" w:styleId="111">
    <w:name w:val="标题 1 字符"/>
    <w:qFormat/>
    <w:uiPriority w:val="0"/>
    <w:rPr>
      <w:rFonts w:ascii="Times New Roman" w:hAnsi="Times New Roman" w:eastAsia="宋体" w:cs="Times New Roman"/>
      <w:b/>
      <w:bCs/>
      <w:kern w:val="44"/>
      <w:sz w:val="44"/>
      <w:szCs w:val="44"/>
    </w:rPr>
  </w:style>
  <w:style w:type="character" w:customStyle="1" w:styleId="112">
    <w:name w:val="标题 1 字符1"/>
    <w:link w:val="4"/>
    <w:qFormat/>
    <w:uiPriority w:val="0"/>
    <w:rPr>
      <w:rFonts w:eastAsia="黑体"/>
      <w:b/>
      <w:bCs/>
      <w:color w:val="000000"/>
      <w:kern w:val="44"/>
      <w:sz w:val="30"/>
      <w:szCs w:val="30"/>
    </w:rPr>
  </w:style>
  <w:style w:type="character" w:customStyle="1" w:styleId="113">
    <w:name w:val="标题 2 字符1"/>
    <w:link w:val="5"/>
    <w:qFormat/>
    <w:uiPriority w:val="0"/>
    <w:rPr>
      <w:rFonts w:ascii="仿宋_GB2312" w:eastAsia="仿宋_GB2312"/>
      <w:kern w:val="2"/>
      <w:sz w:val="28"/>
      <w:szCs w:val="21"/>
    </w:rPr>
  </w:style>
  <w:style w:type="character" w:customStyle="1" w:styleId="114">
    <w:name w:val="标题 3 字符1"/>
    <w:link w:val="6"/>
    <w:qFormat/>
    <w:uiPriority w:val="0"/>
    <w:rPr>
      <w:b/>
      <w:bCs/>
      <w:kern w:val="2"/>
      <w:sz w:val="32"/>
      <w:szCs w:val="32"/>
    </w:rPr>
  </w:style>
  <w:style w:type="character" w:customStyle="1" w:styleId="115">
    <w:name w:val="标题 4 字符1"/>
    <w:link w:val="7"/>
    <w:qFormat/>
    <w:uiPriority w:val="0"/>
    <w:rPr>
      <w:rFonts w:ascii="仿宋_GB2312" w:eastAsia="仿宋_GB2312"/>
      <w:kern w:val="2"/>
      <w:sz w:val="28"/>
      <w:szCs w:val="21"/>
    </w:rPr>
  </w:style>
  <w:style w:type="character" w:customStyle="1" w:styleId="116">
    <w:name w:val="标题 5 字符1"/>
    <w:link w:val="8"/>
    <w:qFormat/>
    <w:uiPriority w:val="0"/>
    <w:rPr>
      <w:rFonts w:ascii="仿宋_GB2312" w:eastAsia="仿宋_GB2312"/>
      <w:kern w:val="2"/>
      <w:sz w:val="28"/>
      <w:szCs w:val="21"/>
    </w:rPr>
  </w:style>
  <w:style w:type="character" w:customStyle="1" w:styleId="117">
    <w:name w:val="标题 6 字符1"/>
    <w:link w:val="9"/>
    <w:qFormat/>
    <w:uiPriority w:val="0"/>
    <w:rPr>
      <w:rFonts w:ascii="Arial" w:hAnsi="Arial" w:eastAsia="黑体"/>
      <w:b/>
      <w:sz w:val="24"/>
    </w:rPr>
  </w:style>
  <w:style w:type="character" w:customStyle="1" w:styleId="118">
    <w:name w:val="标题 7 字符1"/>
    <w:link w:val="10"/>
    <w:qFormat/>
    <w:uiPriority w:val="0"/>
    <w:rPr>
      <w:b/>
      <w:sz w:val="24"/>
    </w:rPr>
  </w:style>
  <w:style w:type="character" w:customStyle="1" w:styleId="119">
    <w:name w:val="标题 8 字符1"/>
    <w:link w:val="11"/>
    <w:qFormat/>
    <w:uiPriority w:val="0"/>
    <w:rPr>
      <w:rFonts w:ascii="Arial" w:hAnsi="Arial" w:eastAsia="黑体"/>
      <w:sz w:val="24"/>
    </w:rPr>
  </w:style>
  <w:style w:type="character" w:customStyle="1" w:styleId="120">
    <w:name w:val="标题 9 字符1"/>
    <w:link w:val="12"/>
    <w:qFormat/>
    <w:uiPriority w:val="0"/>
    <w:rPr>
      <w:rFonts w:ascii="Arial" w:hAnsi="Arial" w:eastAsia="黑体"/>
      <w:sz w:val="21"/>
    </w:rPr>
  </w:style>
  <w:style w:type="paragraph" w:customStyle="1" w:styleId="121">
    <w:name w:val="612-表格"/>
    <w:basedOn w:val="1"/>
    <w:link w:val="122"/>
    <w:qFormat/>
    <w:uiPriority w:val="0"/>
    <w:pPr>
      <w:adjustRightInd w:val="0"/>
      <w:spacing w:line="360" w:lineRule="atLeast"/>
      <w:jc w:val="center"/>
      <w:textAlignment w:val="baseline"/>
    </w:pPr>
    <w:rPr>
      <w:rFonts w:eastAsia="仿宋_GB2312"/>
      <w:color w:val="000000"/>
      <w:spacing w:val="-12"/>
      <w:kern w:val="0"/>
      <w:szCs w:val="20"/>
    </w:rPr>
  </w:style>
  <w:style w:type="character" w:customStyle="1" w:styleId="122">
    <w:name w:val="612-表格 Char"/>
    <w:link w:val="121"/>
    <w:qFormat/>
    <w:uiPriority w:val="0"/>
    <w:rPr>
      <w:rFonts w:eastAsia="仿宋_GB2312"/>
      <w:color w:val="000000"/>
      <w:spacing w:val="-12"/>
      <w:sz w:val="21"/>
    </w:rPr>
  </w:style>
  <w:style w:type="paragraph" w:customStyle="1" w:styleId="123">
    <w:name w:val="样式5"/>
    <w:basedOn w:val="1"/>
    <w:link w:val="124"/>
    <w:qFormat/>
    <w:uiPriority w:val="0"/>
    <w:pPr>
      <w:widowControl/>
      <w:snapToGrid w:val="0"/>
      <w:spacing w:line="360" w:lineRule="auto"/>
      <w:ind w:firstLine="510"/>
      <w:jc w:val="left"/>
    </w:pPr>
    <w:rPr>
      <w:kern w:val="0"/>
      <w:sz w:val="24"/>
      <w:lang w:eastAsia="en-US"/>
    </w:rPr>
  </w:style>
  <w:style w:type="character" w:customStyle="1" w:styleId="124">
    <w:name w:val="样式5 Char"/>
    <w:link w:val="123"/>
    <w:qFormat/>
    <w:uiPriority w:val="0"/>
    <w:rPr>
      <w:sz w:val="24"/>
      <w:szCs w:val="24"/>
      <w:lang w:eastAsia="en-US"/>
    </w:rPr>
  </w:style>
  <w:style w:type="paragraph" w:customStyle="1" w:styleId="125">
    <w:name w:val="万瑞正文"/>
    <w:basedOn w:val="1"/>
    <w:link w:val="126"/>
    <w:qFormat/>
    <w:uiPriority w:val="0"/>
    <w:pPr>
      <w:adjustRightInd w:val="0"/>
      <w:snapToGrid w:val="0"/>
      <w:spacing w:line="360" w:lineRule="auto"/>
      <w:ind w:firstLine="200" w:firstLineChars="200"/>
      <w:jc w:val="left"/>
    </w:pPr>
    <w:rPr>
      <w:sz w:val="24"/>
    </w:rPr>
  </w:style>
  <w:style w:type="character" w:customStyle="1" w:styleId="126">
    <w:name w:val="万瑞正文 Char"/>
    <w:link w:val="125"/>
    <w:qFormat/>
    <w:uiPriority w:val="0"/>
    <w:rPr>
      <w:kern w:val="2"/>
      <w:sz w:val="24"/>
      <w:szCs w:val="24"/>
    </w:rPr>
  </w:style>
  <w:style w:type="paragraph" w:customStyle="1" w:styleId="127">
    <w:name w:val="表头"/>
    <w:basedOn w:val="1"/>
    <w:link w:val="128"/>
    <w:qFormat/>
    <w:uiPriority w:val="0"/>
    <w:pPr>
      <w:adjustRightInd w:val="0"/>
      <w:jc w:val="center"/>
    </w:pPr>
    <w:rPr>
      <w:rFonts w:cs="Arial"/>
      <w:b/>
      <w:color w:val="000000"/>
      <w:kern w:val="0"/>
      <w:szCs w:val="21"/>
    </w:rPr>
  </w:style>
  <w:style w:type="character" w:customStyle="1" w:styleId="128">
    <w:name w:val="表头 Char"/>
    <w:link w:val="127"/>
    <w:qFormat/>
    <w:uiPriority w:val="0"/>
    <w:rPr>
      <w:rFonts w:cs="Arial"/>
      <w:b/>
      <w:color w:val="000000"/>
      <w:sz w:val="21"/>
      <w:szCs w:val="21"/>
    </w:rPr>
  </w:style>
  <w:style w:type="paragraph" w:customStyle="1" w:styleId="129">
    <w:name w:val="Table Paragraph"/>
    <w:basedOn w:val="1"/>
    <w:qFormat/>
    <w:uiPriority w:val="0"/>
    <w:pPr>
      <w:jc w:val="center"/>
    </w:pPr>
    <w:rPr>
      <w:rFonts w:ascii="仿宋" w:hAnsi="仿宋" w:eastAsia="仿宋" w:cs="仿宋"/>
      <w:kern w:val="0"/>
      <w:sz w:val="22"/>
      <w:szCs w:val="22"/>
      <w:lang w:eastAsia="en-US"/>
    </w:rPr>
  </w:style>
  <w:style w:type="paragraph" w:customStyle="1" w:styleId="130">
    <w:name w:val="表内容"/>
    <w:basedOn w:val="1"/>
    <w:next w:val="1"/>
    <w:qFormat/>
    <w:uiPriority w:val="0"/>
    <w:pPr>
      <w:spacing w:line="240" w:lineRule="atLeast"/>
      <w:jc w:val="center"/>
    </w:pPr>
    <w:rPr>
      <w:szCs w:val="21"/>
    </w:rPr>
  </w:style>
  <w:style w:type="paragraph" w:customStyle="1" w:styleId="131">
    <w:name w:val="正文2 Char"/>
    <w:basedOn w:val="1"/>
    <w:semiHidden/>
    <w:qFormat/>
    <w:uiPriority w:val="0"/>
    <w:pPr>
      <w:adjustRightInd w:val="0"/>
      <w:snapToGrid w:val="0"/>
      <w:spacing w:line="360" w:lineRule="auto"/>
      <w:ind w:firstLine="414" w:firstLineChars="197"/>
      <w:jc w:val="left"/>
      <w:textAlignment w:val="baseline"/>
    </w:pPr>
    <w:rPr>
      <w:rFonts w:ascii="宋体" w:hAnsi="宋体"/>
      <w:color w:val="000000"/>
      <w:szCs w:val="21"/>
    </w:rPr>
  </w:style>
  <w:style w:type="paragraph" w:customStyle="1" w:styleId="132">
    <w:name w:val="表格内容"/>
    <w:basedOn w:val="1"/>
    <w:link w:val="133"/>
    <w:qFormat/>
    <w:uiPriority w:val="0"/>
    <w:pPr>
      <w:jc w:val="center"/>
    </w:pPr>
    <w:rPr>
      <w:kern w:val="0"/>
      <w:szCs w:val="21"/>
    </w:rPr>
  </w:style>
  <w:style w:type="character" w:customStyle="1" w:styleId="133">
    <w:name w:val="表格内容 Char Char"/>
    <w:link w:val="132"/>
    <w:qFormat/>
    <w:uiPriority w:val="0"/>
    <w:rPr>
      <w:sz w:val="21"/>
      <w:szCs w:val="21"/>
    </w:rPr>
  </w:style>
  <w:style w:type="character" w:customStyle="1" w:styleId="134">
    <w:name w:val="font51"/>
    <w:qFormat/>
    <w:uiPriority w:val="0"/>
    <w:rPr>
      <w:rFonts w:hint="default" w:ascii="Times New Roman" w:hAnsi="Times New Roman" w:cs="Times New Roman"/>
      <w:color w:val="000000"/>
      <w:sz w:val="20"/>
      <w:szCs w:val="20"/>
      <w:u w:val="none"/>
    </w:rPr>
  </w:style>
  <w:style w:type="character" w:customStyle="1" w:styleId="135">
    <w:name w:val="批注文字 Char"/>
    <w:qFormat/>
    <w:uiPriority w:val="0"/>
    <w:rPr>
      <w:rFonts w:ascii="Times New Roman" w:hAnsi="Times New Roman" w:eastAsia="宋体" w:cs="Times New Roman"/>
      <w:szCs w:val="21"/>
    </w:rPr>
  </w:style>
  <w:style w:type="paragraph" w:customStyle="1" w:styleId="136">
    <w:name w:val="默认段落字体 Para Char Char Char1 Char Char Char Char Char Char Char Char Char Char"/>
    <w:basedOn w:val="1"/>
    <w:qFormat/>
    <w:uiPriority w:val="0"/>
    <w:pPr>
      <w:snapToGrid w:val="0"/>
      <w:spacing w:line="360" w:lineRule="auto"/>
      <w:ind w:firstLine="562" w:firstLineChars="200"/>
      <w:jc w:val="left"/>
    </w:pPr>
    <w:rPr>
      <w:rFonts w:hint="eastAsia"/>
      <w:kern w:val="0"/>
      <w:sz w:val="24"/>
      <w:szCs w:val="20"/>
    </w:rPr>
  </w:style>
  <w:style w:type="paragraph" w:styleId="137">
    <w:name w:val="List Paragraph"/>
    <w:basedOn w:val="1"/>
    <w:link w:val="138"/>
    <w:qFormat/>
    <w:uiPriority w:val="34"/>
    <w:pPr>
      <w:ind w:firstLine="420" w:firstLineChars="200"/>
    </w:pPr>
    <w:rPr>
      <w:szCs w:val="21"/>
    </w:rPr>
  </w:style>
  <w:style w:type="character" w:customStyle="1" w:styleId="138">
    <w:name w:val="列表段落 字符"/>
    <w:link w:val="137"/>
    <w:qFormat/>
    <w:uiPriority w:val="34"/>
    <w:rPr>
      <w:kern w:val="2"/>
      <w:sz w:val="21"/>
      <w:szCs w:val="21"/>
    </w:rPr>
  </w:style>
  <w:style w:type="character" w:customStyle="1" w:styleId="139">
    <w:name w:val="3表格内容 Char"/>
    <w:link w:val="140"/>
    <w:qFormat/>
    <w:locked/>
    <w:uiPriority w:val="0"/>
    <w:rPr>
      <w:rFonts w:ascii="宋体" w:hAnsi="宋体"/>
    </w:rPr>
  </w:style>
  <w:style w:type="paragraph" w:customStyle="1" w:styleId="140">
    <w:name w:val="3表格内容"/>
    <w:basedOn w:val="1"/>
    <w:link w:val="139"/>
    <w:qFormat/>
    <w:uiPriority w:val="0"/>
    <w:pPr>
      <w:adjustRightInd w:val="0"/>
      <w:snapToGrid w:val="0"/>
      <w:jc w:val="center"/>
    </w:pPr>
    <w:rPr>
      <w:rFonts w:ascii="宋体" w:hAnsi="宋体"/>
      <w:kern w:val="0"/>
      <w:sz w:val="20"/>
      <w:szCs w:val="20"/>
    </w:rPr>
  </w:style>
  <w:style w:type="paragraph" w:customStyle="1" w:styleId="141">
    <w:name w:val="环评列表"/>
    <w:basedOn w:val="37"/>
    <w:link w:val="142"/>
    <w:qFormat/>
    <w:uiPriority w:val="0"/>
    <w:pPr>
      <w:spacing w:before="100" w:beforeAutospacing="1" w:after="100" w:afterAutospacing="1"/>
      <w:ind w:left="0" w:firstLine="0" w:firstLineChars="0"/>
      <w:jc w:val="center"/>
    </w:pPr>
  </w:style>
  <w:style w:type="character" w:customStyle="1" w:styleId="142">
    <w:name w:val="环评列表 Char Char"/>
    <w:link w:val="141"/>
    <w:qFormat/>
    <w:locked/>
    <w:uiPriority w:val="0"/>
    <w:rPr>
      <w:kern w:val="2"/>
      <w:sz w:val="21"/>
      <w:szCs w:val="21"/>
    </w:rPr>
  </w:style>
  <w:style w:type="character" w:customStyle="1" w:styleId="143">
    <w:name w:val="样式 标题4 Char"/>
    <w:link w:val="144"/>
    <w:qFormat/>
    <w:uiPriority w:val="0"/>
    <w:rPr>
      <w:b/>
      <w:bCs/>
      <w:sz w:val="24"/>
      <w:szCs w:val="24"/>
      <w:lang w:eastAsia="en-US"/>
    </w:rPr>
  </w:style>
  <w:style w:type="paragraph" w:customStyle="1" w:styleId="144">
    <w:name w:val="样式 标题4"/>
    <w:basedOn w:val="7"/>
    <w:link w:val="143"/>
    <w:qFormat/>
    <w:uiPriority w:val="0"/>
    <w:pPr>
      <w:keepLines/>
      <w:spacing w:line="360" w:lineRule="auto"/>
      <w:jc w:val="both"/>
    </w:pPr>
    <w:rPr>
      <w:rFonts w:ascii="Times New Roman" w:eastAsia="宋体"/>
      <w:b/>
      <w:bCs/>
      <w:kern w:val="0"/>
      <w:sz w:val="24"/>
      <w:szCs w:val="24"/>
      <w:lang w:eastAsia="en-US"/>
    </w:rPr>
  </w:style>
  <w:style w:type="paragraph" w:customStyle="1" w:styleId="145">
    <w:name w:val="Default"/>
    <w:link w:val="146"/>
    <w:qFormat/>
    <w:uiPriority w:val="0"/>
    <w:pPr>
      <w:widowControl w:val="0"/>
      <w:autoSpaceDE w:val="0"/>
      <w:autoSpaceDN w:val="0"/>
      <w:adjustRightInd w:val="0"/>
    </w:pPr>
    <w:rPr>
      <w:rFonts w:ascii="Sim Sun" w:hAnsi="Times New Roman" w:eastAsia="Sim Sun" w:cs="Times New Roman"/>
      <w:color w:val="000000"/>
      <w:sz w:val="24"/>
      <w:szCs w:val="24"/>
      <w:lang w:val="en-US" w:eastAsia="zh-CN" w:bidi="ar-SA"/>
    </w:rPr>
  </w:style>
  <w:style w:type="character" w:customStyle="1" w:styleId="146">
    <w:name w:val="Default Char"/>
    <w:link w:val="145"/>
    <w:qFormat/>
    <w:locked/>
    <w:uiPriority w:val="0"/>
    <w:rPr>
      <w:rFonts w:ascii="Sim Sun" w:eastAsia="Sim Sun"/>
      <w:color w:val="000000"/>
      <w:sz w:val="24"/>
      <w:szCs w:val="24"/>
    </w:rPr>
  </w:style>
  <w:style w:type="character" w:customStyle="1" w:styleId="147">
    <w:name w:val="批注主题 字符1"/>
    <w:semiHidden/>
    <w:qFormat/>
    <w:uiPriority w:val="99"/>
    <w:rPr>
      <w:rFonts w:ascii="Times New Roman" w:hAnsi="Times New Roman" w:eastAsia="宋体" w:cs="Times New Roman"/>
      <w:b/>
      <w:bCs/>
      <w:sz w:val="24"/>
      <w:szCs w:val="20"/>
    </w:rPr>
  </w:style>
  <w:style w:type="character" w:customStyle="1" w:styleId="148">
    <w:name w:val="批注框文本 字符1"/>
    <w:semiHidden/>
    <w:qFormat/>
    <w:uiPriority w:val="99"/>
    <w:rPr>
      <w:rFonts w:ascii="Times New Roman" w:hAnsi="Times New Roman" w:eastAsia="宋体" w:cs="Times New Roman"/>
      <w:sz w:val="18"/>
      <w:szCs w:val="18"/>
    </w:rPr>
  </w:style>
  <w:style w:type="paragraph" w:styleId="149">
    <w:name w:val="No Spacing"/>
    <w:basedOn w:val="1"/>
    <w:qFormat/>
    <w:uiPriority w:val="99"/>
    <w:rPr>
      <w:szCs w:val="20"/>
    </w:rPr>
  </w:style>
  <w:style w:type="character" w:customStyle="1" w:styleId="150">
    <w:name w:val="正文文本缩进 3 字符1"/>
    <w:semiHidden/>
    <w:qFormat/>
    <w:uiPriority w:val="99"/>
    <w:rPr>
      <w:rFonts w:ascii="Times New Roman" w:hAnsi="Times New Roman" w:eastAsia="宋体" w:cs="Times New Roman"/>
      <w:sz w:val="16"/>
      <w:szCs w:val="16"/>
    </w:rPr>
  </w:style>
  <w:style w:type="character" w:customStyle="1" w:styleId="151">
    <w:name w:val="样式 首行缩进:  2 字符 行距: 最小值 24 磅 Char Char Char"/>
    <w:link w:val="152"/>
    <w:qFormat/>
    <w:uiPriority w:val="0"/>
    <w:rPr>
      <w:spacing w:val="6"/>
      <w:sz w:val="24"/>
    </w:rPr>
  </w:style>
  <w:style w:type="paragraph" w:customStyle="1" w:styleId="152">
    <w:name w:val="样式 首行缩进:  2 字符 行距: 最小值 24 磅 Char"/>
    <w:basedOn w:val="1"/>
    <w:link w:val="151"/>
    <w:qFormat/>
    <w:uiPriority w:val="0"/>
    <w:pPr>
      <w:spacing w:line="480" w:lineRule="atLeast"/>
      <w:ind w:firstLine="560" w:firstLineChars="200"/>
    </w:pPr>
    <w:rPr>
      <w:spacing w:val="6"/>
      <w:kern w:val="0"/>
      <w:sz w:val="24"/>
      <w:szCs w:val="20"/>
    </w:rPr>
  </w:style>
  <w:style w:type="character" w:customStyle="1" w:styleId="153">
    <w:name w:val="尾注文本 字符1"/>
    <w:link w:val="30"/>
    <w:qFormat/>
    <w:uiPriority w:val="0"/>
    <w:rPr>
      <w:rFonts w:ascii="等线" w:hAnsi="等线" w:eastAsia="等线"/>
      <w:kern w:val="2"/>
      <w:sz w:val="21"/>
      <w:szCs w:val="22"/>
    </w:rPr>
  </w:style>
  <w:style w:type="character" w:customStyle="1" w:styleId="154">
    <w:name w:val="新正文 Char"/>
    <w:link w:val="155"/>
    <w:qFormat/>
    <w:uiPriority w:val="0"/>
    <w:rPr>
      <w:rFonts w:ascii="宋体"/>
      <w:sz w:val="24"/>
      <w:szCs w:val="24"/>
    </w:rPr>
  </w:style>
  <w:style w:type="paragraph" w:customStyle="1" w:styleId="155">
    <w:name w:val="新正文"/>
    <w:basedOn w:val="1"/>
    <w:link w:val="154"/>
    <w:qFormat/>
    <w:uiPriority w:val="0"/>
    <w:pPr>
      <w:tabs>
        <w:tab w:val="left" w:pos="8295"/>
      </w:tabs>
      <w:spacing w:line="460" w:lineRule="exact"/>
      <w:ind w:firstLine="200" w:firstLineChars="200"/>
    </w:pPr>
    <w:rPr>
      <w:rFonts w:ascii="宋体"/>
      <w:kern w:val="0"/>
      <w:sz w:val="24"/>
    </w:rPr>
  </w:style>
  <w:style w:type="character" w:customStyle="1" w:styleId="156">
    <w:name w:val="样式12 Char Char"/>
    <w:link w:val="157"/>
    <w:qFormat/>
    <w:uiPriority w:val="0"/>
    <w:rPr>
      <w:szCs w:val="24"/>
    </w:rPr>
  </w:style>
  <w:style w:type="paragraph" w:customStyle="1" w:styleId="157">
    <w:name w:val="样式12"/>
    <w:basedOn w:val="1"/>
    <w:link w:val="156"/>
    <w:qFormat/>
    <w:uiPriority w:val="0"/>
    <w:pPr>
      <w:pBdr>
        <w:bottom w:val="thickThinSmallGap" w:color="auto" w:sz="18" w:space="1"/>
      </w:pBdr>
      <w:jc w:val="center"/>
    </w:pPr>
    <w:rPr>
      <w:kern w:val="0"/>
      <w:sz w:val="20"/>
    </w:rPr>
  </w:style>
  <w:style w:type="character" w:customStyle="1" w:styleId="158">
    <w:name w:val="syh3级标题 Char Char"/>
    <w:link w:val="159"/>
    <w:qFormat/>
    <w:uiPriority w:val="0"/>
    <w:rPr>
      <w:rFonts w:eastAsia="黑体"/>
      <w:sz w:val="24"/>
      <w:szCs w:val="24"/>
    </w:rPr>
  </w:style>
  <w:style w:type="paragraph" w:customStyle="1" w:styleId="159">
    <w:name w:val="syh3级标题"/>
    <w:basedOn w:val="1"/>
    <w:link w:val="158"/>
    <w:qFormat/>
    <w:uiPriority w:val="0"/>
    <w:pPr>
      <w:keepNext/>
      <w:widowControl/>
      <w:spacing w:line="520" w:lineRule="exact"/>
      <w:jc w:val="left"/>
      <w:outlineLvl w:val="2"/>
    </w:pPr>
    <w:rPr>
      <w:rFonts w:eastAsia="黑体"/>
      <w:kern w:val="0"/>
      <w:sz w:val="24"/>
    </w:rPr>
  </w:style>
  <w:style w:type="character" w:customStyle="1" w:styleId="160">
    <w:name w:val="syh2级标题 Char Char"/>
    <w:link w:val="161"/>
    <w:qFormat/>
    <w:uiPriority w:val="0"/>
    <w:rPr>
      <w:rFonts w:ascii="黑体" w:hAnsi="Gungsuh" w:eastAsia="黑体"/>
      <w:b/>
      <w:sz w:val="24"/>
      <w:szCs w:val="24"/>
      <w:lang w:val="zh-CN"/>
    </w:rPr>
  </w:style>
  <w:style w:type="paragraph" w:customStyle="1" w:styleId="161">
    <w:name w:val="syh2级标题"/>
    <w:basedOn w:val="1"/>
    <w:link w:val="160"/>
    <w:qFormat/>
    <w:uiPriority w:val="0"/>
    <w:pPr>
      <w:keepNext/>
      <w:widowControl/>
      <w:spacing w:line="520" w:lineRule="exact"/>
      <w:jc w:val="left"/>
      <w:outlineLvl w:val="1"/>
    </w:pPr>
    <w:rPr>
      <w:rFonts w:ascii="黑体" w:hAnsi="Gungsuh" w:eastAsia="黑体"/>
      <w:b/>
      <w:kern w:val="0"/>
      <w:sz w:val="24"/>
      <w:lang w:val="zh-CN"/>
    </w:rPr>
  </w:style>
  <w:style w:type="character" w:customStyle="1" w:styleId="162">
    <w:name w:val="标题-4 Char Char"/>
    <w:link w:val="163"/>
    <w:qFormat/>
    <w:uiPriority w:val="0"/>
    <w:rPr>
      <w:rFonts w:ascii="Arial" w:hAnsi="Arial"/>
      <w:b/>
      <w:sz w:val="24"/>
      <w:szCs w:val="24"/>
    </w:rPr>
  </w:style>
  <w:style w:type="paragraph" w:customStyle="1" w:styleId="163">
    <w:name w:val="标题-4"/>
    <w:basedOn w:val="7"/>
    <w:link w:val="162"/>
    <w:qFormat/>
    <w:uiPriority w:val="0"/>
    <w:pPr>
      <w:keepLines/>
      <w:adjustRightInd w:val="0"/>
      <w:snapToGrid w:val="0"/>
      <w:spacing w:before="156" w:beforeLines="50" w:line="360" w:lineRule="auto"/>
      <w:jc w:val="both"/>
      <w:textAlignment w:val="baseline"/>
    </w:pPr>
    <w:rPr>
      <w:rFonts w:ascii="Arial" w:hAnsi="Arial" w:eastAsia="宋体"/>
      <w:b/>
      <w:kern w:val="0"/>
      <w:sz w:val="24"/>
      <w:szCs w:val="24"/>
    </w:rPr>
  </w:style>
  <w:style w:type="character" w:customStyle="1" w:styleId="164">
    <w:name w:val="文本 Char Char"/>
    <w:link w:val="165"/>
    <w:qFormat/>
    <w:uiPriority w:val="0"/>
    <w:rPr>
      <w:rFonts w:ascii="宋体" w:hAnsi="宋体" w:cs="宋体"/>
      <w:spacing w:val="-10"/>
      <w:sz w:val="24"/>
      <w:lang w:val="en-GB"/>
    </w:rPr>
  </w:style>
  <w:style w:type="paragraph" w:customStyle="1" w:styleId="165">
    <w:name w:val="文本"/>
    <w:basedOn w:val="24"/>
    <w:link w:val="164"/>
    <w:qFormat/>
    <w:uiPriority w:val="0"/>
    <w:pPr>
      <w:spacing w:after="0" w:line="360" w:lineRule="auto"/>
      <w:ind w:left="882" w:leftChars="420"/>
    </w:pPr>
    <w:rPr>
      <w:rFonts w:ascii="宋体" w:hAnsi="宋体" w:cs="宋体"/>
      <w:spacing w:val="-10"/>
      <w:lang w:val="en-GB"/>
    </w:rPr>
  </w:style>
  <w:style w:type="character" w:customStyle="1" w:styleId="166">
    <w:name w:val="样式13 Char Char"/>
    <w:link w:val="167"/>
    <w:qFormat/>
    <w:uiPriority w:val="0"/>
    <w:rPr>
      <w:rFonts w:eastAsia="楷体_GB2312"/>
      <w:color w:val="000000"/>
      <w:sz w:val="32"/>
    </w:rPr>
  </w:style>
  <w:style w:type="paragraph" w:customStyle="1" w:styleId="167">
    <w:name w:val="样式13"/>
    <w:basedOn w:val="5"/>
    <w:link w:val="166"/>
    <w:qFormat/>
    <w:uiPriority w:val="0"/>
    <w:pPr>
      <w:keepLines/>
      <w:adjustRightInd w:val="0"/>
      <w:snapToGrid w:val="0"/>
      <w:spacing w:line="360" w:lineRule="auto"/>
      <w:jc w:val="left"/>
    </w:pPr>
    <w:rPr>
      <w:rFonts w:ascii="Times New Roman" w:eastAsia="楷体_GB2312"/>
      <w:color w:val="000000"/>
      <w:kern w:val="0"/>
      <w:sz w:val="32"/>
      <w:szCs w:val="20"/>
    </w:rPr>
  </w:style>
  <w:style w:type="character" w:customStyle="1" w:styleId="168">
    <w:name w:val="Char Char Char Char Char Char Char Char Char Char Char Char Char Char Char Char Char Char Char1 Char Char"/>
    <w:link w:val="169"/>
    <w:qFormat/>
    <w:uiPriority w:val="0"/>
    <w:rPr>
      <w:rFonts w:ascii="宋体" w:hAnsi="宋体"/>
      <w:sz w:val="24"/>
    </w:rPr>
  </w:style>
  <w:style w:type="paragraph" w:customStyle="1" w:styleId="169">
    <w:name w:val="Char Char Char Char Char Char Char Char Char Char Char Char Char Char Char Char Char Char Char11"/>
    <w:basedOn w:val="1"/>
    <w:link w:val="168"/>
    <w:qFormat/>
    <w:uiPriority w:val="0"/>
    <w:pPr>
      <w:spacing w:line="360" w:lineRule="auto"/>
      <w:ind w:firstLine="200" w:firstLineChars="200"/>
    </w:pPr>
    <w:rPr>
      <w:rFonts w:ascii="宋体" w:hAnsi="宋体"/>
      <w:kern w:val="0"/>
      <w:sz w:val="24"/>
      <w:szCs w:val="20"/>
    </w:rPr>
  </w:style>
  <w:style w:type="character" w:customStyle="1" w:styleId="170">
    <w:name w:val="正文缩进 字符"/>
    <w:link w:val="15"/>
    <w:qFormat/>
    <w:uiPriority w:val="0"/>
    <w:rPr>
      <w:kern w:val="2"/>
      <w:sz w:val="21"/>
      <w:szCs w:val="24"/>
    </w:rPr>
  </w:style>
  <w:style w:type="character" w:customStyle="1" w:styleId="171">
    <w:name w:val="款下正文 Char"/>
    <w:link w:val="172"/>
    <w:qFormat/>
    <w:uiPriority w:val="0"/>
    <w:rPr>
      <w:rFonts w:eastAsia="仿宋_GB2312"/>
      <w:sz w:val="28"/>
    </w:rPr>
  </w:style>
  <w:style w:type="paragraph" w:customStyle="1" w:styleId="172">
    <w:name w:val="款下正文"/>
    <w:basedOn w:val="1"/>
    <w:link w:val="171"/>
    <w:qFormat/>
    <w:uiPriority w:val="0"/>
    <w:pPr>
      <w:spacing w:line="460" w:lineRule="exact"/>
      <w:ind w:firstLine="560" w:firstLineChars="200"/>
    </w:pPr>
    <w:rPr>
      <w:rFonts w:eastAsia="仿宋_GB2312"/>
      <w:kern w:val="0"/>
      <w:sz w:val="28"/>
      <w:szCs w:val="20"/>
    </w:rPr>
  </w:style>
  <w:style w:type="character" w:customStyle="1" w:styleId="173">
    <w:name w:val="font01"/>
    <w:qFormat/>
    <w:uiPriority w:val="0"/>
    <w:rPr>
      <w:rFonts w:hint="default" w:ascii="Times New Roman" w:hAnsi="Times New Roman" w:cs="Times New Roman"/>
      <w:color w:val="000000"/>
      <w:sz w:val="21"/>
      <w:szCs w:val="21"/>
      <w:u w:val="none"/>
      <w:vertAlign w:val="subscript"/>
    </w:rPr>
  </w:style>
  <w:style w:type="character" w:customStyle="1" w:styleId="174">
    <w:name w:val="新标题2x Char"/>
    <w:link w:val="175"/>
    <w:qFormat/>
    <w:uiPriority w:val="0"/>
    <w:rPr>
      <w:rFonts w:ascii="黑体" w:hAnsi="Cambria" w:eastAsia="黑体"/>
      <w:bCs/>
      <w:kern w:val="44"/>
      <w:sz w:val="24"/>
      <w:szCs w:val="44"/>
    </w:rPr>
  </w:style>
  <w:style w:type="paragraph" w:customStyle="1" w:styleId="175">
    <w:name w:val="标题2x"/>
    <w:basedOn w:val="1"/>
    <w:link w:val="174"/>
    <w:qFormat/>
    <w:uiPriority w:val="0"/>
    <w:pPr>
      <w:keepNext/>
      <w:keepLines/>
      <w:spacing w:before="120" w:line="360" w:lineRule="auto"/>
      <w:outlineLvl w:val="1"/>
    </w:pPr>
    <w:rPr>
      <w:rFonts w:ascii="黑体" w:hAnsi="Cambria" w:eastAsia="黑体"/>
      <w:bCs/>
      <w:kern w:val="44"/>
      <w:sz w:val="24"/>
      <w:szCs w:val="44"/>
    </w:rPr>
  </w:style>
  <w:style w:type="character" w:customStyle="1" w:styleId="176">
    <w:name w:val="样式 正文文本 + Char Char"/>
    <w:link w:val="177"/>
    <w:qFormat/>
    <w:uiPriority w:val="0"/>
    <w:rPr>
      <w:rFonts w:eastAsia="仿宋_GB2312"/>
      <w:spacing w:val="-6"/>
      <w:sz w:val="18"/>
    </w:rPr>
  </w:style>
  <w:style w:type="paragraph" w:customStyle="1" w:styleId="177">
    <w:name w:val="样式 正文文本 +"/>
    <w:basedOn w:val="23"/>
    <w:link w:val="176"/>
    <w:qFormat/>
    <w:uiPriority w:val="0"/>
    <w:pPr>
      <w:widowControl w:val="0"/>
      <w:adjustRightInd w:val="0"/>
      <w:spacing w:after="60" w:line="264" w:lineRule="auto"/>
      <w:ind w:right="0" w:firstLine="200" w:firstLineChars="200"/>
      <w:textAlignment w:val="baseline"/>
    </w:pPr>
    <w:rPr>
      <w:rFonts w:eastAsia="仿宋_GB2312"/>
      <w:spacing w:val="-6"/>
    </w:rPr>
  </w:style>
  <w:style w:type="character" w:customStyle="1" w:styleId="178">
    <w:name w:val="表格正文 Char Char"/>
    <w:link w:val="179"/>
    <w:qFormat/>
    <w:uiPriority w:val="0"/>
    <w:rPr>
      <w:sz w:val="24"/>
      <w:szCs w:val="24"/>
    </w:rPr>
  </w:style>
  <w:style w:type="paragraph" w:customStyle="1" w:styleId="179">
    <w:name w:val="表格正文"/>
    <w:basedOn w:val="1"/>
    <w:link w:val="178"/>
    <w:qFormat/>
    <w:uiPriority w:val="0"/>
    <w:pPr>
      <w:jc w:val="center"/>
    </w:pPr>
    <w:rPr>
      <w:kern w:val="0"/>
      <w:sz w:val="24"/>
    </w:rPr>
  </w:style>
  <w:style w:type="character" w:customStyle="1" w:styleId="180">
    <w:name w:val="表 陈 Char Char"/>
    <w:link w:val="181"/>
    <w:qFormat/>
    <w:uiPriority w:val="0"/>
    <w:rPr>
      <w:rFonts w:ascii="宋体" w:hAnsi="宋体" w:cs="宋体"/>
    </w:rPr>
  </w:style>
  <w:style w:type="paragraph" w:customStyle="1" w:styleId="181">
    <w:name w:val="表 陈"/>
    <w:basedOn w:val="1"/>
    <w:link w:val="180"/>
    <w:qFormat/>
    <w:uiPriority w:val="0"/>
    <w:pPr>
      <w:spacing w:line="360" w:lineRule="exact"/>
      <w:jc w:val="center"/>
    </w:pPr>
    <w:rPr>
      <w:rFonts w:ascii="宋体" w:hAnsi="宋体" w:cs="宋体"/>
      <w:kern w:val="0"/>
      <w:sz w:val="20"/>
      <w:szCs w:val="20"/>
    </w:rPr>
  </w:style>
  <w:style w:type="character" w:customStyle="1" w:styleId="182">
    <w:name w:val="信息标题 字符1"/>
    <w:link w:val="42"/>
    <w:qFormat/>
    <w:uiPriority w:val="0"/>
    <w:rPr>
      <w:rFonts w:ascii="Arial" w:hAnsi="Arial" w:eastAsia="等线" w:cs="Arial"/>
      <w:kern w:val="2"/>
      <w:sz w:val="24"/>
      <w:szCs w:val="24"/>
      <w:shd w:val="pct20" w:color="auto" w:fill="auto"/>
    </w:rPr>
  </w:style>
  <w:style w:type="character" w:customStyle="1" w:styleId="183">
    <w:name w:val="表头及表尾 Char Char"/>
    <w:link w:val="184"/>
    <w:qFormat/>
    <w:uiPriority w:val="0"/>
    <w:rPr>
      <w:b/>
      <w:snapToGrid w:val="0"/>
    </w:rPr>
  </w:style>
  <w:style w:type="paragraph" w:customStyle="1" w:styleId="184">
    <w:name w:val="表头及表尾"/>
    <w:link w:val="183"/>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napToGrid w:val="0"/>
      <w:lang w:val="en-US" w:eastAsia="zh-CN" w:bidi="ar-SA"/>
    </w:rPr>
  </w:style>
  <w:style w:type="character" w:customStyle="1" w:styleId="185">
    <w:name w:val="正文(首行缩进) Char"/>
    <w:link w:val="186"/>
    <w:qFormat/>
    <w:uiPriority w:val="0"/>
    <w:rPr>
      <w:sz w:val="24"/>
    </w:rPr>
  </w:style>
  <w:style w:type="paragraph" w:customStyle="1" w:styleId="186">
    <w:name w:val="正文(首行缩进)"/>
    <w:basedOn w:val="1"/>
    <w:link w:val="185"/>
    <w:qFormat/>
    <w:uiPriority w:val="0"/>
    <w:pPr>
      <w:adjustRightInd w:val="0"/>
      <w:snapToGrid w:val="0"/>
      <w:spacing w:line="360" w:lineRule="auto"/>
      <w:ind w:firstLine="200" w:firstLineChars="200"/>
    </w:pPr>
    <w:rPr>
      <w:kern w:val="0"/>
      <w:sz w:val="24"/>
      <w:szCs w:val="20"/>
    </w:rPr>
  </w:style>
  <w:style w:type="character" w:customStyle="1" w:styleId="187">
    <w:name w:val="样式 标题 2节标题1.1Se节标题 1.11.1标题2W21.1标题 2标题 2 Char Char Char... Char Char"/>
    <w:link w:val="188"/>
    <w:qFormat/>
    <w:uiPriority w:val="0"/>
    <w:rPr>
      <w:rFonts w:cs="宋体"/>
      <w:b/>
      <w:bCs/>
      <w:sz w:val="28"/>
      <w:szCs w:val="30"/>
      <w:lang w:val="zh-CN"/>
    </w:rPr>
  </w:style>
  <w:style w:type="paragraph" w:customStyle="1" w:styleId="188">
    <w:name w:val="样式 标题 2节标题1.1Se节标题 1.11.1标题2W21.1标题 2标题 2 Char Char Char..."/>
    <w:basedOn w:val="5"/>
    <w:link w:val="187"/>
    <w:qFormat/>
    <w:uiPriority w:val="0"/>
    <w:pPr>
      <w:adjustRightInd w:val="0"/>
      <w:snapToGrid w:val="0"/>
      <w:spacing w:before="120" w:after="120" w:line="560" w:lineRule="exact"/>
      <w:jc w:val="left"/>
    </w:pPr>
    <w:rPr>
      <w:rFonts w:ascii="Times New Roman" w:eastAsia="宋体" w:cs="宋体"/>
      <w:b/>
      <w:bCs/>
      <w:kern w:val="0"/>
      <w:szCs w:val="30"/>
      <w:lang w:val="zh-CN"/>
    </w:rPr>
  </w:style>
  <w:style w:type="character" w:customStyle="1" w:styleId="189">
    <w:name w:val="表格内容1 Char Char"/>
    <w:link w:val="190"/>
    <w:qFormat/>
    <w:uiPriority w:val="0"/>
    <w:rPr>
      <w:rFonts w:ascii="宋体"/>
      <w:szCs w:val="24"/>
    </w:rPr>
  </w:style>
  <w:style w:type="paragraph" w:customStyle="1" w:styleId="190">
    <w:name w:val="表格内容1"/>
    <w:basedOn w:val="1"/>
    <w:link w:val="189"/>
    <w:qFormat/>
    <w:uiPriority w:val="0"/>
    <w:pPr>
      <w:adjustRightInd w:val="0"/>
      <w:snapToGrid w:val="0"/>
      <w:spacing w:before="46" w:beforeLines="15" w:after="46" w:afterLines="15" w:line="240" w:lineRule="exact"/>
    </w:pPr>
    <w:rPr>
      <w:rFonts w:ascii="宋体"/>
      <w:kern w:val="0"/>
      <w:sz w:val="20"/>
    </w:rPr>
  </w:style>
  <w:style w:type="character" w:customStyle="1" w:styleId="191">
    <w:name w:val="无间隔 Char"/>
    <w:link w:val="192"/>
    <w:qFormat/>
    <w:uiPriority w:val="0"/>
  </w:style>
  <w:style w:type="paragraph" w:customStyle="1" w:styleId="192">
    <w:name w:val="无间隔1"/>
    <w:basedOn w:val="1"/>
    <w:link w:val="191"/>
    <w:qFormat/>
    <w:uiPriority w:val="0"/>
    <w:rPr>
      <w:kern w:val="0"/>
      <w:sz w:val="20"/>
      <w:szCs w:val="20"/>
    </w:rPr>
  </w:style>
  <w:style w:type="character" w:customStyle="1" w:styleId="193">
    <w:name w:val="标题3C Char"/>
    <w:link w:val="194"/>
    <w:qFormat/>
    <w:uiPriority w:val="0"/>
    <w:rPr>
      <w:rFonts w:eastAsia="黑体"/>
      <w:bCs/>
      <w:sz w:val="28"/>
      <w:szCs w:val="32"/>
    </w:rPr>
  </w:style>
  <w:style w:type="paragraph" w:customStyle="1" w:styleId="194">
    <w:name w:val="标题3C"/>
    <w:basedOn w:val="6"/>
    <w:link w:val="193"/>
    <w:qFormat/>
    <w:uiPriority w:val="0"/>
    <w:pPr>
      <w:widowControl/>
      <w:tabs>
        <w:tab w:val="left" w:pos="900"/>
        <w:tab w:val="left" w:pos="5040"/>
      </w:tabs>
      <w:snapToGrid w:val="0"/>
      <w:spacing w:before="163" w:after="163" w:line="360" w:lineRule="auto"/>
      <w:jc w:val="left"/>
    </w:pPr>
    <w:rPr>
      <w:rFonts w:eastAsia="黑体"/>
      <w:b w:val="0"/>
      <w:kern w:val="0"/>
      <w:sz w:val="28"/>
    </w:rPr>
  </w:style>
  <w:style w:type="character" w:customStyle="1" w:styleId="195">
    <w:name w:val="正文（首行缩进） Char1"/>
    <w:link w:val="196"/>
    <w:qFormat/>
    <w:uiPriority w:val="0"/>
    <w:rPr>
      <w:sz w:val="24"/>
    </w:rPr>
  </w:style>
  <w:style w:type="paragraph" w:customStyle="1" w:styleId="196">
    <w:name w:val="正文（首行缩进）"/>
    <w:basedOn w:val="1"/>
    <w:link w:val="195"/>
    <w:qFormat/>
    <w:uiPriority w:val="0"/>
    <w:pPr>
      <w:widowControl/>
      <w:overflowPunct w:val="0"/>
      <w:topLinePunct/>
      <w:autoSpaceDE w:val="0"/>
      <w:autoSpaceDN w:val="0"/>
      <w:adjustRightInd w:val="0"/>
      <w:snapToGrid w:val="0"/>
      <w:spacing w:line="360" w:lineRule="auto"/>
      <w:ind w:firstLine="200" w:firstLineChars="200"/>
      <w:textAlignment w:val="baseline"/>
    </w:pPr>
    <w:rPr>
      <w:kern w:val="0"/>
      <w:sz w:val="24"/>
      <w:szCs w:val="20"/>
    </w:rPr>
  </w:style>
  <w:style w:type="character" w:customStyle="1" w:styleId="197">
    <w:name w:val="副标题 字符1"/>
    <w:qFormat/>
    <w:uiPriority w:val="0"/>
    <w:rPr>
      <w:rFonts w:ascii="Arial" w:hAnsi="Arial" w:cs="Arial"/>
      <w:b/>
      <w:bCs/>
      <w:kern w:val="28"/>
      <w:sz w:val="32"/>
      <w:szCs w:val="32"/>
    </w:rPr>
  </w:style>
  <w:style w:type="character" w:customStyle="1" w:styleId="198">
    <w:name w:val="页脚dg Char Char"/>
    <w:link w:val="199"/>
    <w:qFormat/>
    <w:uiPriority w:val="0"/>
    <w:rPr>
      <w:rFonts w:ascii="微软雅黑" w:hAnsi="微软雅黑" w:eastAsia="微软雅黑"/>
      <w:sz w:val="18"/>
      <w:szCs w:val="18"/>
      <w:lang w:eastAsia="en-US" w:bidi="en-US"/>
    </w:rPr>
  </w:style>
  <w:style w:type="paragraph" w:customStyle="1" w:styleId="199">
    <w:name w:val="页脚dg"/>
    <w:basedOn w:val="1"/>
    <w:link w:val="198"/>
    <w:qFormat/>
    <w:uiPriority w:val="0"/>
    <w:pPr>
      <w:widowControl/>
      <w:tabs>
        <w:tab w:val="center" w:pos="4153"/>
        <w:tab w:val="right" w:pos="8306"/>
      </w:tabs>
      <w:snapToGrid w:val="0"/>
      <w:jc w:val="left"/>
    </w:pPr>
    <w:rPr>
      <w:rFonts w:ascii="微软雅黑" w:hAnsi="微软雅黑" w:eastAsia="微软雅黑"/>
      <w:kern w:val="0"/>
      <w:sz w:val="18"/>
      <w:szCs w:val="18"/>
      <w:lang w:eastAsia="en-US" w:bidi="en-US"/>
    </w:rPr>
  </w:style>
  <w:style w:type="character" w:customStyle="1" w:styleId="200">
    <w:name w:val="表格题注 Char Char"/>
    <w:link w:val="201"/>
    <w:qFormat/>
    <w:uiPriority w:val="0"/>
    <w:rPr>
      <w:rFonts w:ascii="宋体"/>
      <w:sz w:val="24"/>
      <w:szCs w:val="24"/>
    </w:rPr>
  </w:style>
  <w:style w:type="paragraph" w:customStyle="1" w:styleId="201">
    <w:name w:val="表格题注"/>
    <w:basedOn w:val="1"/>
    <w:link w:val="200"/>
    <w:qFormat/>
    <w:uiPriority w:val="0"/>
    <w:pPr>
      <w:ind w:firstLine="200" w:firstLineChars="200"/>
      <w:jc w:val="center"/>
    </w:pPr>
    <w:rPr>
      <w:rFonts w:ascii="宋体"/>
      <w:kern w:val="0"/>
      <w:sz w:val="24"/>
    </w:rPr>
  </w:style>
  <w:style w:type="character" w:customStyle="1" w:styleId="202">
    <w:name w:val="标题 字符1"/>
    <w:link w:val="47"/>
    <w:qFormat/>
    <w:uiPriority w:val="0"/>
    <w:rPr>
      <w:rFonts w:ascii="等线" w:hAnsi="等线" w:eastAsia="等线"/>
      <w:b/>
      <w:kern w:val="2"/>
      <w:sz w:val="30"/>
      <w:szCs w:val="22"/>
    </w:rPr>
  </w:style>
  <w:style w:type="character" w:customStyle="1" w:styleId="203">
    <w:name w:val="正文000 Char Char"/>
    <w:link w:val="204"/>
    <w:qFormat/>
    <w:uiPriority w:val="0"/>
    <w:rPr>
      <w:sz w:val="24"/>
    </w:rPr>
  </w:style>
  <w:style w:type="paragraph" w:customStyle="1" w:styleId="204">
    <w:name w:val="正文000"/>
    <w:basedOn w:val="1"/>
    <w:link w:val="203"/>
    <w:qFormat/>
    <w:uiPriority w:val="0"/>
    <w:pPr>
      <w:spacing w:after="156" w:afterLines="50" w:line="288" w:lineRule="auto"/>
      <w:ind w:firstLine="480" w:firstLineChars="200"/>
    </w:pPr>
    <w:rPr>
      <w:kern w:val="0"/>
      <w:sz w:val="24"/>
      <w:szCs w:val="20"/>
    </w:rPr>
  </w:style>
  <w:style w:type="character" w:customStyle="1" w:styleId="205">
    <w:name w:val="表文 Char Char"/>
    <w:link w:val="206"/>
    <w:qFormat/>
    <w:uiPriority w:val="0"/>
  </w:style>
  <w:style w:type="paragraph" w:customStyle="1" w:styleId="206">
    <w:name w:val="表文"/>
    <w:basedOn w:val="1"/>
    <w:next w:val="1"/>
    <w:link w:val="205"/>
    <w:qFormat/>
    <w:uiPriority w:val="0"/>
    <w:pPr>
      <w:spacing w:line="360" w:lineRule="exact"/>
      <w:jc w:val="center"/>
    </w:pPr>
    <w:rPr>
      <w:kern w:val="0"/>
      <w:sz w:val="20"/>
      <w:szCs w:val="20"/>
    </w:rPr>
  </w:style>
  <w:style w:type="character" w:customStyle="1" w:styleId="207">
    <w:name w:val="正文文本首行缩进 2 字符1"/>
    <w:qFormat/>
    <w:uiPriority w:val="0"/>
    <w:rPr>
      <w:sz w:val="28"/>
      <w:szCs w:val="24"/>
    </w:rPr>
  </w:style>
  <w:style w:type="character" w:customStyle="1" w:styleId="208">
    <w:name w:val="4级标题 Char"/>
    <w:link w:val="209"/>
    <w:qFormat/>
    <w:uiPriority w:val="0"/>
    <w:rPr>
      <w:sz w:val="24"/>
      <w:szCs w:val="24"/>
    </w:rPr>
  </w:style>
  <w:style w:type="paragraph" w:customStyle="1" w:styleId="209">
    <w:name w:val="4级标题"/>
    <w:basedOn w:val="1"/>
    <w:link w:val="208"/>
    <w:qFormat/>
    <w:uiPriority w:val="0"/>
    <w:pPr>
      <w:tabs>
        <w:tab w:val="left" w:pos="1224"/>
        <w:tab w:val="left" w:pos="1260"/>
      </w:tabs>
      <w:adjustRightInd w:val="0"/>
      <w:snapToGrid w:val="0"/>
      <w:spacing w:before="156" w:beforeLines="50" w:after="156" w:afterLines="50" w:line="360" w:lineRule="auto"/>
      <w:ind w:left="1224" w:leftChars="200" w:hanging="864"/>
      <w:jc w:val="left"/>
      <w:outlineLvl w:val="3"/>
    </w:pPr>
    <w:rPr>
      <w:kern w:val="0"/>
      <w:sz w:val="24"/>
    </w:rPr>
  </w:style>
  <w:style w:type="character" w:customStyle="1" w:styleId="210">
    <w:name w:val="居中 Char Char"/>
    <w:link w:val="211"/>
    <w:qFormat/>
    <w:uiPriority w:val="0"/>
    <w:rPr>
      <w:rFonts w:cs="宋体"/>
    </w:rPr>
  </w:style>
  <w:style w:type="paragraph" w:customStyle="1" w:styleId="211">
    <w:name w:val="居中"/>
    <w:basedOn w:val="1"/>
    <w:link w:val="210"/>
    <w:qFormat/>
    <w:uiPriority w:val="0"/>
    <w:pPr>
      <w:spacing w:before="100" w:beforeAutospacing="1" w:after="100" w:afterAutospacing="1" w:line="360" w:lineRule="auto"/>
      <w:jc w:val="center"/>
    </w:pPr>
    <w:rPr>
      <w:rFonts w:cs="宋体"/>
      <w:kern w:val="0"/>
      <w:sz w:val="20"/>
      <w:szCs w:val="20"/>
    </w:rPr>
  </w:style>
  <w:style w:type="character" w:customStyle="1" w:styleId="212">
    <w:name w:val="0正文 Char"/>
    <w:link w:val="213"/>
    <w:qFormat/>
    <w:uiPriority w:val="0"/>
    <w:rPr>
      <w:sz w:val="24"/>
      <w:szCs w:val="24"/>
    </w:rPr>
  </w:style>
  <w:style w:type="paragraph" w:customStyle="1" w:styleId="213">
    <w:name w:val="0正文"/>
    <w:basedOn w:val="1"/>
    <w:link w:val="212"/>
    <w:qFormat/>
    <w:uiPriority w:val="0"/>
    <w:pPr>
      <w:spacing w:line="440" w:lineRule="exact"/>
      <w:ind w:firstLine="200" w:firstLineChars="200"/>
    </w:pPr>
    <w:rPr>
      <w:kern w:val="0"/>
      <w:sz w:val="24"/>
    </w:rPr>
  </w:style>
  <w:style w:type="character" w:customStyle="1" w:styleId="214">
    <w:name w:val="标题3 Char"/>
    <w:link w:val="215"/>
    <w:qFormat/>
    <w:uiPriority w:val="0"/>
    <w:rPr>
      <w:rFonts w:ascii="Times" w:hAnsi="Times"/>
      <w:sz w:val="28"/>
    </w:rPr>
  </w:style>
  <w:style w:type="paragraph" w:customStyle="1" w:styleId="215">
    <w:name w:val="标题31"/>
    <w:basedOn w:val="1"/>
    <w:next w:val="7"/>
    <w:link w:val="214"/>
    <w:qFormat/>
    <w:uiPriority w:val="0"/>
    <w:rPr>
      <w:rFonts w:ascii="Times" w:hAnsi="Times"/>
      <w:kern w:val="0"/>
      <w:sz w:val="28"/>
      <w:szCs w:val="20"/>
    </w:rPr>
  </w:style>
  <w:style w:type="character" w:customStyle="1" w:styleId="216">
    <w:name w:val="font41"/>
    <w:qFormat/>
    <w:uiPriority w:val="0"/>
    <w:rPr>
      <w:rFonts w:hint="default" w:ascii="Times New Roman" w:hAnsi="Times New Roman" w:cs="Times New Roman"/>
      <w:color w:val="000000"/>
      <w:sz w:val="21"/>
      <w:szCs w:val="21"/>
      <w:u w:val="none"/>
    </w:rPr>
  </w:style>
  <w:style w:type="character" w:customStyle="1" w:styleId="217">
    <w:name w:val="表格，五宋 Char"/>
    <w:link w:val="218"/>
    <w:qFormat/>
    <w:uiPriority w:val="0"/>
  </w:style>
  <w:style w:type="paragraph" w:customStyle="1" w:styleId="218">
    <w:name w:val="表格，五宋"/>
    <w:link w:val="217"/>
    <w:qFormat/>
    <w:uiPriority w:val="0"/>
    <w:pPr>
      <w:keepNext/>
      <w:widowControl w:val="0"/>
      <w:adjustRightInd w:val="0"/>
      <w:spacing w:line="360" w:lineRule="exact"/>
      <w:jc w:val="both"/>
    </w:pPr>
    <w:rPr>
      <w:rFonts w:ascii="Times New Roman" w:hAnsi="Times New Roman" w:eastAsia="宋体" w:cs="Times New Roman"/>
      <w:lang w:val="en-US" w:eastAsia="zh-CN" w:bidi="ar-SA"/>
    </w:rPr>
  </w:style>
  <w:style w:type="character" w:customStyle="1" w:styleId="219">
    <w:name w:val="表头编号 Char"/>
    <w:link w:val="220"/>
    <w:qFormat/>
    <w:uiPriority w:val="0"/>
    <w:rPr>
      <w:rFonts w:ascii="宋体" w:hAnsi="宋体"/>
      <w:szCs w:val="21"/>
    </w:rPr>
  </w:style>
  <w:style w:type="paragraph" w:customStyle="1" w:styleId="220">
    <w:name w:val="表头编号"/>
    <w:basedOn w:val="1"/>
    <w:link w:val="219"/>
    <w:qFormat/>
    <w:uiPriority w:val="0"/>
    <w:pPr>
      <w:tabs>
        <w:tab w:val="left" w:pos="6480"/>
      </w:tabs>
      <w:spacing w:line="540" w:lineRule="exact"/>
      <w:ind w:firstLine="567" w:firstLineChars="200"/>
      <w:jc w:val="right"/>
    </w:pPr>
    <w:rPr>
      <w:rFonts w:ascii="宋体" w:hAnsi="宋体"/>
      <w:kern w:val="0"/>
      <w:sz w:val="20"/>
      <w:szCs w:val="21"/>
    </w:rPr>
  </w:style>
  <w:style w:type="character" w:customStyle="1" w:styleId="221">
    <w:name w:val="签名 字符1"/>
    <w:link w:val="34"/>
    <w:qFormat/>
    <w:uiPriority w:val="0"/>
    <w:rPr>
      <w:rFonts w:ascii="等线" w:hAnsi="等线" w:eastAsia="等线"/>
      <w:kern w:val="2"/>
      <w:sz w:val="21"/>
      <w:szCs w:val="24"/>
    </w:rPr>
  </w:style>
  <w:style w:type="character" w:customStyle="1" w:styleId="222">
    <w:name w:val="样式 小四 左 行距: 固定值 28 磅 Char Char"/>
    <w:link w:val="223"/>
    <w:qFormat/>
    <w:uiPriority w:val="0"/>
    <w:rPr>
      <w:rFonts w:cs="宋体"/>
      <w:sz w:val="24"/>
    </w:rPr>
  </w:style>
  <w:style w:type="paragraph" w:customStyle="1" w:styleId="223">
    <w:name w:val="样式 小四 左 行距: 固定值 28 磅"/>
    <w:basedOn w:val="1"/>
    <w:link w:val="222"/>
    <w:qFormat/>
    <w:uiPriority w:val="0"/>
    <w:pPr>
      <w:spacing w:line="560" w:lineRule="exact"/>
      <w:jc w:val="left"/>
    </w:pPr>
    <w:rPr>
      <w:rFonts w:cs="宋体"/>
      <w:kern w:val="0"/>
      <w:sz w:val="24"/>
      <w:szCs w:val="20"/>
    </w:rPr>
  </w:style>
  <w:style w:type="character" w:customStyle="1" w:styleId="224">
    <w:name w:val="正文（首行缩进两字） Char Char1 Char"/>
    <w:link w:val="225"/>
    <w:qFormat/>
    <w:uiPriority w:val="0"/>
    <w:rPr>
      <w:rFonts w:ascii="Arial" w:hAnsi="Arial" w:cs="Arial"/>
      <w:color w:val="000000"/>
      <w:sz w:val="24"/>
      <w:szCs w:val="24"/>
    </w:rPr>
  </w:style>
  <w:style w:type="paragraph" w:customStyle="1" w:styleId="225">
    <w:name w:val="正文（首行缩进两字） Char Char Char2"/>
    <w:basedOn w:val="1"/>
    <w:next w:val="15"/>
    <w:link w:val="224"/>
    <w:qFormat/>
    <w:uiPriority w:val="0"/>
    <w:pPr>
      <w:spacing w:line="440" w:lineRule="exact"/>
      <w:ind w:firstLine="200" w:firstLineChars="200"/>
    </w:pPr>
    <w:rPr>
      <w:rFonts w:ascii="Arial" w:hAnsi="Arial" w:cs="Arial"/>
      <w:color w:val="000000"/>
      <w:kern w:val="0"/>
      <w:sz w:val="24"/>
    </w:rPr>
  </w:style>
  <w:style w:type="character" w:customStyle="1" w:styleId="226">
    <w:name w:val="样式2 Char"/>
    <w:link w:val="227"/>
    <w:qFormat/>
    <w:uiPriority w:val="0"/>
    <w:rPr>
      <w:rFonts w:ascii="宋体" w:hAnsi="宋体"/>
      <w:sz w:val="24"/>
    </w:rPr>
  </w:style>
  <w:style w:type="paragraph" w:customStyle="1" w:styleId="227">
    <w:name w:val="样式2"/>
    <w:basedOn w:val="1"/>
    <w:link w:val="226"/>
    <w:qFormat/>
    <w:uiPriority w:val="0"/>
    <w:pPr>
      <w:snapToGrid w:val="0"/>
      <w:spacing w:line="440" w:lineRule="exact"/>
      <w:ind w:firstLine="200" w:firstLineChars="200"/>
    </w:pPr>
    <w:rPr>
      <w:rFonts w:ascii="宋体" w:hAnsi="宋体"/>
      <w:kern w:val="0"/>
      <w:sz w:val="24"/>
      <w:szCs w:val="20"/>
    </w:rPr>
  </w:style>
  <w:style w:type="character" w:customStyle="1" w:styleId="228">
    <w:name w:val="新标题1x Char"/>
    <w:link w:val="229"/>
    <w:qFormat/>
    <w:uiPriority w:val="0"/>
    <w:rPr>
      <w:rFonts w:ascii="宋体" w:hAnsi="宋体"/>
      <w:b/>
      <w:bCs/>
      <w:kern w:val="44"/>
      <w:sz w:val="24"/>
      <w:szCs w:val="24"/>
    </w:rPr>
  </w:style>
  <w:style w:type="paragraph" w:customStyle="1" w:styleId="229">
    <w:name w:val="标题1x"/>
    <w:basedOn w:val="1"/>
    <w:link w:val="228"/>
    <w:qFormat/>
    <w:uiPriority w:val="0"/>
    <w:pPr>
      <w:keepNext/>
      <w:keepLines/>
      <w:tabs>
        <w:tab w:val="left" w:pos="1440"/>
      </w:tabs>
      <w:spacing w:line="360" w:lineRule="auto"/>
      <w:outlineLvl w:val="0"/>
    </w:pPr>
    <w:rPr>
      <w:rFonts w:ascii="宋体" w:hAnsi="宋体"/>
      <w:b/>
      <w:bCs/>
      <w:kern w:val="44"/>
      <w:sz w:val="24"/>
    </w:rPr>
  </w:style>
  <w:style w:type="character" w:customStyle="1" w:styleId="230">
    <w:name w:val="样式1 Char"/>
    <w:link w:val="231"/>
    <w:qFormat/>
    <w:uiPriority w:val="0"/>
    <w:rPr>
      <w:szCs w:val="24"/>
    </w:rPr>
  </w:style>
  <w:style w:type="paragraph" w:customStyle="1" w:styleId="231">
    <w:name w:val="样式1"/>
    <w:basedOn w:val="1"/>
    <w:link w:val="230"/>
    <w:qFormat/>
    <w:uiPriority w:val="0"/>
    <w:rPr>
      <w:kern w:val="0"/>
      <w:sz w:val="20"/>
    </w:rPr>
  </w:style>
  <w:style w:type="character" w:customStyle="1" w:styleId="232">
    <w:name w:val="结束语 字符1"/>
    <w:link w:val="22"/>
    <w:qFormat/>
    <w:uiPriority w:val="0"/>
    <w:rPr>
      <w:rFonts w:ascii="等线" w:hAnsi="等线" w:eastAsia="等线"/>
      <w:kern w:val="2"/>
      <w:sz w:val="21"/>
      <w:szCs w:val="24"/>
    </w:rPr>
  </w:style>
  <w:style w:type="character" w:customStyle="1" w:styleId="233">
    <w:name w:val="样式4 Char Char Char Char Char"/>
    <w:link w:val="234"/>
    <w:qFormat/>
    <w:uiPriority w:val="0"/>
    <w:rPr>
      <w:rFonts w:ascii="Arial" w:hAnsi="Arial"/>
      <w:sz w:val="24"/>
    </w:rPr>
  </w:style>
  <w:style w:type="paragraph" w:customStyle="1" w:styleId="234">
    <w:name w:val="样式4"/>
    <w:basedOn w:val="15"/>
    <w:link w:val="233"/>
    <w:qFormat/>
    <w:uiPriority w:val="0"/>
    <w:pPr>
      <w:snapToGrid w:val="0"/>
      <w:spacing w:line="460" w:lineRule="exact"/>
      <w:ind w:firstLine="0" w:firstLineChars="0"/>
    </w:pPr>
    <w:rPr>
      <w:rFonts w:ascii="Arial" w:hAnsi="Arial"/>
      <w:kern w:val="0"/>
      <w:sz w:val="24"/>
      <w:szCs w:val="20"/>
    </w:rPr>
  </w:style>
  <w:style w:type="character" w:customStyle="1" w:styleId="235">
    <w:name w:val="新正文样式 Char Char"/>
    <w:link w:val="236"/>
    <w:qFormat/>
    <w:uiPriority w:val="0"/>
    <w:rPr>
      <w:spacing w:val="20"/>
      <w:sz w:val="24"/>
    </w:rPr>
  </w:style>
  <w:style w:type="paragraph" w:customStyle="1" w:styleId="236">
    <w:name w:val="新正文样式"/>
    <w:basedOn w:val="1"/>
    <w:link w:val="235"/>
    <w:qFormat/>
    <w:uiPriority w:val="0"/>
    <w:pPr>
      <w:tabs>
        <w:tab w:val="left" w:pos="567"/>
      </w:tabs>
      <w:spacing w:line="360" w:lineRule="auto"/>
      <w:ind w:firstLine="567"/>
    </w:pPr>
    <w:rPr>
      <w:spacing w:val="20"/>
      <w:kern w:val="0"/>
      <w:sz w:val="24"/>
      <w:szCs w:val="20"/>
    </w:rPr>
  </w:style>
  <w:style w:type="character" w:customStyle="1" w:styleId="237">
    <w:name w:val="正文文本 3 字符1"/>
    <w:link w:val="21"/>
    <w:qFormat/>
    <w:uiPriority w:val="0"/>
    <w:rPr>
      <w:rFonts w:ascii="等线" w:hAnsi="等线" w:eastAsia="等线"/>
      <w:kern w:val="2"/>
      <w:sz w:val="16"/>
      <w:szCs w:val="16"/>
    </w:rPr>
  </w:style>
  <w:style w:type="character" w:customStyle="1" w:styleId="238">
    <w:name w:val="标题2dg Char Char"/>
    <w:link w:val="239"/>
    <w:qFormat/>
    <w:uiPriority w:val="0"/>
    <w:rPr>
      <w:rFonts w:hAnsi="Arial"/>
      <w:b/>
      <w:bCs/>
      <w:color w:val="000000"/>
      <w:sz w:val="28"/>
      <w:szCs w:val="30"/>
      <w:lang w:val="zh-CN"/>
    </w:rPr>
  </w:style>
  <w:style w:type="paragraph" w:customStyle="1" w:styleId="239">
    <w:name w:val="标题2dg"/>
    <w:basedOn w:val="5"/>
    <w:link w:val="238"/>
    <w:qFormat/>
    <w:uiPriority w:val="0"/>
    <w:pPr>
      <w:keepLines/>
      <w:adjustRightInd w:val="0"/>
      <w:snapToGrid w:val="0"/>
      <w:spacing w:before="156" w:beforeLines="50" w:after="156" w:afterLines="50" w:line="240" w:lineRule="auto"/>
      <w:jc w:val="both"/>
    </w:pPr>
    <w:rPr>
      <w:rFonts w:ascii="Times New Roman" w:hAnsi="Arial" w:eastAsia="宋体"/>
      <w:b/>
      <w:bCs/>
      <w:color w:val="000000"/>
      <w:kern w:val="0"/>
      <w:szCs w:val="30"/>
      <w:lang w:val="zh-CN"/>
    </w:rPr>
  </w:style>
  <w:style w:type="character" w:customStyle="1" w:styleId="240">
    <w:name w:val="海港表头 Char Char"/>
    <w:link w:val="241"/>
    <w:qFormat/>
    <w:uiPriority w:val="0"/>
    <w:rPr>
      <w:bCs/>
      <w:color w:val="000000"/>
      <w:szCs w:val="24"/>
    </w:rPr>
  </w:style>
  <w:style w:type="paragraph" w:customStyle="1" w:styleId="241">
    <w:name w:val="海港表头"/>
    <w:basedOn w:val="242"/>
    <w:link w:val="240"/>
    <w:qFormat/>
    <w:uiPriority w:val="0"/>
    <w:pPr>
      <w:tabs>
        <w:tab w:val="left" w:pos="5040"/>
      </w:tabs>
      <w:spacing w:line="300" w:lineRule="exact"/>
      <w:ind w:left="-56" w:leftChars="-30" w:right="-63" w:rightChars="-30"/>
      <w:textAlignment w:val="baseline"/>
      <w:outlineLvl w:val="9"/>
    </w:pPr>
    <w:rPr>
      <w:color w:val="000000"/>
    </w:rPr>
  </w:style>
  <w:style w:type="paragraph" w:customStyle="1" w:styleId="242">
    <w:name w:val="表"/>
    <w:basedOn w:val="1"/>
    <w:link w:val="243"/>
    <w:qFormat/>
    <w:uiPriority w:val="0"/>
    <w:pPr>
      <w:tabs>
        <w:tab w:val="left" w:pos="5040"/>
      </w:tabs>
      <w:adjustRightInd w:val="0"/>
      <w:snapToGrid w:val="0"/>
      <w:spacing w:line="360" w:lineRule="exact"/>
      <w:jc w:val="center"/>
      <w:outlineLvl w:val="0"/>
    </w:pPr>
    <w:rPr>
      <w:bCs/>
      <w:kern w:val="0"/>
      <w:sz w:val="20"/>
    </w:rPr>
  </w:style>
  <w:style w:type="character" w:customStyle="1" w:styleId="243">
    <w:name w:val="表 Char Char"/>
    <w:link w:val="242"/>
    <w:qFormat/>
    <w:uiPriority w:val="0"/>
    <w:rPr>
      <w:bCs/>
      <w:szCs w:val="24"/>
    </w:rPr>
  </w:style>
  <w:style w:type="character" w:customStyle="1" w:styleId="244">
    <w:name w:val="标题样式2 Char"/>
    <w:link w:val="245"/>
    <w:qFormat/>
    <w:uiPriority w:val="0"/>
    <w:rPr>
      <w:rFonts w:ascii="黑体" w:hAnsi="Arial" w:eastAsia="黑体"/>
      <w:b/>
      <w:bCs/>
      <w:color w:val="000000"/>
      <w:sz w:val="28"/>
      <w:szCs w:val="28"/>
    </w:rPr>
  </w:style>
  <w:style w:type="paragraph" w:customStyle="1" w:styleId="245">
    <w:name w:val="标题样式2"/>
    <w:basedOn w:val="5"/>
    <w:link w:val="244"/>
    <w:qFormat/>
    <w:uiPriority w:val="0"/>
    <w:pPr>
      <w:keepLines/>
      <w:adjustRightInd w:val="0"/>
      <w:spacing w:line="360" w:lineRule="auto"/>
      <w:jc w:val="left"/>
      <w:textAlignment w:val="baseline"/>
    </w:pPr>
    <w:rPr>
      <w:rFonts w:ascii="黑体" w:hAnsi="Arial" w:eastAsia="黑体"/>
      <w:b/>
      <w:bCs/>
      <w:color w:val="000000"/>
      <w:kern w:val="0"/>
      <w:szCs w:val="28"/>
    </w:rPr>
  </w:style>
  <w:style w:type="character" w:customStyle="1" w:styleId="246">
    <w:name w:val="标题1dg Char Char"/>
    <w:link w:val="247"/>
    <w:qFormat/>
    <w:uiPriority w:val="0"/>
    <w:rPr>
      <w:rFonts w:ascii="黑体" w:hAnsi="黑体"/>
      <w:b/>
      <w:bCs/>
      <w:sz w:val="30"/>
      <w:szCs w:val="32"/>
      <w:lang w:eastAsia="en-US" w:bidi="en-US"/>
    </w:rPr>
  </w:style>
  <w:style w:type="paragraph" w:customStyle="1" w:styleId="247">
    <w:name w:val="标题1dg"/>
    <w:basedOn w:val="4"/>
    <w:link w:val="246"/>
    <w:qFormat/>
    <w:uiPriority w:val="0"/>
    <w:pPr>
      <w:keepLines/>
      <w:pageBreakBefore/>
      <w:widowControl/>
      <w:overflowPunct/>
      <w:spacing w:before="180" w:after="180" w:line="440" w:lineRule="exact"/>
      <w:ind w:left="0" w:firstLine="0"/>
      <w:jc w:val="left"/>
    </w:pPr>
    <w:rPr>
      <w:rFonts w:ascii="黑体" w:hAnsi="黑体" w:eastAsia="宋体"/>
      <w:color w:val="auto"/>
      <w:kern w:val="0"/>
      <w:szCs w:val="32"/>
      <w:lang w:eastAsia="en-US" w:bidi="en-US"/>
    </w:rPr>
  </w:style>
  <w:style w:type="character" w:customStyle="1" w:styleId="248">
    <w:name w:val="样式10 Char Char"/>
    <w:link w:val="249"/>
    <w:qFormat/>
    <w:uiPriority w:val="0"/>
    <w:rPr>
      <w:sz w:val="15"/>
      <w:szCs w:val="15"/>
    </w:rPr>
  </w:style>
  <w:style w:type="paragraph" w:customStyle="1" w:styleId="249">
    <w:name w:val="样式10"/>
    <w:basedOn w:val="1"/>
    <w:link w:val="248"/>
    <w:qFormat/>
    <w:uiPriority w:val="0"/>
    <w:pPr>
      <w:pBdr>
        <w:bottom w:val="thinThickSmallGap" w:color="auto" w:sz="24" w:space="1"/>
      </w:pBdr>
      <w:jc w:val="center"/>
    </w:pPr>
    <w:rPr>
      <w:kern w:val="0"/>
      <w:sz w:val="15"/>
      <w:szCs w:val="15"/>
    </w:rPr>
  </w:style>
  <w:style w:type="character" w:customStyle="1" w:styleId="250">
    <w:name w:val="正文付 Char"/>
    <w:link w:val="251"/>
    <w:qFormat/>
    <w:uiPriority w:val="0"/>
    <w:rPr>
      <w:rFonts w:ascii="宋体" w:hAnsi="宋体"/>
      <w:b/>
      <w:bCs/>
      <w:color w:val="000000"/>
      <w:sz w:val="24"/>
      <w:szCs w:val="24"/>
    </w:rPr>
  </w:style>
  <w:style w:type="paragraph" w:customStyle="1" w:styleId="251">
    <w:name w:val="正文付"/>
    <w:basedOn w:val="252"/>
    <w:link w:val="250"/>
    <w:qFormat/>
    <w:uiPriority w:val="0"/>
    <w:pPr>
      <w:tabs>
        <w:tab w:val="left" w:pos="4860"/>
      </w:tabs>
      <w:adjustRightInd w:val="0"/>
      <w:snapToGrid w:val="0"/>
      <w:spacing w:line="360" w:lineRule="auto"/>
      <w:ind w:firstLine="0" w:firstLineChars="0"/>
      <w:jc w:val="center"/>
    </w:pPr>
    <w:rPr>
      <w:b/>
      <w:bCs/>
      <w:color w:val="000000"/>
    </w:rPr>
  </w:style>
  <w:style w:type="paragraph" w:customStyle="1" w:styleId="252">
    <w:name w:val="正文样式"/>
    <w:basedOn w:val="1"/>
    <w:link w:val="253"/>
    <w:qFormat/>
    <w:uiPriority w:val="0"/>
    <w:pPr>
      <w:spacing w:line="460" w:lineRule="exact"/>
      <w:ind w:firstLine="200" w:firstLineChars="200"/>
    </w:pPr>
    <w:rPr>
      <w:rFonts w:ascii="宋体" w:hAnsi="宋体"/>
      <w:kern w:val="0"/>
      <w:sz w:val="24"/>
    </w:rPr>
  </w:style>
  <w:style w:type="character" w:customStyle="1" w:styleId="253">
    <w:name w:val="正文样式 Char"/>
    <w:link w:val="252"/>
    <w:qFormat/>
    <w:uiPriority w:val="0"/>
    <w:rPr>
      <w:rFonts w:ascii="宋体" w:hAnsi="宋体"/>
      <w:sz w:val="24"/>
      <w:szCs w:val="24"/>
    </w:rPr>
  </w:style>
  <w:style w:type="character" w:customStyle="1" w:styleId="254">
    <w:name w:val="a正文 Char"/>
    <w:link w:val="255"/>
    <w:qFormat/>
    <w:uiPriority w:val="0"/>
    <w:rPr>
      <w:spacing w:val="5"/>
      <w:sz w:val="24"/>
      <w:szCs w:val="25"/>
    </w:rPr>
  </w:style>
  <w:style w:type="paragraph" w:customStyle="1" w:styleId="255">
    <w:name w:val="a正文"/>
    <w:link w:val="254"/>
    <w:qFormat/>
    <w:uiPriority w:val="0"/>
    <w:pPr>
      <w:spacing w:line="480" w:lineRule="exact"/>
      <w:ind w:firstLine="200" w:firstLineChars="200"/>
      <w:jc w:val="both"/>
    </w:pPr>
    <w:rPr>
      <w:rFonts w:ascii="Times New Roman" w:hAnsi="Times New Roman" w:eastAsia="宋体" w:cs="Times New Roman"/>
      <w:spacing w:val="5"/>
      <w:sz w:val="24"/>
      <w:szCs w:val="25"/>
      <w:lang w:val="en-US" w:eastAsia="zh-CN" w:bidi="ar-SA"/>
    </w:rPr>
  </w:style>
  <w:style w:type="character" w:customStyle="1" w:styleId="256">
    <w:name w:val="段落 Char Char"/>
    <w:link w:val="257"/>
    <w:qFormat/>
    <w:uiPriority w:val="0"/>
    <w:rPr>
      <w:rFonts w:ascii="宋体"/>
    </w:rPr>
  </w:style>
  <w:style w:type="paragraph" w:customStyle="1" w:styleId="257">
    <w:name w:val="段落"/>
    <w:basedOn w:val="1"/>
    <w:link w:val="256"/>
    <w:qFormat/>
    <w:uiPriority w:val="0"/>
    <w:pPr>
      <w:widowControl/>
      <w:spacing w:before="312" w:beforeLines="100" w:line="288" w:lineRule="auto"/>
      <w:ind w:firstLine="420" w:firstLineChars="200"/>
      <w:jc w:val="left"/>
    </w:pPr>
    <w:rPr>
      <w:rFonts w:ascii="宋体"/>
      <w:kern w:val="0"/>
      <w:sz w:val="20"/>
      <w:szCs w:val="20"/>
    </w:rPr>
  </w:style>
  <w:style w:type="character" w:customStyle="1" w:styleId="258">
    <w:name w:val="样式 正文（首行缩进两字） + 行距: 固定值 20 磅 Char Char"/>
    <w:link w:val="259"/>
    <w:qFormat/>
    <w:uiPriority w:val="0"/>
    <w:rPr>
      <w:rFonts w:eastAsia="仿宋_GB2312"/>
      <w:sz w:val="24"/>
    </w:rPr>
  </w:style>
  <w:style w:type="paragraph" w:customStyle="1" w:styleId="259">
    <w:name w:val="样式 正文（首行缩进两字） + 行距: 固定值 20 磅"/>
    <w:basedOn w:val="15"/>
    <w:link w:val="258"/>
    <w:qFormat/>
    <w:uiPriority w:val="0"/>
    <w:pPr>
      <w:spacing w:after="62" w:afterLines="20" w:line="400" w:lineRule="exact"/>
      <w:ind w:firstLine="480"/>
    </w:pPr>
    <w:rPr>
      <w:rFonts w:eastAsia="仿宋_GB2312"/>
      <w:kern w:val="0"/>
      <w:sz w:val="24"/>
      <w:szCs w:val="20"/>
    </w:rPr>
  </w:style>
  <w:style w:type="character" w:customStyle="1" w:styleId="260">
    <w:name w:val="正文 李健 Char Char"/>
    <w:link w:val="261"/>
    <w:qFormat/>
    <w:uiPriority w:val="0"/>
    <w:rPr>
      <w:sz w:val="24"/>
      <w:szCs w:val="21"/>
    </w:rPr>
  </w:style>
  <w:style w:type="paragraph" w:customStyle="1" w:styleId="261">
    <w:name w:val="正文 李健"/>
    <w:basedOn w:val="1"/>
    <w:link w:val="260"/>
    <w:qFormat/>
    <w:uiPriority w:val="0"/>
    <w:pPr>
      <w:adjustRightInd w:val="0"/>
      <w:snapToGrid w:val="0"/>
      <w:spacing w:line="360" w:lineRule="auto"/>
      <w:ind w:firstLine="200" w:firstLineChars="200"/>
      <w:textAlignment w:val="baseline"/>
    </w:pPr>
    <w:rPr>
      <w:kern w:val="0"/>
      <w:sz w:val="24"/>
      <w:szCs w:val="21"/>
    </w:rPr>
  </w:style>
  <w:style w:type="character" w:customStyle="1" w:styleId="262">
    <w:name w:val="宏文本 字符1"/>
    <w:link w:val="3"/>
    <w:qFormat/>
    <w:uiPriority w:val="0"/>
    <w:rPr>
      <w:rFonts w:ascii="Courier New" w:hAnsi="Courier New" w:eastAsia="等线" w:cs="Courier New"/>
      <w:kern w:val="2"/>
      <w:sz w:val="24"/>
      <w:szCs w:val="24"/>
    </w:rPr>
  </w:style>
  <w:style w:type="character" w:customStyle="1" w:styleId="263">
    <w:name w:val="列表 2 字符"/>
    <w:link w:val="25"/>
    <w:qFormat/>
    <w:uiPriority w:val="0"/>
    <w:rPr>
      <w:rFonts w:ascii="楷体_GB2312" w:hAnsi="宋体" w:eastAsia="楷体_GB2312"/>
      <w:color w:val="000000"/>
      <w:kern w:val="2"/>
      <w:sz w:val="21"/>
      <w:szCs w:val="28"/>
    </w:rPr>
  </w:style>
  <w:style w:type="character" w:customStyle="1" w:styleId="264">
    <w:name w:val="正文文本缩进 2 字符1"/>
    <w:link w:val="29"/>
    <w:qFormat/>
    <w:uiPriority w:val="0"/>
    <w:rPr>
      <w:rFonts w:ascii="等线" w:hAnsi="等线" w:eastAsia="等线"/>
      <w:color w:val="FF0000"/>
      <w:kern w:val="2"/>
      <w:sz w:val="28"/>
      <w:szCs w:val="24"/>
    </w:rPr>
  </w:style>
  <w:style w:type="character" w:customStyle="1" w:styleId="265">
    <w:name w:val="xl35 Char"/>
    <w:link w:val="266"/>
    <w:qFormat/>
    <w:uiPriority w:val="0"/>
    <w:rPr>
      <w:rFonts w:ascii="Arial Unicode MS" w:hAnsi="Arial Unicode MS" w:eastAsia="Arial Unicode MS"/>
      <w:sz w:val="24"/>
    </w:rPr>
  </w:style>
  <w:style w:type="paragraph" w:customStyle="1" w:styleId="266">
    <w:name w:val="xl35"/>
    <w:basedOn w:val="1"/>
    <w:link w:val="265"/>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0"/>
    </w:rPr>
  </w:style>
  <w:style w:type="character" w:customStyle="1" w:styleId="267">
    <w:name w:val="称呼 字符1"/>
    <w:link w:val="20"/>
    <w:qFormat/>
    <w:uiPriority w:val="0"/>
    <w:rPr>
      <w:rFonts w:ascii="等线" w:hAnsi="等线" w:eastAsia="等线"/>
      <w:kern w:val="2"/>
      <w:sz w:val="21"/>
      <w:szCs w:val="24"/>
    </w:rPr>
  </w:style>
  <w:style w:type="character" w:customStyle="1" w:styleId="268">
    <w:name w:val="表格1 Char Char"/>
    <w:link w:val="269"/>
    <w:qFormat/>
    <w:uiPriority w:val="0"/>
  </w:style>
  <w:style w:type="paragraph" w:customStyle="1" w:styleId="269">
    <w:name w:val="表格1"/>
    <w:basedOn w:val="1"/>
    <w:link w:val="268"/>
    <w:qFormat/>
    <w:uiPriority w:val="0"/>
    <w:pPr>
      <w:spacing w:line="360" w:lineRule="auto"/>
      <w:jc w:val="center"/>
    </w:pPr>
    <w:rPr>
      <w:kern w:val="0"/>
      <w:sz w:val="20"/>
      <w:szCs w:val="20"/>
    </w:rPr>
  </w:style>
  <w:style w:type="character" w:customStyle="1" w:styleId="270">
    <w:name w:val="表格dg Char Char"/>
    <w:link w:val="271"/>
    <w:qFormat/>
    <w:uiPriority w:val="0"/>
    <w:rPr>
      <w:rFonts w:ascii="新宋体" w:hAnsi="新宋体" w:eastAsia="新宋体"/>
      <w:szCs w:val="21"/>
      <w:lang w:val="zh-CN" w:eastAsia="en-US" w:bidi="en-US"/>
    </w:rPr>
  </w:style>
  <w:style w:type="paragraph" w:customStyle="1" w:styleId="271">
    <w:name w:val="表格dg"/>
    <w:basedOn w:val="1"/>
    <w:link w:val="270"/>
    <w:qFormat/>
    <w:uiPriority w:val="0"/>
    <w:pPr>
      <w:widowControl/>
      <w:autoSpaceDE w:val="0"/>
      <w:autoSpaceDN w:val="0"/>
      <w:adjustRightInd w:val="0"/>
      <w:jc w:val="center"/>
    </w:pPr>
    <w:rPr>
      <w:rFonts w:ascii="新宋体" w:hAnsi="新宋体" w:eastAsia="新宋体"/>
      <w:kern w:val="0"/>
      <w:sz w:val="20"/>
      <w:szCs w:val="21"/>
      <w:lang w:val="zh-CN" w:eastAsia="en-US" w:bidi="en-US"/>
    </w:rPr>
  </w:style>
  <w:style w:type="character" w:customStyle="1" w:styleId="272">
    <w:name w:val="脚注文本 字符1"/>
    <w:link w:val="38"/>
    <w:qFormat/>
    <w:uiPriority w:val="0"/>
    <w:rPr>
      <w:rFonts w:ascii="等线" w:hAnsi="等线" w:eastAsia="等线"/>
      <w:kern w:val="2"/>
      <w:sz w:val="18"/>
      <w:szCs w:val="18"/>
    </w:rPr>
  </w:style>
  <w:style w:type="character" w:customStyle="1" w:styleId="273">
    <w:name w:val="xxxxx正文 Char"/>
    <w:link w:val="274"/>
    <w:qFormat/>
    <w:uiPriority w:val="0"/>
    <w:rPr>
      <w:rFonts w:ascii="宋体"/>
      <w:sz w:val="24"/>
      <w:szCs w:val="24"/>
      <w:lang w:val="zh-CN"/>
    </w:rPr>
  </w:style>
  <w:style w:type="paragraph" w:customStyle="1" w:styleId="274">
    <w:name w:val="xxxxx正文"/>
    <w:basedOn w:val="1"/>
    <w:link w:val="273"/>
    <w:qFormat/>
    <w:uiPriority w:val="0"/>
    <w:pPr>
      <w:topLinePunct/>
      <w:spacing w:line="360" w:lineRule="auto"/>
      <w:ind w:firstLine="200" w:firstLineChars="200"/>
    </w:pPr>
    <w:rPr>
      <w:rFonts w:ascii="宋体"/>
      <w:kern w:val="0"/>
      <w:sz w:val="24"/>
      <w:lang w:val="zh-CN"/>
    </w:rPr>
  </w:style>
  <w:style w:type="character" w:customStyle="1" w:styleId="275">
    <w:name w:val="样式 报告正文 + 首行缩进:  2 字符 Char Char"/>
    <w:link w:val="276"/>
    <w:qFormat/>
    <w:uiPriority w:val="0"/>
    <w:rPr>
      <w:rFonts w:cs="宋体"/>
      <w:sz w:val="24"/>
    </w:rPr>
  </w:style>
  <w:style w:type="paragraph" w:customStyle="1" w:styleId="276">
    <w:name w:val="样式 报告正文 + 首行缩进:  2 字符"/>
    <w:basedOn w:val="1"/>
    <w:link w:val="275"/>
    <w:qFormat/>
    <w:uiPriority w:val="0"/>
    <w:pPr>
      <w:autoSpaceDE w:val="0"/>
      <w:autoSpaceDN w:val="0"/>
      <w:spacing w:line="360" w:lineRule="auto"/>
      <w:ind w:firstLine="200" w:firstLineChars="200"/>
    </w:pPr>
    <w:rPr>
      <w:rFonts w:cs="宋体"/>
      <w:kern w:val="0"/>
      <w:sz w:val="24"/>
      <w:szCs w:val="20"/>
    </w:rPr>
  </w:style>
  <w:style w:type="character" w:customStyle="1" w:styleId="277">
    <w:name w:val="表文字 Char1"/>
    <w:link w:val="278"/>
    <w:qFormat/>
    <w:uiPriority w:val="0"/>
    <w:rPr>
      <w:rFonts w:ascii="宋体" w:hAnsi="宋体"/>
      <w:color w:val="000000"/>
      <w:szCs w:val="9"/>
    </w:rPr>
  </w:style>
  <w:style w:type="paragraph" w:customStyle="1" w:styleId="278">
    <w:name w:val="表文字"/>
    <w:basedOn w:val="1"/>
    <w:link w:val="277"/>
    <w:qFormat/>
    <w:uiPriority w:val="0"/>
    <w:pPr>
      <w:tabs>
        <w:tab w:val="left" w:pos="945"/>
        <w:tab w:val="right" w:leader="dot" w:pos="1155"/>
        <w:tab w:val="left" w:pos="8715"/>
      </w:tabs>
      <w:adjustRightInd w:val="0"/>
      <w:snapToGrid w:val="0"/>
      <w:spacing w:before="46" w:beforeLines="15" w:after="46" w:afterLines="15" w:line="360" w:lineRule="auto"/>
      <w:jc w:val="center"/>
      <w:textAlignment w:val="baseline"/>
    </w:pPr>
    <w:rPr>
      <w:rFonts w:ascii="宋体" w:hAnsi="宋体"/>
      <w:color w:val="000000"/>
      <w:kern w:val="0"/>
      <w:sz w:val="20"/>
      <w:szCs w:val="9"/>
    </w:rPr>
  </w:style>
  <w:style w:type="character" w:customStyle="1" w:styleId="279">
    <w:name w:val="样式6 Char Char"/>
    <w:link w:val="280"/>
    <w:qFormat/>
    <w:uiPriority w:val="0"/>
    <w:rPr>
      <w:rFonts w:ascii="宋体" w:hAnsi="宋体" w:cs="宋体"/>
      <w:bCs/>
      <w:kern w:val="24"/>
      <w:sz w:val="24"/>
      <w:szCs w:val="24"/>
    </w:rPr>
  </w:style>
  <w:style w:type="paragraph" w:customStyle="1" w:styleId="280">
    <w:name w:val="样式6"/>
    <w:basedOn w:val="1"/>
    <w:link w:val="279"/>
    <w:qFormat/>
    <w:uiPriority w:val="0"/>
    <w:pPr>
      <w:snapToGrid w:val="0"/>
      <w:spacing w:line="360" w:lineRule="auto"/>
      <w:ind w:firstLine="480" w:firstLineChars="200"/>
    </w:pPr>
    <w:rPr>
      <w:rFonts w:ascii="宋体" w:hAnsi="宋体" w:cs="宋体"/>
      <w:bCs/>
      <w:kern w:val="24"/>
      <w:sz w:val="24"/>
    </w:rPr>
  </w:style>
  <w:style w:type="character" w:customStyle="1" w:styleId="281">
    <w:name w:val="不明显强调1"/>
    <w:qFormat/>
    <w:uiPriority w:val="0"/>
    <w:rPr>
      <w:i/>
      <w:color w:val="808080"/>
    </w:rPr>
  </w:style>
  <w:style w:type="character" w:customStyle="1" w:styleId="282">
    <w:name w:val="图名 Char Char"/>
    <w:link w:val="283"/>
    <w:qFormat/>
    <w:uiPriority w:val="0"/>
    <w:rPr>
      <w:rFonts w:ascii="宋体" w:hAnsi="宋体" w:cs="宋体"/>
      <w:b/>
      <w:bCs/>
      <w:color w:val="000000"/>
      <w:spacing w:val="8"/>
      <w:kern w:val="32"/>
      <w:sz w:val="24"/>
      <w:szCs w:val="24"/>
    </w:rPr>
  </w:style>
  <w:style w:type="paragraph" w:customStyle="1" w:styleId="283">
    <w:name w:val="图名"/>
    <w:basedOn w:val="1"/>
    <w:next w:val="1"/>
    <w:link w:val="282"/>
    <w:qFormat/>
    <w:uiPriority w:val="0"/>
    <w:pPr>
      <w:tabs>
        <w:tab w:val="left" w:pos="360"/>
        <w:tab w:val="left" w:pos="3780"/>
        <w:tab w:val="left" w:pos="4680"/>
      </w:tabs>
      <w:jc w:val="center"/>
    </w:pPr>
    <w:rPr>
      <w:rFonts w:ascii="宋体" w:hAnsi="宋体" w:cs="宋体"/>
      <w:b/>
      <w:bCs/>
      <w:color w:val="000000"/>
      <w:spacing w:val="8"/>
      <w:kern w:val="32"/>
      <w:sz w:val="24"/>
    </w:rPr>
  </w:style>
  <w:style w:type="character" w:customStyle="1" w:styleId="284">
    <w:name w:val="样式 首行缩进:  2 字符 Char"/>
    <w:link w:val="285"/>
    <w:qFormat/>
    <w:uiPriority w:val="0"/>
    <w:rPr>
      <w:rFonts w:cs="宋体"/>
      <w:sz w:val="24"/>
      <w:szCs w:val="24"/>
    </w:rPr>
  </w:style>
  <w:style w:type="paragraph" w:customStyle="1" w:styleId="285">
    <w:name w:val="样式 首行缩进:  2 字符"/>
    <w:basedOn w:val="1"/>
    <w:link w:val="284"/>
    <w:qFormat/>
    <w:uiPriority w:val="0"/>
    <w:pPr>
      <w:spacing w:line="460" w:lineRule="exact"/>
      <w:ind w:firstLine="471"/>
    </w:pPr>
    <w:rPr>
      <w:rFonts w:cs="宋体"/>
      <w:kern w:val="0"/>
      <w:sz w:val="24"/>
    </w:rPr>
  </w:style>
  <w:style w:type="character" w:customStyle="1" w:styleId="286">
    <w:name w:val="正文文本首行缩进 字符1"/>
    <w:link w:val="49"/>
    <w:qFormat/>
    <w:uiPriority w:val="0"/>
    <w:rPr>
      <w:rFonts w:ascii="等线" w:hAnsi="等线" w:eastAsia="等线"/>
      <w:color w:val="000000"/>
      <w:kern w:val="2"/>
      <w:sz w:val="24"/>
      <w:szCs w:val="24"/>
    </w:rPr>
  </w:style>
  <w:style w:type="character" w:customStyle="1" w:styleId="287">
    <w:name w:val="我的正文 Char"/>
    <w:link w:val="288"/>
    <w:qFormat/>
    <w:uiPriority w:val="0"/>
    <w:rPr>
      <w:sz w:val="24"/>
    </w:rPr>
  </w:style>
  <w:style w:type="paragraph" w:customStyle="1" w:styleId="288">
    <w:name w:val="我的正文"/>
    <w:basedOn w:val="1"/>
    <w:link w:val="287"/>
    <w:qFormat/>
    <w:uiPriority w:val="0"/>
    <w:pPr>
      <w:spacing w:line="360" w:lineRule="auto"/>
      <w:ind w:firstLine="480" w:firstLineChars="200"/>
    </w:pPr>
    <w:rPr>
      <w:kern w:val="0"/>
      <w:sz w:val="24"/>
      <w:szCs w:val="20"/>
    </w:rPr>
  </w:style>
  <w:style w:type="character" w:customStyle="1" w:styleId="289">
    <w:name w:val="表格头 Char Char"/>
    <w:link w:val="290"/>
    <w:qFormat/>
    <w:uiPriority w:val="0"/>
    <w:rPr>
      <w:rFonts w:eastAsia="华文中宋"/>
      <w:sz w:val="24"/>
      <w:szCs w:val="24"/>
    </w:rPr>
  </w:style>
  <w:style w:type="paragraph" w:customStyle="1" w:styleId="290">
    <w:name w:val="表格头"/>
    <w:next w:val="1"/>
    <w:link w:val="289"/>
    <w:qFormat/>
    <w:uiPriority w:val="0"/>
    <w:pPr>
      <w:keepNext/>
      <w:tabs>
        <w:tab w:val="center" w:pos="4620"/>
      </w:tabs>
    </w:pPr>
    <w:rPr>
      <w:rFonts w:ascii="Times New Roman" w:hAnsi="Times New Roman" w:eastAsia="华文中宋" w:cs="Times New Roman"/>
      <w:sz w:val="24"/>
      <w:szCs w:val="24"/>
      <w:lang w:val="en-US" w:eastAsia="zh-CN" w:bidi="ar-SA"/>
    </w:rPr>
  </w:style>
  <w:style w:type="character" w:customStyle="1" w:styleId="291">
    <w:name w:val="标题3xx Char"/>
    <w:link w:val="292"/>
    <w:qFormat/>
    <w:uiPriority w:val="0"/>
    <w:rPr>
      <w:rFonts w:ascii="黑体" w:eastAsia="黑体"/>
      <w:bCs/>
      <w:color w:val="000000"/>
      <w:kern w:val="44"/>
      <w:sz w:val="24"/>
      <w:szCs w:val="24"/>
    </w:rPr>
  </w:style>
  <w:style w:type="paragraph" w:customStyle="1" w:styleId="292">
    <w:name w:val="标题3xx"/>
    <w:basedOn w:val="4"/>
    <w:link w:val="291"/>
    <w:qFormat/>
    <w:uiPriority w:val="0"/>
    <w:pPr>
      <w:keepLines/>
      <w:overflowPunct/>
      <w:adjustRightInd w:val="0"/>
      <w:spacing w:after="120" w:line="360" w:lineRule="auto"/>
      <w:ind w:left="0" w:firstLine="0"/>
      <w:jc w:val="left"/>
      <w:textAlignment w:val="baseline"/>
      <w:outlineLvl w:val="2"/>
    </w:pPr>
    <w:rPr>
      <w:rFonts w:ascii="黑体"/>
      <w:b w:val="0"/>
      <w:sz w:val="24"/>
      <w:szCs w:val="24"/>
    </w:rPr>
  </w:style>
  <w:style w:type="character" w:customStyle="1" w:styleId="293">
    <w:name w:val="样式 标题 4 + 蓝色 Char Char"/>
    <w:link w:val="294"/>
    <w:qFormat/>
    <w:uiPriority w:val="0"/>
    <w:rPr>
      <w:rFonts w:ascii="新宋体" w:hAnsi="Arial" w:eastAsia="新宋体"/>
      <w:b/>
      <w:color w:val="0000FF"/>
      <w:sz w:val="24"/>
      <w:szCs w:val="24"/>
    </w:rPr>
  </w:style>
  <w:style w:type="paragraph" w:customStyle="1" w:styleId="294">
    <w:name w:val="样式 标题 4 + 蓝色"/>
    <w:basedOn w:val="7"/>
    <w:link w:val="293"/>
    <w:qFormat/>
    <w:uiPriority w:val="0"/>
    <w:pPr>
      <w:keepLines/>
      <w:spacing w:line="440" w:lineRule="exact"/>
      <w:jc w:val="left"/>
    </w:pPr>
    <w:rPr>
      <w:rFonts w:ascii="新宋体" w:hAnsi="Arial" w:eastAsia="新宋体"/>
      <w:b/>
      <w:color w:val="0000FF"/>
      <w:kern w:val="0"/>
      <w:sz w:val="24"/>
      <w:szCs w:val="24"/>
    </w:rPr>
  </w:style>
  <w:style w:type="character" w:customStyle="1" w:styleId="295">
    <w:name w:val="纯文本 字符1"/>
    <w:link w:val="27"/>
    <w:qFormat/>
    <w:uiPriority w:val="0"/>
    <w:rPr>
      <w:rFonts w:ascii="宋体" w:hAnsi="Courier New" w:eastAsia="等线"/>
      <w:kern w:val="2"/>
      <w:sz w:val="28"/>
      <w:szCs w:val="22"/>
    </w:rPr>
  </w:style>
  <w:style w:type="character" w:customStyle="1" w:styleId="296">
    <w:name w:val="表头1 Char Char"/>
    <w:link w:val="297"/>
    <w:qFormat/>
    <w:uiPriority w:val="0"/>
    <w:rPr>
      <w:szCs w:val="24"/>
    </w:rPr>
  </w:style>
  <w:style w:type="paragraph" w:customStyle="1" w:styleId="297">
    <w:name w:val="表头1"/>
    <w:basedOn w:val="231"/>
    <w:link w:val="296"/>
    <w:qFormat/>
    <w:uiPriority w:val="0"/>
    <w:pPr>
      <w:jc w:val="left"/>
    </w:pPr>
  </w:style>
  <w:style w:type="character" w:customStyle="1" w:styleId="298">
    <w:name w:val="表头文字 Char"/>
    <w:link w:val="299"/>
    <w:qFormat/>
    <w:uiPriority w:val="0"/>
    <w:rPr>
      <w:rFonts w:eastAsia="黑体"/>
      <w:sz w:val="24"/>
    </w:rPr>
  </w:style>
  <w:style w:type="paragraph" w:customStyle="1" w:styleId="299">
    <w:name w:val="表头文字"/>
    <w:basedOn w:val="1"/>
    <w:link w:val="298"/>
    <w:qFormat/>
    <w:uiPriority w:val="0"/>
    <w:pPr>
      <w:jc w:val="center"/>
    </w:pPr>
    <w:rPr>
      <w:rFonts w:eastAsia="黑体"/>
      <w:kern w:val="0"/>
      <w:sz w:val="24"/>
      <w:szCs w:val="20"/>
    </w:rPr>
  </w:style>
  <w:style w:type="character" w:customStyle="1" w:styleId="300">
    <w:name w:val="表名 Char"/>
    <w:link w:val="301"/>
    <w:qFormat/>
    <w:uiPriority w:val="0"/>
    <w:rPr>
      <w:rFonts w:eastAsia="黑体"/>
      <w:sz w:val="28"/>
    </w:rPr>
  </w:style>
  <w:style w:type="paragraph" w:customStyle="1" w:styleId="301">
    <w:name w:val="表名"/>
    <w:link w:val="300"/>
    <w:qFormat/>
    <w:uiPriority w:val="0"/>
    <w:pPr>
      <w:keepNext/>
      <w:widowControl w:val="0"/>
      <w:adjustRightInd w:val="0"/>
      <w:spacing w:before="120" w:after="120" w:line="480" w:lineRule="exact"/>
      <w:jc w:val="center"/>
    </w:pPr>
    <w:rPr>
      <w:rFonts w:ascii="Times New Roman" w:hAnsi="Times New Roman" w:eastAsia="黑体" w:cs="Times New Roman"/>
      <w:sz w:val="28"/>
      <w:lang w:val="en-US" w:eastAsia="zh-CN" w:bidi="ar-SA"/>
    </w:rPr>
  </w:style>
  <w:style w:type="character" w:customStyle="1" w:styleId="302">
    <w:name w:val="TOC 2 字符"/>
    <w:link w:val="40"/>
    <w:qFormat/>
    <w:uiPriority w:val="39"/>
    <w:rPr>
      <w:rFonts w:ascii="Calibri" w:hAnsi="Calibri" w:eastAsia="等线" w:cs="Calibri"/>
      <w:smallCaps/>
      <w:kern w:val="2"/>
      <w:sz w:val="21"/>
      <w:szCs w:val="22"/>
    </w:rPr>
  </w:style>
  <w:style w:type="character" w:customStyle="1" w:styleId="303">
    <w:name w:val="样式 热电厂正文 + 首行缩进:  2 字符 Char Char"/>
    <w:link w:val="304"/>
    <w:qFormat/>
    <w:uiPriority w:val="0"/>
    <w:rPr>
      <w:rFonts w:cs="宋体"/>
      <w:sz w:val="24"/>
      <w:szCs w:val="24"/>
    </w:rPr>
  </w:style>
  <w:style w:type="paragraph" w:customStyle="1" w:styleId="304">
    <w:name w:val="样式 热电厂正文 + 首行缩进:  2 字符 Char"/>
    <w:basedOn w:val="1"/>
    <w:link w:val="303"/>
    <w:qFormat/>
    <w:uiPriority w:val="0"/>
    <w:pPr>
      <w:spacing w:line="480" w:lineRule="exact"/>
      <w:ind w:firstLine="480" w:firstLineChars="200"/>
    </w:pPr>
    <w:rPr>
      <w:rFonts w:cs="宋体"/>
      <w:kern w:val="0"/>
      <w:sz w:val="24"/>
    </w:rPr>
  </w:style>
  <w:style w:type="character" w:customStyle="1" w:styleId="305">
    <w:name w:val="环小四文中说明 Char"/>
    <w:link w:val="306"/>
    <w:qFormat/>
    <w:uiPriority w:val="0"/>
    <w:rPr>
      <w:rFonts w:ascii="宋体" w:hAnsi="宋体"/>
      <w:sz w:val="24"/>
    </w:rPr>
  </w:style>
  <w:style w:type="paragraph" w:customStyle="1" w:styleId="306">
    <w:name w:val="环小四文中说明"/>
    <w:link w:val="305"/>
    <w:qFormat/>
    <w:uiPriority w:val="0"/>
    <w:pPr>
      <w:widowControl w:val="0"/>
      <w:ind w:firstLine="480" w:firstLineChars="200"/>
      <w:jc w:val="both"/>
    </w:pPr>
    <w:rPr>
      <w:rFonts w:ascii="宋体" w:hAnsi="宋体" w:eastAsia="宋体" w:cs="Times New Roman"/>
      <w:sz w:val="24"/>
      <w:lang w:val="en-US" w:eastAsia="zh-CN" w:bidi="ar-SA"/>
    </w:rPr>
  </w:style>
  <w:style w:type="character" w:customStyle="1" w:styleId="307">
    <w:name w:val="样式 样式 宋体 小四 黑色 行距: 1.5 倍行距 + Times New Roman Char"/>
    <w:link w:val="308"/>
    <w:qFormat/>
    <w:uiPriority w:val="0"/>
    <w:rPr>
      <w:color w:val="000000"/>
      <w:sz w:val="24"/>
    </w:rPr>
  </w:style>
  <w:style w:type="paragraph" w:customStyle="1" w:styleId="308">
    <w:name w:val="样式 样式 宋体 小四 黑色 行距: 1.5 倍行距 + Times New Roman"/>
    <w:basedOn w:val="1"/>
    <w:link w:val="307"/>
    <w:qFormat/>
    <w:uiPriority w:val="0"/>
    <w:pPr>
      <w:keepNext/>
      <w:spacing w:line="360" w:lineRule="auto"/>
      <w:ind w:firstLine="200" w:firstLineChars="200"/>
    </w:pPr>
    <w:rPr>
      <w:color w:val="000000"/>
      <w:kern w:val="0"/>
      <w:sz w:val="24"/>
      <w:szCs w:val="20"/>
    </w:rPr>
  </w:style>
  <w:style w:type="character" w:customStyle="1" w:styleId="309">
    <w:name w:val="dan7-1 Char Char"/>
    <w:link w:val="310"/>
    <w:qFormat/>
    <w:uiPriority w:val="0"/>
    <w:rPr>
      <w:sz w:val="21"/>
    </w:rPr>
  </w:style>
  <w:style w:type="paragraph" w:customStyle="1" w:styleId="310">
    <w:name w:val="dan7-1"/>
    <w:basedOn w:val="1"/>
    <w:link w:val="309"/>
    <w:qFormat/>
    <w:uiPriority w:val="0"/>
    <w:pPr>
      <w:spacing w:before="40" w:after="40" w:line="360" w:lineRule="auto"/>
      <w:ind w:firstLine="200" w:firstLineChars="200"/>
    </w:pPr>
    <w:rPr>
      <w:kern w:val="0"/>
      <w:szCs w:val="20"/>
    </w:rPr>
  </w:style>
  <w:style w:type="character" w:customStyle="1" w:styleId="311">
    <w:name w:val="标题4（1） Char Char"/>
    <w:link w:val="312"/>
    <w:qFormat/>
    <w:uiPriority w:val="0"/>
    <w:rPr>
      <w:rFonts w:ascii="宋体" w:hAnsi="Cambria"/>
      <w:kern w:val="44"/>
      <w:sz w:val="24"/>
    </w:rPr>
  </w:style>
  <w:style w:type="paragraph" w:customStyle="1" w:styleId="312">
    <w:name w:val="标题4（1）"/>
    <w:basedOn w:val="1"/>
    <w:link w:val="311"/>
    <w:qFormat/>
    <w:uiPriority w:val="0"/>
    <w:pPr>
      <w:keepNext/>
      <w:keepLines/>
      <w:spacing w:line="360" w:lineRule="auto"/>
      <w:jc w:val="left"/>
      <w:outlineLvl w:val="3"/>
    </w:pPr>
    <w:rPr>
      <w:rFonts w:ascii="宋体" w:hAnsi="Cambria"/>
      <w:kern w:val="44"/>
      <w:sz w:val="24"/>
      <w:szCs w:val="20"/>
    </w:rPr>
  </w:style>
  <w:style w:type="character" w:customStyle="1" w:styleId="313">
    <w:name w:val="表、图名 Char Char"/>
    <w:link w:val="314"/>
    <w:qFormat/>
    <w:uiPriority w:val="0"/>
    <w:rPr>
      <w:rFonts w:ascii="黑体" w:hAnsi="宋体" w:eastAsia="黑体"/>
      <w:b/>
      <w:color w:val="000000"/>
      <w:sz w:val="24"/>
      <w:szCs w:val="24"/>
    </w:rPr>
  </w:style>
  <w:style w:type="paragraph" w:customStyle="1" w:styleId="314">
    <w:name w:val="表、图名"/>
    <w:basedOn w:val="1"/>
    <w:link w:val="313"/>
    <w:qFormat/>
    <w:uiPriority w:val="0"/>
    <w:pPr>
      <w:adjustRightInd w:val="0"/>
      <w:snapToGrid w:val="0"/>
      <w:spacing w:before="100" w:beforeAutospacing="1" w:line="360" w:lineRule="auto"/>
      <w:ind w:left="-6"/>
      <w:jc w:val="center"/>
    </w:pPr>
    <w:rPr>
      <w:rFonts w:ascii="黑体" w:hAnsi="宋体" w:eastAsia="黑体"/>
      <w:b/>
      <w:color w:val="000000"/>
      <w:kern w:val="0"/>
      <w:sz w:val="24"/>
    </w:rPr>
  </w:style>
  <w:style w:type="character" w:customStyle="1" w:styleId="315">
    <w:name w:val="样式 正文文本缩进 2正文文字缩进 2 + 四号 蓝色 Char Char Char Char"/>
    <w:link w:val="316"/>
    <w:qFormat/>
    <w:uiPriority w:val="0"/>
    <w:rPr>
      <w:rFonts w:ascii="宋体" w:hAnsi="宋体"/>
      <w:color w:val="0000FF"/>
      <w:sz w:val="24"/>
      <w:szCs w:val="24"/>
    </w:rPr>
  </w:style>
  <w:style w:type="paragraph" w:customStyle="1" w:styleId="316">
    <w:name w:val="样式 正文文本缩进 2正文文字缩进 2 + 四号 蓝色 Char Char"/>
    <w:basedOn w:val="29"/>
    <w:link w:val="315"/>
    <w:qFormat/>
    <w:uiPriority w:val="0"/>
    <w:pPr>
      <w:adjustRightInd w:val="0"/>
      <w:spacing w:line="480" w:lineRule="exact"/>
      <w:ind w:firstLine="709" w:firstLineChars="0"/>
      <w:textAlignment w:val="baseline"/>
    </w:pPr>
    <w:rPr>
      <w:rFonts w:ascii="宋体" w:hAnsi="宋体" w:eastAsia="宋体"/>
      <w:color w:val="0000FF"/>
      <w:kern w:val="0"/>
      <w:sz w:val="24"/>
    </w:rPr>
  </w:style>
  <w:style w:type="character" w:customStyle="1" w:styleId="317">
    <w:name w:val="样式 正文@ + 首行缩进:  2 字符2 Char Char"/>
    <w:link w:val="318"/>
    <w:qFormat/>
    <w:uiPriority w:val="0"/>
    <w:rPr>
      <w:rFonts w:ascii="宋体" w:hAnsi="宋体" w:cs="宋体"/>
      <w:sz w:val="24"/>
    </w:rPr>
  </w:style>
  <w:style w:type="paragraph" w:customStyle="1" w:styleId="318">
    <w:name w:val="样式 正文@ + 首行缩进:  2 字符2"/>
    <w:basedOn w:val="1"/>
    <w:link w:val="317"/>
    <w:qFormat/>
    <w:uiPriority w:val="0"/>
    <w:pPr>
      <w:spacing w:line="360" w:lineRule="auto"/>
      <w:ind w:firstLine="480" w:firstLineChars="200"/>
    </w:pPr>
    <w:rPr>
      <w:rFonts w:ascii="宋体" w:hAnsi="宋体" w:cs="宋体"/>
      <w:kern w:val="0"/>
      <w:sz w:val="24"/>
      <w:szCs w:val="20"/>
    </w:rPr>
  </w:style>
  <w:style w:type="character" w:customStyle="1" w:styleId="319">
    <w:name w:val="1统一格式 Char"/>
    <w:link w:val="320"/>
    <w:qFormat/>
    <w:uiPriority w:val="0"/>
    <w:rPr>
      <w:sz w:val="28"/>
    </w:rPr>
  </w:style>
  <w:style w:type="paragraph" w:customStyle="1" w:styleId="320">
    <w:name w:val="1统一格式"/>
    <w:basedOn w:val="1"/>
    <w:link w:val="319"/>
    <w:qFormat/>
    <w:uiPriority w:val="0"/>
    <w:pPr>
      <w:spacing w:line="500" w:lineRule="exact"/>
      <w:ind w:firstLine="560" w:firstLineChars="200"/>
    </w:pPr>
    <w:rPr>
      <w:kern w:val="0"/>
      <w:sz w:val="28"/>
      <w:szCs w:val="20"/>
    </w:rPr>
  </w:style>
  <w:style w:type="character" w:customStyle="1" w:styleId="321">
    <w:name w:val="样式 标题 4L4款标题1.1.1.1H4h441.1.1.1 Char1.1.1.1标题 4.1.1.1.1... Char Char"/>
    <w:link w:val="322"/>
    <w:qFormat/>
    <w:uiPriority w:val="0"/>
    <w:rPr>
      <w:rFonts w:ascii="Arial" w:hAnsi="Arial"/>
      <w:b/>
      <w:sz w:val="24"/>
      <w:szCs w:val="24"/>
    </w:rPr>
  </w:style>
  <w:style w:type="paragraph" w:customStyle="1" w:styleId="322">
    <w:name w:val="样式 标题 4L4款标题1.1.1.1H4h441.1.1.1 Char1.1.1.1标题 4.1.1.1.1..."/>
    <w:basedOn w:val="7"/>
    <w:link w:val="321"/>
    <w:qFormat/>
    <w:uiPriority w:val="0"/>
    <w:pPr>
      <w:keepLines/>
      <w:spacing w:line="560" w:lineRule="exact"/>
      <w:jc w:val="both"/>
    </w:pPr>
    <w:rPr>
      <w:rFonts w:ascii="Arial" w:hAnsi="Arial" w:eastAsia="宋体"/>
      <w:b/>
      <w:kern w:val="0"/>
      <w:sz w:val="24"/>
      <w:szCs w:val="24"/>
    </w:rPr>
  </w:style>
  <w:style w:type="character" w:customStyle="1" w:styleId="323">
    <w:name w:val="表号 Char2"/>
    <w:link w:val="324"/>
    <w:qFormat/>
    <w:uiPriority w:val="0"/>
    <w:rPr>
      <w:sz w:val="24"/>
      <w:szCs w:val="24"/>
    </w:rPr>
  </w:style>
  <w:style w:type="paragraph" w:customStyle="1" w:styleId="324">
    <w:name w:val="表号"/>
    <w:link w:val="323"/>
    <w:qFormat/>
    <w:uiPriority w:val="0"/>
    <w:pPr>
      <w:adjustRightInd w:val="0"/>
      <w:snapToGrid w:val="0"/>
      <w:spacing w:line="240" w:lineRule="atLeast"/>
      <w:jc w:val="both"/>
      <w:outlineLvl w:val="4"/>
    </w:pPr>
    <w:rPr>
      <w:rFonts w:ascii="Times New Roman" w:hAnsi="Times New Roman" w:eastAsia="宋体" w:cs="Times New Roman"/>
      <w:sz w:val="24"/>
      <w:szCs w:val="24"/>
      <w:lang w:val="en-US" w:eastAsia="zh-CN" w:bidi="ar-SA"/>
    </w:rPr>
  </w:style>
  <w:style w:type="character" w:customStyle="1" w:styleId="325">
    <w:name w:val="样式 标题 1 + 非加宽量 / 紧缩量 Char Char"/>
    <w:link w:val="326"/>
    <w:qFormat/>
    <w:uiPriority w:val="0"/>
    <w:rPr>
      <w:rFonts w:eastAsia="黑体"/>
      <w:b/>
      <w:bCs/>
      <w:kern w:val="44"/>
      <w:sz w:val="28"/>
      <w:szCs w:val="28"/>
    </w:rPr>
  </w:style>
  <w:style w:type="paragraph" w:customStyle="1" w:styleId="326">
    <w:name w:val="样式 标题 1 + 非加宽量 / 紧缩量"/>
    <w:basedOn w:val="4"/>
    <w:link w:val="325"/>
    <w:qFormat/>
    <w:uiPriority w:val="0"/>
    <w:pPr>
      <w:keepLines/>
      <w:overflowPunct/>
      <w:snapToGrid/>
      <w:spacing w:before="360" w:after="0" w:line="360" w:lineRule="auto"/>
      <w:ind w:left="0" w:firstLine="0"/>
    </w:pPr>
    <w:rPr>
      <w:color w:val="auto"/>
      <w:sz w:val="28"/>
      <w:szCs w:val="28"/>
    </w:rPr>
  </w:style>
  <w:style w:type="character" w:customStyle="1" w:styleId="327">
    <w:name w:val="Char Char Char Char Char Char Char Char Char Char Char Char"/>
    <w:link w:val="328"/>
    <w:qFormat/>
    <w:uiPriority w:val="0"/>
    <w:rPr>
      <w:sz w:val="24"/>
    </w:rPr>
  </w:style>
  <w:style w:type="paragraph" w:customStyle="1" w:styleId="328">
    <w:name w:val="Char Char Char Char Char Char Char Char Char1"/>
    <w:basedOn w:val="1"/>
    <w:link w:val="327"/>
    <w:qFormat/>
    <w:uiPriority w:val="0"/>
    <w:rPr>
      <w:kern w:val="0"/>
      <w:sz w:val="24"/>
      <w:szCs w:val="20"/>
    </w:rPr>
  </w:style>
  <w:style w:type="character" w:customStyle="1" w:styleId="329">
    <w:name w:val="样式 首行缩进:  2.25 字符1 Char"/>
    <w:link w:val="330"/>
    <w:qFormat/>
    <w:uiPriority w:val="0"/>
    <w:rPr>
      <w:sz w:val="24"/>
    </w:rPr>
  </w:style>
  <w:style w:type="paragraph" w:customStyle="1" w:styleId="330">
    <w:name w:val="样式 首行缩进:  2.25 字符1"/>
    <w:basedOn w:val="1"/>
    <w:link w:val="329"/>
    <w:qFormat/>
    <w:uiPriority w:val="0"/>
    <w:pPr>
      <w:spacing w:line="360" w:lineRule="auto"/>
      <w:ind w:firstLine="540" w:firstLineChars="225"/>
      <w:jc w:val="left"/>
    </w:pPr>
    <w:rPr>
      <w:kern w:val="0"/>
      <w:sz w:val="24"/>
      <w:szCs w:val="20"/>
    </w:rPr>
  </w:style>
  <w:style w:type="character" w:customStyle="1" w:styleId="331">
    <w:name w:val="样式 标题 1 + (中文) 宋体 小四 Char Char"/>
    <w:link w:val="332"/>
    <w:qFormat/>
    <w:uiPriority w:val="0"/>
    <w:rPr>
      <w:b/>
      <w:sz w:val="44"/>
      <w:szCs w:val="24"/>
    </w:rPr>
  </w:style>
  <w:style w:type="paragraph" w:customStyle="1" w:styleId="332">
    <w:name w:val="样式 标题 1 + (中文) 宋体 小四"/>
    <w:basedOn w:val="4"/>
    <w:link w:val="331"/>
    <w:qFormat/>
    <w:uiPriority w:val="0"/>
    <w:pPr>
      <w:keepLines/>
      <w:overflowPunct/>
      <w:snapToGrid/>
      <w:spacing w:before="360" w:after="0" w:line="360" w:lineRule="auto"/>
      <w:ind w:left="0" w:firstLine="0"/>
    </w:pPr>
    <w:rPr>
      <w:rFonts w:eastAsia="宋体"/>
      <w:bCs w:val="0"/>
      <w:color w:val="auto"/>
      <w:kern w:val="0"/>
      <w:sz w:val="44"/>
      <w:szCs w:val="24"/>
    </w:rPr>
  </w:style>
  <w:style w:type="character" w:customStyle="1" w:styleId="333">
    <w:name w:val="燕山正文 Char Char"/>
    <w:link w:val="334"/>
    <w:qFormat/>
    <w:uiPriority w:val="0"/>
    <w:rPr>
      <w:rFonts w:ascii="宋体" w:hAnsi="宋体"/>
      <w:color w:val="000000"/>
      <w:sz w:val="24"/>
    </w:rPr>
  </w:style>
  <w:style w:type="paragraph" w:customStyle="1" w:styleId="334">
    <w:name w:val="燕山正文"/>
    <w:basedOn w:val="1"/>
    <w:link w:val="333"/>
    <w:qFormat/>
    <w:uiPriority w:val="0"/>
    <w:pPr>
      <w:tabs>
        <w:tab w:val="left" w:pos="4680"/>
      </w:tabs>
      <w:adjustRightInd w:val="0"/>
      <w:snapToGrid w:val="0"/>
      <w:spacing w:line="360" w:lineRule="auto"/>
      <w:ind w:firstLine="560" w:firstLineChars="200"/>
    </w:pPr>
    <w:rPr>
      <w:rFonts w:ascii="宋体" w:hAnsi="宋体"/>
      <w:color w:val="000000"/>
      <w:kern w:val="0"/>
      <w:sz w:val="24"/>
      <w:szCs w:val="20"/>
    </w:rPr>
  </w:style>
  <w:style w:type="character" w:customStyle="1" w:styleId="335">
    <w:name w:val="Char Char Char Char Char Char Char Char Char Char Char Char Char Char Char Char Char Char Char Char Char"/>
    <w:link w:val="336"/>
    <w:qFormat/>
    <w:uiPriority w:val="0"/>
    <w:rPr>
      <w:rFonts w:ascii="宋体" w:hAnsi="宋体"/>
      <w:sz w:val="24"/>
    </w:rPr>
  </w:style>
  <w:style w:type="paragraph" w:customStyle="1" w:styleId="336">
    <w:name w:val="Char Char Char Char Char Char Char Char Char Char Char Char Char Char Char Char Char Char Char2"/>
    <w:basedOn w:val="1"/>
    <w:link w:val="335"/>
    <w:qFormat/>
    <w:uiPriority w:val="0"/>
    <w:pPr>
      <w:spacing w:line="360" w:lineRule="auto"/>
      <w:ind w:firstLine="200" w:firstLineChars="200"/>
    </w:pPr>
    <w:rPr>
      <w:rFonts w:ascii="宋体" w:hAnsi="宋体"/>
      <w:kern w:val="0"/>
      <w:sz w:val="24"/>
      <w:szCs w:val="20"/>
    </w:rPr>
  </w:style>
  <w:style w:type="character" w:customStyle="1" w:styleId="337">
    <w:name w:val="新标题4x Char"/>
    <w:link w:val="338"/>
    <w:qFormat/>
    <w:uiPriority w:val="0"/>
    <w:rPr>
      <w:rFonts w:ascii="黑体" w:hAnsi="Cambria" w:eastAsia="黑体"/>
      <w:bCs/>
      <w:kern w:val="44"/>
      <w:sz w:val="24"/>
      <w:szCs w:val="44"/>
    </w:rPr>
  </w:style>
  <w:style w:type="paragraph" w:customStyle="1" w:styleId="338">
    <w:name w:val="标题4x"/>
    <w:basedOn w:val="1"/>
    <w:link w:val="337"/>
    <w:qFormat/>
    <w:uiPriority w:val="0"/>
    <w:pPr>
      <w:keepNext/>
      <w:keepLines/>
      <w:spacing w:before="120" w:line="360" w:lineRule="auto"/>
      <w:outlineLvl w:val="3"/>
    </w:pPr>
    <w:rPr>
      <w:rFonts w:ascii="黑体" w:hAnsi="Cambria" w:eastAsia="黑体"/>
      <w:bCs/>
      <w:kern w:val="44"/>
      <w:sz w:val="24"/>
      <w:szCs w:val="44"/>
    </w:rPr>
  </w:style>
  <w:style w:type="character" w:customStyle="1" w:styleId="339">
    <w:name w:val="111111正文 Char Char"/>
    <w:link w:val="340"/>
    <w:qFormat/>
    <w:uiPriority w:val="0"/>
    <w:rPr>
      <w:sz w:val="24"/>
      <w:szCs w:val="24"/>
    </w:rPr>
  </w:style>
  <w:style w:type="paragraph" w:customStyle="1" w:styleId="340">
    <w:name w:val="111111正文"/>
    <w:basedOn w:val="1"/>
    <w:link w:val="339"/>
    <w:qFormat/>
    <w:uiPriority w:val="0"/>
    <w:pPr>
      <w:spacing w:line="360" w:lineRule="auto"/>
      <w:ind w:firstLine="200" w:firstLineChars="200"/>
    </w:pPr>
    <w:rPr>
      <w:kern w:val="0"/>
      <w:sz w:val="24"/>
    </w:rPr>
  </w:style>
  <w:style w:type="character" w:customStyle="1" w:styleId="341">
    <w:name w:val="表格文字 Char Char"/>
    <w:link w:val="342"/>
    <w:qFormat/>
    <w:uiPriority w:val="0"/>
  </w:style>
  <w:style w:type="paragraph" w:customStyle="1" w:styleId="342">
    <w:name w:val="表格文字"/>
    <w:basedOn w:val="1"/>
    <w:link w:val="341"/>
    <w:qFormat/>
    <w:uiPriority w:val="0"/>
    <w:pPr>
      <w:spacing w:line="240" w:lineRule="exact"/>
    </w:pPr>
    <w:rPr>
      <w:kern w:val="0"/>
      <w:sz w:val="20"/>
      <w:szCs w:val="20"/>
    </w:rPr>
  </w:style>
  <w:style w:type="character" w:customStyle="1" w:styleId="343">
    <w:name w:val="自定义正文 Char"/>
    <w:link w:val="344"/>
    <w:qFormat/>
    <w:uiPriority w:val="0"/>
    <w:rPr>
      <w:sz w:val="28"/>
      <w:szCs w:val="21"/>
    </w:rPr>
  </w:style>
  <w:style w:type="paragraph" w:customStyle="1" w:styleId="344">
    <w:name w:val="自定义正文"/>
    <w:basedOn w:val="15"/>
    <w:link w:val="343"/>
    <w:qFormat/>
    <w:uiPriority w:val="0"/>
    <w:pPr>
      <w:adjustRightInd w:val="0"/>
      <w:spacing w:line="360" w:lineRule="auto"/>
      <w:ind w:firstLine="200"/>
      <w:textAlignment w:val="baseline"/>
    </w:pPr>
    <w:rPr>
      <w:kern w:val="0"/>
      <w:sz w:val="28"/>
      <w:szCs w:val="21"/>
    </w:rPr>
  </w:style>
  <w:style w:type="character" w:customStyle="1" w:styleId="345">
    <w:name w:val="fu正文 Char"/>
    <w:link w:val="346"/>
    <w:qFormat/>
    <w:uiPriority w:val="0"/>
    <w:rPr>
      <w:rFonts w:ascii="宋体" w:hAnsi="宋体"/>
      <w:color w:val="000000"/>
      <w:sz w:val="24"/>
      <w:szCs w:val="24"/>
    </w:rPr>
  </w:style>
  <w:style w:type="paragraph" w:customStyle="1" w:styleId="346">
    <w:name w:val="fu正文"/>
    <w:basedOn w:val="1"/>
    <w:link w:val="345"/>
    <w:qFormat/>
    <w:uiPriority w:val="0"/>
    <w:pPr>
      <w:spacing w:line="360" w:lineRule="auto"/>
      <w:ind w:firstLine="200" w:firstLineChars="200"/>
    </w:pPr>
    <w:rPr>
      <w:rFonts w:ascii="宋体" w:hAnsi="宋体"/>
      <w:color w:val="000000"/>
      <w:kern w:val="0"/>
      <w:sz w:val="24"/>
    </w:rPr>
  </w:style>
  <w:style w:type="character" w:customStyle="1" w:styleId="347">
    <w:name w:val="标题3dg Char Char"/>
    <w:link w:val="348"/>
    <w:qFormat/>
    <w:uiPriority w:val="0"/>
    <w:rPr>
      <w:rFonts w:hAnsi="宋体"/>
      <w:b/>
      <w:bCs/>
      <w:sz w:val="24"/>
      <w:szCs w:val="24"/>
      <w:lang w:val="zh-CN"/>
    </w:rPr>
  </w:style>
  <w:style w:type="paragraph" w:customStyle="1" w:styleId="348">
    <w:name w:val="标题3dg"/>
    <w:basedOn w:val="6"/>
    <w:link w:val="347"/>
    <w:qFormat/>
    <w:uiPriority w:val="0"/>
    <w:pPr>
      <w:adjustRightInd w:val="0"/>
      <w:spacing w:before="60" w:after="60" w:line="520" w:lineRule="exact"/>
    </w:pPr>
    <w:rPr>
      <w:rFonts w:hAnsi="宋体"/>
      <w:kern w:val="0"/>
      <w:sz w:val="24"/>
      <w:szCs w:val="24"/>
      <w:lang w:val="zh-CN"/>
    </w:rPr>
  </w:style>
  <w:style w:type="character" w:customStyle="1" w:styleId="349">
    <w:name w:val="样式 标题 2标题2二级 标题 2H2h2第一层条标题 2 Char节标题节11 Char标题 2 Cha...3 Char Char"/>
    <w:link w:val="350"/>
    <w:qFormat/>
    <w:uiPriority w:val="0"/>
    <w:rPr>
      <w:rFonts w:ascii="Arial" w:hAnsi="Arial"/>
      <w:b/>
    </w:rPr>
  </w:style>
  <w:style w:type="paragraph" w:customStyle="1" w:styleId="350">
    <w:name w:val="样式 标题 2标题2二级 标题 2H2h2第一层条标题 2 Char节标题节11 Char标题 2 Cha...3"/>
    <w:basedOn w:val="5"/>
    <w:link w:val="349"/>
    <w:qFormat/>
    <w:uiPriority w:val="0"/>
    <w:pPr>
      <w:keepNext w:val="0"/>
      <w:adjustRightInd w:val="0"/>
      <w:spacing w:before="240" w:after="240" w:line="360" w:lineRule="exact"/>
      <w:ind w:left="578" w:hanging="578"/>
      <w:jc w:val="both"/>
      <w:textAlignment w:val="baseline"/>
    </w:pPr>
    <w:rPr>
      <w:rFonts w:ascii="Arial" w:hAnsi="Arial" w:eastAsia="宋体"/>
      <w:b/>
      <w:kern w:val="0"/>
      <w:sz w:val="20"/>
      <w:szCs w:val="20"/>
    </w:rPr>
  </w:style>
  <w:style w:type="character" w:customStyle="1" w:styleId="351">
    <w:name w:val="注释标题 字符1"/>
    <w:link w:val="13"/>
    <w:qFormat/>
    <w:uiPriority w:val="0"/>
    <w:rPr>
      <w:rFonts w:ascii="等线" w:hAnsi="等线" w:eastAsia="等线"/>
      <w:kern w:val="2"/>
      <w:sz w:val="21"/>
      <w:szCs w:val="24"/>
    </w:rPr>
  </w:style>
  <w:style w:type="character" w:customStyle="1" w:styleId="352">
    <w:name w:val="x正文 Char Char"/>
    <w:link w:val="353"/>
    <w:qFormat/>
    <w:uiPriority w:val="0"/>
    <w:rPr>
      <w:rFonts w:ascii="宋体" w:hAnsi="宋体" w:cs="宋体"/>
      <w:bCs/>
      <w:sz w:val="24"/>
      <w:szCs w:val="24"/>
    </w:rPr>
  </w:style>
  <w:style w:type="paragraph" w:customStyle="1" w:styleId="353">
    <w:name w:val="x正文"/>
    <w:basedOn w:val="155"/>
    <w:link w:val="352"/>
    <w:qFormat/>
    <w:uiPriority w:val="0"/>
    <w:pPr>
      <w:tabs>
        <w:tab w:val="clear" w:pos="8295"/>
      </w:tabs>
      <w:spacing w:line="360" w:lineRule="auto"/>
      <w:ind w:firstLine="480"/>
    </w:pPr>
    <w:rPr>
      <w:rFonts w:hAnsi="宋体" w:cs="宋体"/>
      <w:bCs/>
    </w:rPr>
  </w:style>
  <w:style w:type="character" w:customStyle="1" w:styleId="354">
    <w:name w:val="样式 样式 首行缩进:  2 字符 行距: 最小值 24 磅 + 首行缩进:  2 字符 Char Char Char"/>
    <w:link w:val="355"/>
    <w:qFormat/>
    <w:uiPriority w:val="0"/>
    <w:rPr>
      <w:rFonts w:cs="宋体"/>
      <w:sz w:val="24"/>
    </w:rPr>
  </w:style>
  <w:style w:type="paragraph" w:customStyle="1" w:styleId="355">
    <w:name w:val="样式 样式 首行缩进:  2 字符 行距: 最小值 24 磅 + 首行缩进:  2 字符 Char"/>
    <w:basedOn w:val="1"/>
    <w:link w:val="354"/>
    <w:qFormat/>
    <w:uiPriority w:val="0"/>
    <w:pPr>
      <w:spacing w:line="480" w:lineRule="atLeast"/>
      <w:ind w:firstLine="480" w:firstLineChars="200"/>
    </w:pPr>
    <w:rPr>
      <w:rFonts w:cs="宋体"/>
      <w:kern w:val="0"/>
      <w:sz w:val="24"/>
      <w:szCs w:val="20"/>
    </w:rPr>
  </w:style>
  <w:style w:type="character" w:customStyle="1" w:styleId="356">
    <w:name w:val="（一）楷体 Char"/>
    <w:link w:val="357"/>
    <w:qFormat/>
    <w:uiPriority w:val="0"/>
    <w:rPr>
      <w:rFonts w:ascii="楷体_GB2312" w:hAnsi="宋体" w:eastAsia="楷体_GB2312"/>
      <w:b/>
      <w:kern w:val="28"/>
      <w:sz w:val="28"/>
    </w:rPr>
  </w:style>
  <w:style w:type="paragraph" w:customStyle="1" w:styleId="357">
    <w:name w:val="（一）楷体"/>
    <w:basedOn w:val="1"/>
    <w:link w:val="356"/>
    <w:qFormat/>
    <w:uiPriority w:val="0"/>
    <w:pPr>
      <w:ind w:firstLine="200" w:firstLineChars="200"/>
      <w:outlineLvl w:val="2"/>
    </w:pPr>
    <w:rPr>
      <w:rFonts w:ascii="楷体_GB2312" w:hAnsi="宋体" w:eastAsia="楷体_GB2312"/>
      <w:b/>
      <w:kern w:val="28"/>
      <w:sz w:val="28"/>
      <w:szCs w:val="20"/>
    </w:rPr>
  </w:style>
  <w:style w:type="character" w:customStyle="1" w:styleId="358">
    <w:name w:val="样式7 Char"/>
    <w:link w:val="359"/>
    <w:qFormat/>
    <w:uiPriority w:val="0"/>
    <w:rPr>
      <w:rFonts w:ascii="宋体" w:hAnsi="宋体" w:cs="宋体"/>
      <w:bCs/>
      <w:kern w:val="24"/>
      <w:sz w:val="24"/>
      <w:szCs w:val="24"/>
    </w:rPr>
  </w:style>
  <w:style w:type="paragraph" w:customStyle="1" w:styleId="359">
    <w:name w:val="样式7"/>
    <w:basedOn w:val="280"/>
    <w:link w:val="358"/>
    <w:qFormat/>
    <w:uiPriority w:val="0"/>
    <w:pPr>
      <w:spacing w:line="240" w:lineRule="auto"/>
      <w:ind w:firstLine="0" w:firstLineChars="0"/>
      <w:jc w:val="center"/>
    </w:pPr>
  </w:style>
  <w:style w:type="character" w:customStyle="1" w:styleId="360">
    <w:name w:val="报告书正文 Char Char"/>
    <w:link w:val="361"/>
    <w:qFormat/>
    <w:uiPriority w:val="0"/>
    <w:rPr>
      <w:sz w:val="24"/>
      <w:szCs w:val="24"/>
    </w:rPr>
  </w:style>
  <w:style w:type="paragraph" w:customStyle="1" w:styleId="361">
    <w:name w:val="报告书正文"/>
    <w:basedOn w:val="1"/>
    <w:link w:val="360"/>
    <w:qFormat/>
    <w:uiPriority w:val="0"/>
    <w:pPr>
      <w:spacing w:line="360" w:lineRule="auto"/>
      <w:ind w:firstLine="200" w:firstLineChars="200"/>
    </w:pPr>
    <w:rPr>
      <w:kern w:val="0"/>
      <w:sz w:val="24"/>
    </w:rPr>
  </w:style>
  <w:style w:type="character" w:customStyle="1" w:styleId="362">
    <w:name w:val="表格文字统一样式 Char Char"/>
    <w:link w:val="363"/>
    <w:qFormat/>
    <w:uiPriority w:val="0"/>
    <w:rPr>
      <w:rFonts w:eastAsia="仿宋_GB2312"/>
    </w:rPr>
  </w:style>
  <w:style w:type="paragraph" w:customStyle="1" w:styleId="363">
    <w:name w:val="表格文字统一样式"/>
    <w:basedOn w:val="1"/>
    <w:link w:val="362"/>
    <w:qFormat/>
    <w:uiPriority w:val="0"/>
    <w:pPr>
      <w:widowControl/>
      <w:autoSpaceDE w:val="0"/>
      <w:autoSpaceDN w:val="0"/>
      <w:jc w:val="center"/>
      <w:textAlignment w:val="bottom"/>
    </w:pPr>
    <w:rPr>
      <w:rFonts w:eastAsia="仿宋_GB2312"/>
      <w:kern w:val="0"/>
      <w:sz w:val="20"/>
      <w:szCs w:val="20"/>
    </w:rPr>
  </w:style>
  <w:style w:type="character" w:customStyle="1" w:styleId="364">
    <w:name w:val="表格标题dg Char Char"/>
    <w:link w:val="365"/>
    <w:qFormat/>
    <w:uiPriority w:val="0"/>
    <w:rPr>
      <w:rFonts w:ascii="微软雅黑" w:hAnsi="微软雅黑" w:eastAsia="微软雅黑"/>
      <w:sz w:val="24"/>
      <w:lang w:bidi="en-US"/>
    </w:rPr>
  </w:style>
  <w:style w:type="paragraph" w:customStyle="1" w:styleId="365">
    <w:name w:val="表格标题dg"/>
    <w:basedOn w:val="1"/>
    <w:next w:val="1"/>
    <w:link w:val="364"/>
    <w:qFormat/>
    <w:uiPriority w:val="0"/>
    <w:pPr>
      <w:keepNext/>
      <w:widowControl/>
      <w:spacing w:line="560" w:lineRule="exact"/>
      <w:jc w:val="center"/>
    </w:pPr>
    <w:rPr>
      <w:rFonts w:ascii="微软雅黑" w:hAnsi="微软雅黑" w:eastAsia="微软雅黑"/>
      <w:kern w:val="0"/>
      <w:sz w:val="24"/>
      <w:szCs w:val="20"/>
      <w:lang w:bidi="en-US"/>
    </w:rPr>
  </w:style>
  <w:style w:type="character" w:customStyle="1" w:styleId="366">
    <w:name w:val="正文文本1.35 Char"/>
    <w:link w:val="367"/>
    <w:qFormat/>
    <w:uiPriority w:val="0"/>
    <w:rPr>
      <w:sz w:val="24"/>
    </w:rPr>
  </w:style>
  <w:style w:type="paragraph" w:customStyle="1" w:styleId="367">
    <w:name w:val="正文文本1.35"/>
    <w:basedOn w:val="23"/>
    <w:link w:val="366"/>
    <w:qFormat/>
    <w:uiPriority w:val="0"/>
    <w:pPr>
      <w:widowControl w:val="0"/>
      <w:adjustRightInd w:val="0"/>
      <w:spacing w:before="0" w:after="0" w:line="440" w:lineRule="exact"/>
      <w:ind w:right="0" w:firstLine="480" w:firstLineChars="200"/>
    </w:pPr>
    <w:rPr>
      <w:sz w:val="24"/>
    </w:rPr>
  </w:style>
  <w:style w:type="character" w:customStyle="1" w:styleId="368">
    <w:name w:val="样式 标题 1 + 宋体 小四 加粗 Char"/>
    <w:link w:val="369"/>
    <w:qFormat/>
    <w:uiPriority w:val="0"/>
    <w:rPr>
      <w:rFonts w:ascii="黑体" w:eastAsia="黑体"/>
      <w:b/>
      <w:sz w:val="28"/>
    </w:rPr>
  </w:style>
  <w:style w:type="paragraph" w:customStyle="1" w:styleId="369">
    <w:name w:val="样式 标题 1 + 宋体 小四 加粗"/>
    <w:basedOn w:val="4"/>
    <w:link w:val="368"/>
    <w:qFormat/>
    <w:uiPriority w:val="0"/>
    <w:pPr>
      <w:overflowPunct/>
      <w:snapToGrid/>
      <w:spacing w:before="180" w:after="180" w:line="440" w:lineRule="exact"/>
      <w:ind w:left="0" w:firstLine="0"/>
    </w:pPr>
    <w:rPr>
      <w:rFonts w:ascii="黑体"/>
      <w:bCs w:val="0"/>
      <w:color w:val="auto"/>
      <w:kern w:val="0"/>
      <w:sz w:val="28"/>
      <w:szCs w:val="20"/>
    </w:rPr>
  </w:style>
  <w:style w:type="character" w:customStyle="1" w:styleId="370">
    <w:name w:val="表1 Char Char"/>
    <w:link w:val="371"/>
    <w:qFormat/>
    <w:uiPriority w:val="0"/>
  </w:style>
  <w:style w:type="paragraph" w:customStyle="1" w:styleId="371">
    <w:name w:val="表1"/>
    <w:next w:val="1"/>
    <w:link w:val="370"/>
    <w:qFormat/>
    <w:uiPriority w:val="0"/>
    <w:pPr>
      <w:adjustRightInd w:val="0"/>
      <w:snapToGrid w:val="0"/>
      <w:jc w:val="center"/>
    </w:pPr>
    <w:rPr>
      <w:rFonts w:ascii="Times New Roman" w:hAnsi="Times New Roman" w:eastAsia="宋体" w:cs="Times New Roman"/>
      <w:lang w:val="en-US" w:eastAsia="zh-CN" w:bidi="ar-SA"/>
    </w:rPr>
  </w:style>
  <w:style w:type="character" w:customStyle="1" w:styleId="372">
    <w:name w:val="1-正文 Char Char"/>
    <w:link w:val="373"/>
    <w:qFormat/>
    <w:uiPriority w:val="0"/>
    <w:rPr>
      <w:rFonts w:ascii="宋体" w:hAnsi="宋体"/>
      <w:sz w:val="24"/>
    </w:rPr>
  </w:style>
  <w:style w:type="paragraph" w:customStyle="1" w:styleId="373">
    <w:name w:val="1-正文"/>
    <w:basedOn w:val="27"/>
    <w:link w:val="372"/>
    <w:qFormat/>
    <w:uiPriority w:val="0"/>
    <w:pPr>
      <w:adjustRightInd/>
      <w:spacing w:line="360" w:lineRule="auto"/>
      <w:ind w:firstLine="480" w:firstLineChars="200"/>
      <w:jc w:val="both"/>
      <w:textAlignment w:val="auto"/>
    </w:pPr>
    <w:rPr>
      <w:rFonts w:hAnsi="宋体" w:eastAsia="宋体"/>
      <w:kern w:val="0"/>
      <w:sz w:val="24"/>
      <w:szCs w:val="20"/>
    </w:rPr>
  </w:style>
  <w:style w:type="character" w:customStyle="1" w:styleId="374">
    <w:name w:val="页眉dg Char Char"/>
    <w:link w:val="375"/>
    <w:qFormat/>
    <w:uiPriority w:val="0"/>
    <w:rPr>
      <w:rFonts w:ascii="微软雅黑" w:hAnsi="微软雅黑" w:eastAsia="微软雅黑"/>
      <w:sz w:val="18"/>
      <w:szCs w:val="18"/>
      <w:lang w:eastAsia="en-US" w:bidi="en-US"/>
    </w:rPr>
  </w:style>
  <w:style w:type="paragraph" w:customStyle="1" w:styleId="375">
    <w:name w:val="页眉dg"/>
    <w:basedOn w:val="1"/>
    <w:link w:val="374"/>
    <w:qFormat/>
    <w:uiPriority w:val="0"/>
    <w:pPr>
      <w:widowControl/>
      <w:pBdr>
        <w:bottom w:val="single" w:color="auto" w:sz="6" w:space="1"/>
      </w:pBdr>
      <w:tabs>
        <w:tab w:val="center" w:pos="4153"/>
        <w:tab w:val="right" w:pos="8306"/>
      </w:tabs>
      <w:snapToGrid w:val="0"/>
      <w:jc w:val="center"/>
    </w:pPr>
    <w:rPr>
      <w:rFonts w:ascii="微软雅黑" w:hAnsi="微软雅黑" w:eastAsia="微软雅黑"/>
      <w:kern w:val="0"/>
      <w:sz w:val="18"/>
      <w:szCs w:val="18"/>
      <w:lang w:eastAsia="en-US" w:bidi="en-US"/>
    </w:rPr>
  </w:style>
  <w:style w:type="character" w:customStyle="1" w:styleId="376">
    <w:name w:val="岳长样式 Char"/>
    <w:link w:val="377"/>
    <w:qFormat/>
    <w:uiPriority w:val="0"/>
    <w:rPr>
      <w:rFonts w:ascii="仿宋_GB2312" w:eastAsia="仿宋_GB2312"/>
      <w:w w:val="90"/>
      <w:sz w:val="24"/>
    </w:rPr>
  </w:style>
  <w:style w:type="paragraph" w:customStyle="1" w:styleId="377">
    <w:name w:val="岳长样式"/>
    <w:basedOn w:val="24"/>
    <w:link w:val="376"/>
    <w:qFormat/>
    <w:uiPriority w:val="0"/>
    <w:pPr>
      <w:spacing w:after="0" w:line="288" w:lineRule="auto"/>
      <w:ind w:left="0" w:leftChars="0" w:firstLine="431" w:firstLineChars="200"/>
    </w:pPr>
    <w:rPr>
      <w:rFonts w:ascii="仿宋_GB2312" w:eastAsia="仿宋_GB2312"/>
      <w:w w:val="90"/>
    </w:rPr>
  </w:style>
  <w:style w:type="character" w:customStyle="1" w:styleId="378">
    <w:name w:val="样式25 Char Char"/>
    <w:link w:val="379"/>
    <w:qFormat/>
    <w:uiPriority w:val="0"/>
    <w:rPr>
      <w:rFonts w:ascii="宋体" w:hAnsi="宋体"/>
      <w:kern w:val="24"/>
      <w:sz w:val="24"/>
      <w:szCs w:val="24"/>
    </w:rPr>
  </w:style>
  <w:style w:type="paragraph" w:customStyle="1" w:styleId="379">
    <w:name w:val="样式25"/>
    <w:basedOn w:val="1"/>
    <w:link w:val="378"/>
    <w:qFormat/>
    <w:uiPriority w:val="0"/>
    <w:pPr>
      <w:adjustRightInd w:val="0"/>
      <w:snapToGrid w:val="0"/>
      <w:spacing w:line="360" w:lineRule="auto"/>
      <w:ind w:firstLine="480" w:firstLineChars="200"/>
    </w:pPr>
    <w:rPr>
      <w:rFonts w:ascii="宋体" w:hAnsi="宋体"/>
      <w:kern w:val="24"/>
      <w:sz w:val="24"/>
    </w:rPr>
  </w:style>
  <w:style w:type="character" w:customStyle="1" w:styleId="380">
    <w:name w:val="样式 标题 11.标题 1一、标题 1 Char Char Char Char1 南陵标题 1标题 1 Char标题...1 Char Char"/>
    <w:link w:val="381"/>
    <w:qFormat/>
    <w:uiPriority w:val="0"/>
    <w:rPr>
      <w:rFonts w:eastAsia="仿宋_GB2312"/>
      <w:b/>
      <w:sz w:val="28"/>
    </w:rPr>
  </w:style>
  <w:style w:type="paragraph" w:customStyle="1" w:styleId="381">
    <w:name w:val="样式 标题 11.标题 1一、标题 1 Char Char Char Char1 南陵标题 1标题 1 Char标题...1"/>
    <w:basedOn w:val="4"/>
    <w:link w:val="380"/>
    <w:qFormat/>
    <w:uiPriority w:val="0"/>
    <w:pPr>
      <w:overflowPunct/>
      <w:adjustRightInd w:val="0"/>
      <w:snapToGrid/>
      <w:spacing w:after="62" w:line="240" w:lineRule="auto"/>
      <w:ind w:left="0" w:firstLine="0"/>
      <w:jc w:val="left"/>
      <w:textAlignment w:val="baseline"/>
    </w:pPr>
    <w:rPr>
      <w:rFonts w:eastAsia="仿宋_GB2312"/>
      <w:bCs w:val="0"/>
      <w:color w:val="auto"/>
      <w:kern w:val="0"/>
      <w:sz w:val="28"/>
      <w:szCs w:val="20"/>
    </w:rPr>
  </w:style>
  <w:style w:type="character" w:customStyle="1" w:styleId="382">
    <w:name w:val="正xx Char Char"/>
    <w:link w:val="383"/>
    <w:semiHidden/>
    <w:qFormat/>
    <w:uiPriority w:val="0"/>
    <w:rPr>
      <w:rFonts w:ascii="宋体"/>
      <w:color w:val="000000"/>
      <w:sz w:val="24"/>
      <w:szCs w:val="24"/>
    </w:rPr>
  </w:style>
  <w:style w:type="paragraph" w:customStyle="1" w:styleId="383">
    <w:name w:val="正xx"/>
    <w:basedOn w:val="1"/>
    <w:link w:val="382"/>
    <w:semiHidden/>
    <w:qFormat/>
    <w:uiPriority w:val="0"/>
    <w:pPr>
      <w:spacing w:line="360" w:lineRule="auto"/>
      <w:ind w:firstLine="200" w:firstLineChars="200"/>
    </w:pPr>
    <w:rPr>
      <w:rFonts w:ascii="宋体"/>
      <w:color w:val="000000"/>
      <w:kern w:val="0"/>
      <w:sz w:val="24"/>
    </w:rPr>
  </w:style>
  <w:style w:type="character" w:customStyle="1" w:styleId="384">
    <w:name w:val="正文格式 Char Char"/>
    <w:link w:val="385"/>
    <w:qFormat/>
    <w:uiPriority w:val="0"/>
    <w:rPr>
      <w:rFonts w:cs="宋体"/>
      <w:sz w:val="24"/>
      <w:szCs w:val="24"/>
    </w:rPr>
  </w:style>
  <w:style w:type="paragraph" w:customStyle="1" w:styleId="385">
    <w:name w:val="正文格式"/>
    <w:basedOn w:val="1"/>
    <w:link w:val="384"/>
    <w:qFormat/>
    <w:uiPriority w:val="0"/>
    <w:pPr>
      <w:spacing w:line="360" w:lineRule="auto"/>
      <w:ind w:firstLine="544" w:firstLineChars="200"/>
    </w:pPr>
    <w:rPr>
      <w:rFonts w:cs="宋体"/>
      <w:kern w:val="0"/>
      <w:sz w:val="24"/>
    </w:rPr>
  </w:style>
  <w:style w:type="character" w:customStyle="1" w:styleId="386">
    <w:name w:val="正文文本 2 字符1"/>
    <w:link w:val="41"/>
    <w:qFormat/>
    <w:uiPriority w:val="0"/>
    <w:rPr>
      <w:rFonts w:ascii="等线" w:hAnsi="等线" w:eastAsia="等线"/>
      <w:kern w:val="2"/>
      <w:sz w:val="21"/>
      <w:szCs w:val="24"/>
    </w:rPr>
  </w:style>
  <w:style w:type="character" w:customStyle="1" w:styleId="387">
    <w:name w:val="表格16 Char"/>
    <w:link w:val="388"/>
    <w:qFormat/>
    <w:uiPriority w:val="0"/>
    <w:rPr>
      <w:rFonts w:ascii="宋体" w:hAnsi="宋体" w:cs="Arial"/>
      <w:szCs w:val="24"/>
    </w:rPr>
  </w:style>
  <w:style w:type="paragraph" w:customStyle="1" w:styleId="388">
    <w:name w:val="表格16"/>
    <w:basedOn w:val="1"/>
    <w:link w:val="387"/>
    <w:qFormat/>
    <w:uiPriority w:val="0"/>
    <w:pPr>
      <w:spacing w:line="300" w:lineRule="exact"/>
      <w:jc w:val="center"/>
    </w:pPr>
    <w:rPr>
      <w:rFonts w:ascii="宋体" w:hAnsi="宋体" w:cs="Arial"/>
      <w:kern w:val="0"/>
      <w:sz w:val="20"/>
    </w:rPr>
  </w:style>
  <w:style w:type="character" w:customStyle="1" w:styleId="389">
    <w:name w:val="正文dg Char Char"/>
    <w:link w:val="390"/>
    <w:qFormat/>
    <w:uiPriority w:val="0"/>
    <w:rPr>
      <w:rFonts w:ascii="新宋体" w:hAnsi="新宋体" w:eastAsia="新宋体"/>
      <w:sz w:val="24"/>
      <w:szCs w:val="24"/>
    </w:rPr>
  </w:style>
  <w:style w:type="paragraph" w:customStyle="1" w:styleId="390">
    <w:name w:val="正文dg"/>
    <w:basedOn w:val="1"/>
    <w:link w:val="389"/>
    <w:qFormat/>
    <w:uiPriority w:val="0"/>
    <w:pPr>
      <w:spacing w:line="520" w:lineRule="exact"/>
      <w:ind w:firstLine="480" w:firstLineChars="200"/>
    </w:pPr>
    <w:rPr>
      <w:rFonts w:ascii="新宋体" w:hAnsi="新宋体" w:eastAsia="新宋体"/>
      <w:kern w:val="0"/>
      <w:sz w:val="24"/>
    </w:rPr>
  </w:style>
  <w:style w:type="character" w:customStyle="1" w:styleId="391">
    <w:name w:val="hb3 Char"/>
    <w:link w:val="392"/>
    <w:qFormat/>
    <w:uiPriority w:val="0"/>
    <w:rPr>
      <w:rFonts w:ascii="黑体"/>
      <w:b/>
      <w:bCs/>
      <w:color w:val="000000"/>
      <w:sz w:val="24"/>
      <w:szCs w:val="24"/>
    </w:rPr>
  </w:style>
  <w:style w:type="paragraph" w:customStyle="1" w:styleId="392">
    <w:name w:val="hb3"/>
    <w:basedOn w:val="6"/>
    <w:link w:val="391"/>
    <w:qFormat/>
    <w:uiPriority w:val="0"/>
    <w:pPr>
      <w:adjustRightInd w:val="0"/>
      <w:snapToGrid w:val="0"/>
      <w:spacing w:before="360" w:after="360" w:line="240" w:lineRule="auto"/>
      <w:jc w:val="left"/>
      <w:textAlignment w:val="baseline"/>
    </w:pPr>
    <w:rPr>
      <w:rFonts w:ascii="黑体"/>
      <w:color w:val="000000"/>
      <w:kern w:val="0"/>
      <w:sz w:val="24"/>
      <w:szCs w:val="24"/>
    </w:rPr>
  </w:style>
  <w:style w:type="character" w:customStyle="1" w:styleId="393">
    <w:name w:val="正文1 Char"/>
    <w:link w:val="394"/>
    <w:qFormat/>
    <w:uiPriority w:val="0"/>
    <w:rPr>
      <w:snapToGrid w:val="0"/>
      <w:sz w:val="24"/>
    </w:rPr>
  </w:style>
  <w:style w:type="paragraph" w:customStyle="1" w:styleId="394">
    <w:name w:val="正文1"/>
    <w:link w:val="393"/>
    <w:qFormat/>
    <w:uiPriority w:val="0"/>
    <w:pPr>
      <w:widowControl w:val="0"/>
      <w:suppressAutoHyphens/>
      <w:adjustRightInd w:val="0"/>
      <w:snapToGrid w:val="0"/>
      <w:spacing w:line="360" w:lineRule="auto"/>
      <w:ind w:firstLine="200" w:firstLineChars="200"/>
      <w:jc w:val="both"/>
    </w:pPr>
    <w:rPr>
      <w:rFonts w:ascii="Times New Roman" w:hAnsi="Times New Roman" w:eastAsia="宋体" w:cs="Times New Roman"/>
      <w:snapToGrid w:val="0"/>
      <w:sz w:val="24"/>
      <w:lang w:val="en-US" w:eastAsia="zh-CN" w:bidi="ar-SA"/>
    </w:rPr>
  </w:style>
  <w:style w:type="character" w:customStyle="1" w:styleId="395">
    <w:name w:val="通用正文 Char Char"/>
    <w:link w:val="396"/>
    <w:qFormat/>
    <w:uiPriority w:val="0"/>
    <w:rPr>
      <w:rFonts w:ascii="新宋体" w:hAnsi="新宋体" w:eastAsia="新宋体"/>
      <w:sz w:val="24"/>
      <w:szCs w:val="24"/>
    </w:rPr>
  </w:style>
  <w:style w:type="paragraph" w:customStyle="1" w:styleId="396">
    <w:name w:val="通用正文"/>
    <w:basedOn w:val="1"/>
    <w:link w:val="395"/>
    <w:qFormat/>
    <w:uiPriority w:val="0"/>
    <w:pPr>
      <w:spacing w:line="600" w:lineRule="exact"/>
      <w:ind w:firstLine="200" w:firstLineChars="200"/>
    </w:pPr>
    <w:rPr>
      <w:rFonts w:ascii="新宋体" w:hAnsi="新宋体" w:eastAsia="新宋体"/>
      <w:kern w:val="0"/>
      <w:sz w:val="24"/>
    </w:rPr>
  </w:style>
  <w:style w:type="character" w:customStyle="1" w:styleId="397">
    <w:name w:val="HTML 预设格式 字符1"/>
    <w:link w:val="43"/>
    <w:qFormat/>
    <w:uiPriority w:val="0"/>
    <w:rPr>
      <w:rFonts w:ascii="宋体" w:hAnsi="宋体" w:eastAsia="等线" w:cs="宋体"/>
      <w:kern w:val="2"/>
      <w:sz w:val="24"/>
      <w:szCs w:val="24"/>
    </w:rPr>
  </w:style>
  <w:style w:type="character" w:customStyle="1" w:styleId="398">
    <w:name w:val="表格内字体 Char Char"/>
    <w:link w:val="399"/>
    <w:qFormat/>
    <w:uiPriority w:val="0"/>
    <w:rPr>
      <w:rFonts w:ascii="宋体" w:hAnsi="宋体"/>
      <w:szCs w:val="24"/>
    </w:rPr>
  </w:style>
  <w:style w:type="paragraph" w:customStyle="1" w:styleId="399">
    <w:name w:val="表格内字体"/>
    <w:basedOn w:val="385"/>
    <w:next w:val="385"/>
    <w:link w:val="398"/>
    <w:qFormat/>
    <w:uiPriority w:val="0"/>
    <w:pPr>
      <w:spacing w:line="360" w:lineRule="exact"/>
      <w:ind w:firstLine="0" w:firstLineChars="0"/>
      <w:jc w:val="center"/>
    </w:pPr>
    <w:rPr>
      <w:rFonts w:ascii="宋体" w:hAnsi="宋体" w:cs="Times New Roman"/>
      <w:sz w:val="20"/>
    </w:rPr>
  </w:style>
  <w:style w:type="character" w:customStyle="1" w:styleId="400">
    <w:name w:val="hb4 Char"/>
    <w:link w:val="401"/>
    <w:qFormat/>
    <w:uiPriority w:val="0"/>
    <w:rPr>
      <w:rFonts w:ascii="宋体" w:hAnsi="宋体"/>
      <w:sz w:val="24"/>
      <w:szCs w:val="24"/>
    </w:rPr>
  </w:style>
  <w:style w:type="paragraph" w:customStyle="1" w:styleId="401">
    <w:name w:val="hb4"/>
    <w:basedOn w:val="7"/>
    <w:link w:val="400"/>
    <w:qFormat/>
    <w:uiPriority w:val="0"/>
    <w:pPr>
      <w:keepLines/>
      <w:topLinePunct/>
      <w:spacing w:before="156" w:beforeLines="50" w:after="156" w:afterLines="50" w:line="300" w:lineRule="exact"/>
      <w:jc w:val="both"/>
    </w:pPr>
    <w:rPr>
      <w:rFonts w:ascii="宋体" w:hAnsi="宋体" w:eastAsia="宋体"/>
      <w:kern w:val="0"/>
      <w:sz w:val="24"/>
      <w:szCs w:val="24"/>
    </w:rPr>
  </w:style>
  <w:style w:type="character" w:customStyle="1" w:styleId="402">
    <w:name w:val="样式 表文 + (西文) Arial (中文) 宋体 (复杂文种) Arial (西文)粗体 Char Char"/>
    <w:link w:val="403"/>
    <w:qFormat/>
    <w:uiPriority w:val="0"/>
    <w:rPr>
      <w:rFonts w:ascii="Arial" w:hAnsi="Arial"/>
      <w:b/>
    </w:rPr>
  </w:style>
  <w:style w:type="paragraph" w:customStyle="1" w:styleId="403">
    <w:name w:val="样式 表文 + (西文) Arial (中文) 宋体 (复杂文种) Arial (西文)粗体"/>
    <w:basedOn w:val="206"/>
    <w:link w:val="402"/>
    <w:qFormat/>
    <w:uiPriority w:val="0"/>
    <w:pPr>
      <w:widowControl/>
    </w:pPr>
    <w:rPr>
      <w:rFonts w:ascii="Arial" w:hAnsi="Arial"/>
      <w:b/>
    </w:rPr>
  </w:style>
  <w:style w:type="character" w:customStyle="1" w:styleId="404">
    <w:name w:val="表格副标题 Char Char"/>
    <w:link w:val="405"/>
    <w:qFormat/>
    <w:uiPriority w:val="0"/>
    <w:rPr>
      <w:rFonts w:eastAsia="黑体"/>
      <w:b/>
    </w:rPr>
  </w:style>
  <w:style w:type="paragraph" w:customStyle="1" w:styleId="405">
    <w:name w:val="表格副标题"/>
    <w:basedOn w:val="1"/>
    <w:link w:val="404"/>
    <w:qFormat/>
    <w:uiPriority w:val="0"/>
    <w:pPr>
      <w:spacing w:line="300" w:lineRule="exact"/>
      <w:ind w:firstLine="200" w:firstLineChars="200"/>
    </w:pPr>
    <w:rPr>
      <w:rFonts w:eastAsia="黑体"/>
      <w:b/>
      <w:kern w:val="0"/>
      <w:sz w:val="20"/>
      <w:szCs w:val="20"/>
    </w:rPr>
  </w:style>
  <w:style w:type="character" w:customStyle="1" w:styleId="406">
    <w:name w:val="文档结构图 字符1"/>
    <w:link w:val="18"/>
    <w:qFormat/>
    <w:uiPriority w:val="0"/>
    <w:rPr>
      <w:rFonts w:ascii="等线" w:hAnsi="等线" w:eastAsia="等线"/>
      <w:kern w:val="2"/>
      <w:sz w:val="21"/>
      <w:szCs w:val="24"/>
      <w:shd w:val="clear" w:color="auto" w:fill="000080"/>
    </w:rPr>
  </w:style>
  <w:style w:type="character" w:customStyle="1" w:styleId="407">
    <w:name w:val="样式 样式 小四 左 行距: 固定值 28 磅 + 黑体 Char Char"/>
    <w:link w:val="408"/>
    <w:qFormat/>
    <w:uiPriority w:val="0"/>
    <w:rPr>
      <w:rFonts w:ascii="黑体" w:hAnsi="黑体" w:cs="宋体"/>
      <w:sz w:val="24"/>
    </w:rPr>
  </w:style>
  <w:style w:type="paragraph" w:customStyle="1" w:styleId="408">
    <w:name w:val="样式 样式 小四 左 行距: 固定值 28 磅 + 黑体"/>
    <w:basedOn w:val="223"/>
    <w:link w:val="407"/>
    <w:qFormat/>
    <w:uiPriority w:val="0"/>
    <w:rPr>
      <w:rFonts w:ascii="黑体" w:hAnsi="黑体"/>
    </w:rPr>
  </w:style>
  <w:style w:type="character" w:customStyle="1" w:styleId="409">
    <w:name w:val="正文内容 Char1"/>
    <w:link w:val="410"/>
    <w:qFormat/>
    <w:uiPriority w:val="0"/>
    <w:rPr>
      <w:sz w:val="24"/>
      <w:szCs w:val="24"/>
    </w:rPr>
  </w:style>
  <w:style w:type="paragraph" w:customStyle="1" w:styleId="410">
    <w:name w:val="正文内容"/>
    <w:basedOn w:val="1"/>
    <w:link w:val="409"/>
    <w:qFormat/>
    <w:uiPriority w:val="0"/>
    <w:pPr>
      <w:snapToGrid w:val="0"/>
      <w:spacing w:line="360" w:lineRule="auto"/>
      <w:ind w:firstLine="482"/>
    </w:pPr>
    <w:rPr>
      <w:kern w:val="0"/>
      <w:sz w:val="24"/>
    </w:rPr>
  </w:style>
  <w:style w:type="character" w:customStyle="1" w:styleId="411">
    <w:name w:val="样式 样式 仪征正文 + 黑色 + 红色 Char Char"/>
    <w:link w:val="412"/>
    <w:qFormat/>
    <w:uiPriority w:val="0"/>
    <w:rPr>
      <w:rFonts w:ascii="Arial" w:hAnsi="Arial" w:eastAsia="仿宋_GB2312"/>
      <w:color w:val="000000"/>
      <w:sz w:val="24"/>
    </w:rPr>
  </w:style>
  <w:style w:type="paragraph" w:customStyle="1" w:styleId="412">
    <w:name w:val="样式 样式 仪征正文 + 黑色 + 红色"/>
    <w:basedOn w:val="413"/>
    <w:link w:val="411"/>
    <w:qFormat/>
    <w:uiPriority w:val="0"/>
  </w:style>
  <w:style w:type="paragraph" w:customStyle="1" w:styleId="413">
    <w:name w:val="样式 仪征正文 + 黑色"/>
    <w:basedOn w:val="1"/>
    <w:link w:val="414"/>
    <w:qFormat/>
    <w:uiPriority w:val="0"/>
    <w:pPr>
      <w:spacing w:before="120" w:after="120" w:line="360" w:lineRule="exact"/>
      <w:ind w:firstLine="480" w:firstLineChars="200"/>
    </w:pPr>
    <w:rPr>
      <w:rFonts w:ascii="Arial" w:hAnsi="Arial" w:eastAsia="仿宋_GB2312"/>
      <w:color w:val="000000"/>
      <w:kern w:val="0"/>
      <w:sz w:val="24"/>
      <w:szCs w:val="20"/>
    </w:rPr>
  </w:style>
  <w:style w:type="character" w:customStyle="1" w:styleId="414">
    <w:name w:val="样式 仪征正文 + 黑色 Char Char"/>
    <w:link w:val="413"/>
    <w:qFormat/>
    <w:uiPriority w:val="0"/>
    <w:rPr>
      <w:rFonts w:ascii="Arial" w:hAnsi="Arial" w:eastAsia="仿宋_GB2312"/>
      <w:color w:val="000000"/>
      <w:sz w:val="24"/>
    </w:rPr>
  </w:style>
  <w:style w:type="character" w:customStyle="1" w:styleId="415">
    <w:name w:val="正文DG Char Char"/>
    <w:link w:val="416"/>
    <w:qFormat/>
    <w:uiPriority w:val="0"/>
    <w:rPr>
      <w:rFonts w:ascii="新宋体" w:hAnsi="新宋体" w:eastAsia="新宋体"/>
      <w:sz w:val="24"/>
      <w:szCs w:val="24"/>
    </w:rPr>
  </w:style>
  <w:style w:type="paragraph" w:customStyle="1" w:styleId="416">
    <w:name w:val="正文DG"/>
    <w:basedOn w:val="1"/>
    <w:link w:val="415"/>
    <w:qFormat/>
    <w:uiPriority w:val="0"/>
    <w:pPr>
      <w:spacing w:line="520" w:lineRule="exact"/>
      <w:ind w:firstLine="480" w:firstLineChars="200"/>
    </w:pPr>
    <w:rPr>
      <w:rFonts w:ascii="新宋体" w:hAnsi="新宋体" w:eastAsia="新宋体"/>
      <w:kern w:val="0"/>
      <w:sz w:val="24"/>
    </w:rPr>
  </w:style>
  <w:style w:type="character" w:customStyle="1" w:styleId="417">
    <w:name w:val="正文样式100 Char"/>
    <w:link w:val="418"/>
    <w:qFormat/>
    <w:uiPriority w:val="0"/>
    <w:rPr>
      <w:rFonts w:ascii="宋体" w:hAnsi="宋体" w:cs="Courier New"/>
      <w:bCs/>
      <w:sz w:val="24"/>
      <w:szCs w:val="24"/>
    </w:rPr>
  </w:style>
  <w:style w:type="paragraph" w:customStyle="1" w:styleId="418">
    <w:name w:val="正文样式100"/>
    <w:basedOn w:val="1"/>
    <w:link w:val="417"/>
    <w:qFormat/>
    <w:uiPriority w:val="0"/>
    <w:pPr>
      <w:spacing w:line="460" w:lineRule="exact"/>
      <w:ind w:firstLine="480" w:firstLineChars="200"/>
    </w:pPr>
    <w:rPr>
      <w:rFonts w:ascii="宋体" w:hAnsi="宋体" w:cs="Courier New"/>
      <w:bCs/>
      <w:kern w:val="0"/>
      <w:sz w:val="24"/>
    </w:rPr>
  </w:style>
  <w:style w:type="character" w:customStyle="1" w:styleId="419">
    <w:name w:val="表文字xxxxxxxx Char"/>
    <w:link w:val="420"/>
    <w:qFormat/>
    <w:uiPriority w:val="0"/>
  </w:style>
  <w:style w:type="paragraph" w:customStyle="1" w:styleId="420">
    <w:name w:val="表文字xxxxxxxx"/>
    <w:basedOn w:val="1"/>
    <w:link w:val="419"/>
    <w:qFormat/>
    <w:uiPriority w:val="0"/>
    <w:pPr>
      <w:topLinePunct/>
      <w:adjustRightInd w:val="0"/>
      <w:spacing w:line="360" w:lineRule="exact"/>
      <w:jc w:val="center"/>
      <w:textAlignment w:val="baseline"/>
    </w:pPr>
    <w:rPr>
      <w:kern w:val="0"/>
      <w:sz w:val="20"/>
      <w:szCs w:val="20"/>
    </w:rPr>
  </w:style>
  <w:style w:type="character" w:customStyle="1" w:styleId="421">
    <w:name w:val="syh1级标题 Char Char"/>
    <w:link w:val="422"/>
    <w:qFormat/>
    <w:uiPriority w:val="0"/>
    <w:rPr>
      <w:rFonts w:ascii="黑体" w:hAnsi="Gungsuh" w:eastAsia="黑体"/>
      <w:b/>
      <w:color w:val="003366"/>
      <w:sz w:val="32"/>
      <w:szCs w:val="32"/>
      <w:lang w:val="zh-CN" w:bidi="en-US"/>
    </w:rPr>
  </w:style>
  <w:style w:type="paragraph" w:customStyle="1" w:styleId="422">
    <w:name w:val="syh1级标题"/>
    <w:basedOn w:val="1"/>
    <w:link w:val="421"/>
    <w:qFormat/>
    <w:uiPriority w:val="0"/>
    <w:pPr>
      <w:keepNext/>
      <w:keepLines/>
      <w:pageBreakBefore/>
      <w:adjustRightInd w:val="0"/>
      <w:snapToGrid w:val="0"/>
      <w:spacing w:line="360" w:lineRule="auto"/>
      <w:jc w:val="left"/>
      <w:outlineLvl w:val="0"/>
    </w:pPr>
    <w:rPr>
      <w:rFonts w:ascii="黑体" w:hAnsi="Gungsuh" w:eastAsia="黑体"/>
      <w:b/>
      <w:color w:val="003366"/>
      <w:kern w:val="0"/>
      <w:sz w:val="32"/>
      <w:szCs w:val="32"/>
      <w:lang w:val="zh-CN" w:bidi="en-US"/>
    </w:rPr>
  </w:style>
  <w:style w:type="character" w:customStyle="1" w:styleId="423">
    <w:name w:val="正文样式1 Char1"/>
    <w:link w:val="424"/>
    <w:qFormat/>
    <w:uiPriority w:val="0"/>
    <w:rPr>
      <w:rFonts w:ascii="宋体"/>
      <w:sz w:val="24"/>
      <w:szCs w:val="24"/>
    </w:rPr>
  </w:style>
  <w:style w:type="paragraph" w:customStyle="1" w:styleId="424">
    <w:name w:val="正文样式1"/>
    <w:basedOn w:val="1"/>
    <w:link w:val="423"/>
    <w:qFormat/>
    <w:uiPriority w:val="0"/>
    <w:pPr>
      <w:spacing w:line="360" w:lineRule="auto"/>
      <w:ind w:firstLine="480" w:firstLineChars="200"/>
    </w:pPr>
    <w:rPr>
      <w:rFonts w:ascii="宋体"/>
      <w:kern w:val="0"/>
      <w:sz w:val="24"/>
    </w:rPr>
  </w:style>
  <w:style w:type="character" w:customStyle="1" w:styleId="425">
    <w:name w:val="正文小四首缩1.3行距 Char"/>
    <w:link w:val="426"/>
    <w:qFormat/>
    <w:uiPriority w:val="0"/>
    <w:rPr>
      <w:sz w:val="24"/>
      <w:szCs w:val="24"/>
    </w:rPr>
  </w:style>
  <w:style w:type="paragraph" w:customStyle="1" w:styleId="426">
    <w:name w:val="正文小四首缩1.3行距"/>
    <w:basedOn w:val="1"/>
    <w:link w:val="425"/>
    <w:qFormat/>
    <w:uiPriority w:val="0"/>
    <w:pPr>
      <w:spacing w:line="360" w:lineRule="auto"/>
      <w:ind w:firstLine="480" w:firstLineChars="200"/>
    </w:pPr>
    <w:rPr>
      <w:kern w:val="0"/>
      <w:sz w:val="24"/>
    </w:rPr>
  </w:style>
  <w:style w:type="character" w:customStyle="1" w:styleId="427">
    <w:name w:val="热电厂正文 Char"/>
    <w:link w:val="428"/>
    <w:qFormat/>
    <w:uiPriority w:val="0"/>
    <w:rPr>
      <w:sz w:val="24"/>
      <w:szCs w:val="24"/>
    </w:rPr>
  </w:style>
  <w:style w:type="paragraph" w:customStyle="1" w:styleId="428">
    <w:name w:val="热电厂正文"/>
    <w:basedOn w:val="1"/>
    <w:link w:val="427"/>
    <w:qFormat/>
    <w:uiPriority w:val="0"/>
    <w:pPr>
      <w:spacing w:line="480" w:lineRule="exact"/>
      <w:ind w:firstLine="200" w:firstLineChars="200"/>
    </w:pPr>
    <w:rPr>
      <w:kern w:val="0"/>
      <w:sz w:val="24"/>
    </w:rPr>
  </w:style>
  <w:style w:type="character" w:customStyle="1" w:styleId="429">
    <w:name w:val="电子邮件签名 字符1"/>
    <w:link w:val="14"/>
    <w:qFormat/>
    <w:uiPriority w:val="0"/>
    <w:rPr>
      <w:rFonts w:ascii="等线" w:hAnsi="等线" w:eastAsia="等线"/>
      <w:kern w:val="2"/>
      <w:sz w:val="21"/>
      <w:szCs w:val="24"/>
    </w:rPr>
  </w:style>
  <w:style w:type="character" w:customStyle="1" w:styleId="430">
    <w:name w:val="HTML 地址 字符1"/>
    <w:link w:val="26"/>
    <w:qFormat/>
    <w:uiPriority w:val="0"/>
    <w:rPr>
      <w:rFonts w:ascii="等线" w:hAnsi="等线" w:eastAsia="等线"/>
      <w:i/>
      <w:iCs/>
      <w:kern w:val="2"/>
      <w:sz w:val="21"/>
      <w:szCs w:val="24"/>
    </w:rPr>
  </w:style>
  <w:style w:type="character" w:customStyle="1" w:styleId="431">
    <w:name w:val="表格标题 Char"/>
    <w:link w:val="432"/>
    <w:qFormat/>
    <w:uiPriority w:val="0"/>
    <w:rPr>
      <w:rFonts w:eastAsia="黑体"/>
      <w:sz w:val="24"/>
      <w:szCs w:val="24"/>
    </w:rPr>
  </w:style>
  <w:style w:type="paragraph" w:customStyle="1" w:styleId="432">
    <w:name w:val="表格标题"/>
    <w:basedOn w:val="1"/>
    <w:link w:val="431"/>
    <w:qFormat/>
    <w:uiPriority w:val="0"/>
    <w:pPr>
      <w:spacing w:before="156" w:beforeLines="50" w:line="520" w:lineRule="exact"/>
      <w:ind w:firstLine="200" w:firstLineChars="200"/>
    </w:pPr>
    <w:rPr>
      <w:rFonts w:eastAsia="黑体"/>
      <w:kern w:val="0"/>
      <w:sz w:val="24"/>
    </w:rPr>
  </w:style>
  <w:style w:type="character" w:customStyle="1" w:styleId="433">
    <w:name w:val="普通文字 Char2"/>
    <w:qFormat/>
    <w:uiPriority w:val="0"/>
    <w:rPr>
      <w:rFonts w:ascii="宋体" w:hAnsi="Courier New" w:eastAsia="宋体" w:cs="Courier New"/>
      <w:kern w:val="2"/>
      <w:sz w:val="21"/>
      <w:szCs w:val="21"/>
      <w:lang w:val="en-US" w:eastAsia="zh-CN" w:bidi="ar-SA"/>
    </w:rPr>
  </w:style>
  <w:style w:type="paragraph" w:customStyle="1" w:styleId="434">
    <w:name w:val="8"/>
    <w:basedOn w:val="1"/>
    <w:next w:val="137"/>
    <w:qFormat/>
    <w:uiPriority w:val="0"/>
    <w:pPr>
      <w:ind w:firstLine="420" w:firstLineChars="200"/>
    </w:pPr>
    <w:rPr>
      <w:szCs w:val="21"/>
    </w:rPr>
  </w:style>
  <w:style w:type="paragraph" w:customStyle="1" w:styleId="435">
    <w:name w:val="样式 样式 四号 左侧:  1.53 厘米 + 首行缩进:  2 字符"/>
    <w:basedOn w:val="436"/>
    <w:qFormat/>
    <w:uiPriority w:val="0"/>
    <w:pPr>
      <w:ind w:left="200" w:leftChars="200"/>
    </w:pPr>
    <w:rPr>
      <w:szCs w:val="20"/>
    </w:rPr>
  </w:style>
  <w:style w:type="paragraph" w:customStyle="1" w:styleId="436">
    <w:name w:val="样式 四号 左侧:  1.53 厘米"/>
    <w:basedOn w:val="1"/>
    <w:qFormat/>
    <w:uiPriority w:val="0"/>
    <w:pPr>
      <w:adjustRightInd w:val="0"/>
    </w:pPr>
    <w:rPr>
      <w:w w:val="90"/>
      <w:sz w:val="28"/>
      <w:szCs w:val="28"/>
    </w:rPr>
  </w:style>
  <w:style w:type="paragraph" w:customStyle="1" w:styleId="437">
    <w:name w:val="正文@"/>
    <w:basedOn w:val="438"/>
    <w:qFormat/>
    <w:uiPriority w:val="0"/>
    <w:rPr>
      <w:szCs w:val="20"/>
    </w:rPr>
  </w:style>
  <w:style w:type="paragraph" w:customStyle="1" w:styleId="438">
    <w:name w:val="样式 宋体 首行缩进:  2 字符 段前: 2.5 磅 段后: 2.5 磅 行距: 1.5 倍行距"/>
    <w:basedOn w:val="1"/>
    <w:qFormat/>
    <w:uiPriority w:val="0"/>
    <w:pPr>
      <w:spacing w:line="360" w:lineRule="auto"/>
    </w:pPr>
    <w:rPr>
      <w:rFonts w:ascii="宋体" w:hAnsi="宋体" w:cs="宋体"/>
      <w:szCs w:val="21"/>
    </w:rPr>
  </w:style>
  <w:style w:type="paragraph" w:customStyle="1" w:styleId="439">
    <w:name w:val="样式 Times New Roman 行距: 固定值 22 磅"/>
    <w:basedOn w:val="1"/>
    <w:qFormat/>
    <w:uiPriority w:val="0"/>
    <w:pPr>
      <w:widowControl/>
      <w:spacing w:line="440" w:lineRule="exact"/>
      <w:ind w:firstLine="480" w:firstLineChars="200"/>
    </w:pPr>
    <w:rPr>
      <w:kern w:val="0"/>
      <w:sz w:val="24"/>
      <w:szCs w:val="20"/>
    </w:rPr>
  </w:style>
  <w:style w:type="paragraph" w:customStyle="1" w:styleId="440">
    <w:name w:val="列出段落3"/>
    <w:basedOn w:val="1"/>
    <w:qFormat/>
    <w:uiPriority w:val="0"/>
    <w:pPr>
      <w:ind w:firstLine="420" w:firstLineChars="200"/>
    </w:pPr>
    <w:rPr>
      <w:szCs w:val="21"/>
    </w:rPr>
  </w:style>
  <w:style w:type="paragraph" w:customStyle="1" w:styleId="441">
    <w:name w:val="样式 样式 样式 四号 左侧:  1.53 厘米 + 首行缩进:  2 字符 + 居中 左侧:  2 字符 首行缩进:  2..."/>
    <w:basedOn w:val="435"/>
    <w:qFormat/>
    <w:uiPriority w:val="0"/>
    <w:pPr>
      <w:spacing w:line="440" w:lineRule="exact"/>
      <w:ind w:left="0" w:leftChars="0" w:firstLine="361" w:firstLineChars="200"/>
      <w:jc w:val="left"/>
    </w:pPr>
    <w:rPr>
      <w:w w:val="100"/>
      <w:sz w:val="24"/>
      <w:szCs w:val="24"/>
    </w:rPr>
  </w:style>
  <w:style w:type="paragraph" w:customStyle="1" w:styleId="442">
    <w:name w:val="+正文"/>
    <w:qFormat/>
    <w:uiPriority w:val="0"/>
    <w:pPr>
      <w:widowControl w:val="0"/>
      <w:spacing w:line="360" w:lineRule="auto"/>
      <w:ind w:firstLine="200" w:firstLineChars="200"/>
      <w:jc w:val="both"/>
    </w:pPr>
    <w:rPr>
      <w:rFonts w:ascii="Calibri" w:hAnsi="Calibri" w:eastAsia="宋体" w:cs="Times New Roman"/>
      <w:kern w:val="2"/>
      <w:sz w:val="24"/>
      <w:szCs w:val="28"/>
      <w:lang w:val="en-US" w:eastAsia="zh-CN" w:bidi="ar-SA"/>
    </w:rPr>
  </w:style>
  <w:style w:type="paragraph" w:customStyle="1" w:styleId="443">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444">
    <w:name w:val="表中"/>
    <w:basedOn w:val="206"/>
    <w:qFormat/>
    <w:uiPriority w:val="0"/>
    <w:pPr>
      <w:autoSpaceDE w:val="0"/>
      <w:autoSpaceDN w:val="0"/>
      <w:adjustRightInd w:val="0"/>
      <w:textAlignment w:val="bottom"/>
      <w:outlineLvl w:val="7"/>
    </w:pPr>
    <w:rPr>
      <w:rFonts w:ascii="Arial" w:hAnsi="Arial" w:eastAsia="仿宋_GB2312"/>
      <w:color w:val="000000"/>
    </w:rPr>
  </w:style>
  <w:style w:type="paragraph" w:customStyle="1" w:styleId="445">
    <w:name w:val="TOC 标题1"/>
    <w:basedOn w:val="4"/>
    <w:next w:val="1"/>
    <w:qFormat/>
    <w:uiPriority w:val="0"/>
    <w:pPr>
      <w:keepLines/>
      <w:widowControl/>
      <w:overflowPunct/>
      <w:snapToGrid/>
      <w:spacing w:before="0" w:after="0" w:line="440" w:lineRule="exact"/>
      <w:ind w:left="0" w:firstLine="0"/>
      <w:jc w:val="center"/>
      <w:outlineLvl w:val="9"/>
    </w:pPr>
    <w:rPr>
      <w:rFonts w:eastAsia="宋体"/>
      <w:bCs w:val="0"/>
      <w:color w:val="auto"/>
      <w:kern w:val="2"/>
      <w:sz w:val="28"/>
      <w:szCs w:val="24"/>
    </w:rPr>
  </w:style>
  <w:style w:type="paragraph" w:customStyle="1" w:styleId="446">
    <w:name w:val="正文 首行缩进:  2 字符"/>
    <w:basedOn w:val="1"/>
    <w:qFormat/>
    <w:uiPriority w:val="0"/>
    <w:pPr>
      <w:ind w:firstLine="579" w:firstLineChars="200"/>
    </w:pPr>
    <w:rPr>
      <w:rFonts w:hint="eastAsia" w:ascii="Calibri" w:hAnsi="Calibri"/>
      <w:szCs w:val="21"/>
    </w:rPr>
  </w:style>
  <w:style w:type="paragraph" w:customStyle="1" w:styleId="447">
    <w:name w:val="样式 正文文本 + 首行缩进:  2 字符"/>
    <w:qFormat/>
    <w:uiPriority w:val="0"/>
    <w:pPr>
      <w:spacing w:after="200" w:line="480" w:lineRule="exact"/>
      <w:ind w:firstLine="480" w:firstLineChars="200"/>
    </w:pPr>
    <w:rPr>
      <w:rFonts w:ascii="宋体" w:hAnsi="宋体" w:eastAsia="宋体" w:cs="Times New Roman"/>
      <w:sz w:val="24"/>
      <w:lang w:val="en-US" w:eastAsia="zh-CN" w:bidi="ar-SA"/>
    </w:rPr>
  </w:style>
  <w:style w:type="character" w:customStyle="1" w:styleId="448">
    <w:name w:val="样式3正文 Char"/>
    <w:link w:val="449"/>
    <w:qFormat/>
    <w:uiPriority w:val="0"/>
    <w:rPr>
      <w:sz w:val="24"/>
    </w:rPr>
  </w:style>
  <w:style w:type="paragraph" w:customStyle="1" w:styleId="449">
    <w:name w:val="样式3正文"/>
    <w:basedOn w:val="1"/>
    <w:link w:val="448"/>
    <w:qFormat/>
    <w:uiPriority w:val="0"/>
    <w:pPr>
      <w:spacing w:line="360" w:lineRule="auto"/>
      <w:ind w:firstLine="480" w:firstLineChars="200"/>
    </w:pPr>
    <w:rPr>
      <w:kern w:val="0"/>
      <w:sz w:val="24"/>
      <w:szCs w:val="20"/>
    </w:rPr>
  </w:style>
  <w:style w:type="character" w:customStyle="1" w:styleId="450">
    <w:name w:val="表格产业园 Char"/>
    <w:link w:val="451"/>
    <w:qFormat/>
    <w:locked/>
    <w:uiPriority w:val="0"/>
    <w:rPr>
      <w:rFonts w:ascii="宋体" w:hAnsi="宋体"/>
      <w:color w:val="000000"/>
      <w:szCs w:val="21"/>
    </w:rPr>
  </w:style>
  <w:style w:type="paragraph" w:customStyle="1" w:styleId="451">
    <w:name w:val="表格产业园"/>
    <w:basedOn w:val="1"/>
    <w:link w:val="450"/>
    <w:qFormat/>
    <w:uiPriority w:val="0"/>
    <w:pPr>
      <w:widowControl/>
      <w:jc w:val="center"/>
    </w:pPr>
    <w:rPr>
      <w:rFonts w:ascii="宋体" w:hAnsi="宋体"/>
      <w:color w:val="000000"/>
      <w:kern w:val="0"/>
      <w:sz w:val="20"/>
      <w:szCs w:val="21"/>
    </w:rPr>
  </w:style>
  <w:style w:type="character" w:customStyle="1" w:styleId="452">
    <w:name w:val="正文(首行缩进)宋旭峰 Char Char"/>
    <w:link w:val="453"/>
    <w:qFormat/>
    <w:uiPriority w:val="0"/>
    <w:rPr>
      <w:rFonts w:cs="Arial"/>
      <w:snapToGrid w:val="0"/>
      <w:sz w:val="24"/>
      <w:szCs w:val="24"/>
    </w:rPr>
  </w:style>
  <w:style w:type="paragraph" w:customStyle="1" w:styleId="453">
    <w:name w:val="正文(首行缩进)宋旭峰"/>
    <w:basedOn w:val="15"/>
    <w:link w:val="452"/>
    <w:qFormat/>
    <w:uiPriority w:val="0"/>
    <w:pPr>
      <w:spacing w:before="239" w:beforeLines="50" w:after="239" w:afterLines="50" w:line="360" w:lineRule="auto"/>
      <w:ind w:firstLine="487"/>
      <w:contextualSpacing/>
    </w:pPr>
    <w:rPr>
      <w:rFonts w:cs="Arial"/>
      <w:snapToGrid w:val="0"/>
      <w:kern w:val="0"/>
      <w:sz w:val="24"/>
    </w:rPr>
  </w:style>
  <w:style w:type="character" w:customStyle="1" w:styleId="454">
    <w:name w:val="表格-标题 Char"/>
    <w:link w:val="455"/>
    <w:qFormat/>
    <w:locked/>
    <w:uiPriority w:val="99"/>
    <w:rPr>
      <w:b/>
      <w:szCs w:val="21"/>
    </w:rPr>
  </w:style>
  <w:style w:type="paragraph" w:customStyle="1" w:styleId="455">
    <w:name w:val="表格-标题"/>
    <w:basedOn w:val="1"/>
    <w:link w:val="454"/>
    <w:qFormat/>
    <w:uiPriority w:val="99"/>
    <w:pPr>
      <w:spacing w:line="410" w:lineRule="exact"/>
      <w:ind w:firstLine="200" w:firstLineChars="200"/>
      <w:jc w:val="center"/>
    </w:pPr>
    <w:rPr>
      <w:b/>
      <w:kern w:val="0"/>
      <w:sz w:val="20"/>
      <w:szCs w:val="21"/>
    </w:rPr>
  </w:style>
  <w:style w:type="paragraph" w:customStyle="1" w:styleId="456">
    <w:name w:val="正文2"/>
    <w:qFormat/>
    <w:uiPriority w:val="0"/>
    <w:pPr>
      <w:jc w:val="both"/>
    </w:pPr>
    <w:rPr>
      <w:rFonts w:ascii="宋体" w:hAnsi="宋体" w:eastAsia="宋体" w:cs="宋体"/>
      <w:kern w:val="2"/>
      <w:sz w:val="21"/>
      <w:szCs w:val="21"/>
      <w:lang w:val="en-US" w:eastAsia="zh-CN" w:bidi="ar-SA"/>
    </w:rPr>
  </w:style>
  <w:style w:type="paragraph" w:customStyle="1" w:styleId="457">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458">
    <w:name w:val="未处理的提及1"/>
    <w:basedOn w:val="53"/>
    <w:semiHidden/>
    <w:unhideWhenUsed/>
    <w:qFormat/>
    <w:uiPriority w:val="99"/>
    <w:rPr>
      <w:color w:val="605E5C"/>
      <w:shd w:val="clear" w:color="auto" w:fill="E1DFDD"/>
    </w:rPr>
  </w:style>
  <w:style w:type="paragraph" w:customStyle="1" w:styleId="459">
    <w:name w:val="表中文字"/>
    <w:basedOn w:val="1"/>
    <w:qFormat/>
    <w:uiPriority w:val="0"/>
    <w:pPr>
      <w:jc w:val="center"/>
    </w:pPr>
    <w:rPr>
      <w:rFonts w:cs="宋体"/>
      <w:szCs w:val="21"/>
    </w:rPr>
  </w:style>
  <w:style w:type="paragraph" w:customStyle="1" w:styleId="46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61">
    <w:name w:val="font31"/>
    <w:basedOn w:val="53"/>
    <w:qFormat/>
    <w:uiPriority w:val="0"/>
    <w:rPr>
      <w:rFonts w:hint="eastAsia" w:ascii="宋体" w:hAnsi="宋体" w:eastAsia="宋体"/>
      <w:color w:val="FF0000"/>
      <w:sz w:val="24"/>
      <w:szCs w:val="24"/>
      <w:u w:val="none"/>
    </w:rPr>
  </w:style>
  <w:style w:type="character" w:customStyle="1" w:styleId="462">
    <w:name w:val="font21"/>
    <w:basedOn w:val="53"/>
    <w:qFormat/>
    <w:uiPriority w:val="0"/>
    <w:rPr>
      <w:rFonts w:hint="eastAsia" w:ascii="宋体" w:hAnsi="宋体" w:eastAsia="宋体"/>
      <w:color w:val="000000"/>
      <w:sz w:val="24"/>
      <w:szCs w:val="24"/>
      <w:u w:val="none"/>
    </w:rPr>
  </w:style>
  <w:style w:type="paragraph" w:customStyle="1" w:styleId="463">
    <w:name w:val="正文文本缩进-1"/>
    <w:basedOn w:val="24"/>
    <w:qFormat/>
    <w:uiPriority w:val="0"/>
    <w:pPr>
      <w:widowControl/>
      <w:autoSpaceDE w:val="0"/>
      <w:autoSpaceDN w:val="0"/>
      <w:adjustRightInd w:val="0"/>
      <w:snapToGrid w:val="0"/>
      <w:spacing w:after="0" w:line="360" w:lineRule="auto"/>
      <w:ind w:left="0" w:leftChars="0" w:firstLine="480" w:firstLineChars="200"/>
    </w:pPr>
    <w:rPr>
      <w:szCs w:val="24"/>
    </w:rPr>
  </w:style>
  <w:style w:type="character" w:styleId="464">
    <w:name w:val="Placeholder Text"/>
    <w:basedOn w:val="53"/>
    <w:unhideWhenUsed/>
    <w:qFormat/>
    <w:uiPriority w:val="99"/>
    <w:rPr>
      <w:color w:val="808080"/>
    </w:rPr>
  </w:style>
  <w:style w:type="table" w:customStyle="1" w:styleId="465">
    <w:name w:val="网格型5"/>
    <w:basedOn w:val="51"/>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6">
    <w:name w:val="网格型11"/>
    <w:basedOn w:val="51"/>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67">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468">
    <w:name w:val="5E8A942B92774C978FFC2A16BCB09EA4"/>
    <w:qFormat/>
    <w:uiPriority w:val="99"/>
    <w:pPr>
      <w:spacing w:after="200" w:line="276" w:lineRule="auto"/>
    </w:pPr>
    <w:rPr>
      <w:rFonts w:ascii="Calibri" w:hAnsi="Calibri" w:eastAsia="宋体" w:cs="Times New Roman"/>
      <w:sz w:val="22"/>
      <w:szCs w:val="22"/>
      <w:lang w:val="en-US" w:eastAsia="en-US" w:bidi="ar-SA"/>
    </w:rPr>
  </w:style>
  <w:style w:type="paragraph" w:customStyle="1" w:styleId="469">
    <w:name w:val="表中文字0720"/>
    <w:basedOn w:val="1"/>
    <w:qFormat/>
    <w:uiPriority w:val="0"/>
    <w:pPr>
      <w:snapToGrid w:val="0"/>
      <w:jc w:val="center"/>
    </w:pPr>
    <w:rPr>
      <w:snapToGrid w:val="0"/>
      <w:color w:val="000000"/>
      <w:spacing w:val="4"/>
      <w:szCs w:val="21"/>
    </w:rPr>
  </w:style>
  <w:style w:type="character" w:customStyle="1" w:styleId="470">
    <w:name w:val="katex-mathml"/>
    <w:basedOn w:val="53"/>
    <w:qFormat/>
    <w:uiPriority w:val="0"/>
  </w:style>
  <w:style w:type="character" w:customStyle="1" w:styleId="471">
    <w:name w:val="mord"/>
    <w:basedOn w:val="53"/>
    <w:qFormat/>
    <w:uiPriority w:val="0"/>
  </w:style>
  <w:style w:type="character" w:customStyle="1" w:styleId="472">
    <w:name w:val="vlist-s"/>
    <w:basedOn w:val="53"/>
    <w:qFormat/>
    <w:uiPriority w:val="0"/>
  </w:style>
  <w:style w:type="character" w:customStyle="1" w:styleId="473">
    <w:name w:val="mbin"/>
    <w:basedOn w:val="53"/>
    <w:qFormat/>
    <w:uiPriority w:val="0"/>
  </w:style>
  <w:style w:type="character" w:customStyle="1" w:styleId="474">
    <w:name w:val="mrel"/>
    <w:basedOn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B654B2-1D9C-4672-AE69-0E86CC8E0688}">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45</Pages>
  <Words>19939</Words>
  <Characters>23249</Characters>
  <Lines>207</Lines>
  <Paragraphs>58</Paragraphs>
  <TotalTime>60</TotalTime>
  <ScaleCrop>false</ScaleCrop>
  <LinksUpToDate>false</LinksUpToDate>
  <CharactersWithSpaces>23449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2024-08-16T03:48:00Z</dcterms:created>
  <dc:creator>lhj</dc:creator>
  <cp:lastModifiedBy>Administrator</cp:lastModifiedBy>
  <cp:lastPrinted>2022-12-30T08:54:00Z</cp:lastPrinted>
  <dcterms:modified xsi:type="dcterms:W3CDTF">2024-09-09T07:53:14Z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F5AFFF77D4FE49189BBA54629B9C3A9C_13</vt:lpwstr>
  </property>
</Properties>
</file>