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  <w:t>鄂尔多斯市康巴什区人民政府关于印发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  <w:t>康巴什区支持数字经济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val="en-US" w:eastAsia="zh-CN"/>
        </w:rPr>
        <w:t>加快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val="en-US" w:eastAsia="zh-CN"/>
        </w:rPr>
        <w:t>若干措施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  <w:t>的通知</w:t>
      </w: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 xml:space="preserve">各街道办事处、区直各部门、各垂直管理部门、各企事业单位：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 xml:space="preserve">     </w:t>
      </w:r>
    </w:p>
    <w:p>
      <w:pPr>
        <w:widowControl w:val="0"/>
        <w:wordWrap/>
        <w:adjustRightInd/>
        <w:snapToGrid/>
        <w:spacing w:before="0" w:after="0" w:line="660" w:lineRule="exact"/>
        <w:ind w:right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《康巴什区支持数字经济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加快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发展的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若干措施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》已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区人民政府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2022年第21次常务会议审议通过，现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 xml:space="preserve">印发给你们，请结合实际，认真贯彻落实。  </w:t>
      </w: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 xml:space="preserve">　　　 </w:t>
      </w: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 xml:space="preserve">鄂尔多斯市康巴什区人民政府 </w:t>
      </w: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日</w:t>
      </w: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康巴什区支持</w:t>
      </w:r>
    </w:p>
    <w:p>
      <w:pPr>
        <w:pStyle w:val="2"/>
        <w:rPr>
          <w:rFonts w:hint="eastAsia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数字经济</w:t>
      </w:r>
      <w:r>
        <w:rPr>
          <w:rFonts w:hint="eastAsia" w:ascii="黑体" w:hAnsi="黑体" w:eastAsia="黑体" w:cs="黑体"/>
          <w:sz w:val="44"/>
          <w:szCs w:val="44"/>
          <w:shd w:val="clear" w:color="auto" w:fill="FFFFFF"/>
          <w:lang w:val="en-US" w:eastAsia="zh-CN"/>
        </w:rPr>
        <w:t>加快</w:t>
      </w: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发展的</w:t>
      </w:r>
      <w:r>
        <w:rPr>
          <w:rFonts w:hint="eastAsia" w:ascii="黑体" w:hAnsi="黑体" w:eastAsia="黑体" w:cs="黑体"/>
          <w:sz w:val="44"/>
          <w:szCs w:val="44"/>
          <w:shd w:val="clear" w:color="auto" w:fill="FFFFFF"/>
          <w:lang w:val="en-US" w:eastAsia="zh-CN"/>
        </w:rPr>
        <w:t>若干措施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为促进数字经济大力发展，推进数字产业化、产业数字化，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构建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以“数字化、网络化、智能化”为引领，以现代信息网络为载体，以数字技术应用为重点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现代化经济体系，推动康巴什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建设数字经济融合先导区，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根据内蒙古自治区人民政府办公厅关于印发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自治区“十四五”数字经济发展规划的通知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内政办发〔2021〕66号）和内蒙古自治区人民政府关于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推进数字经济发展的意见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（内政发〔2019〕23号）等文件精神和有关政策要求，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康巴什区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实际，制定本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7"/>
        <w:widowControl/>
        <w:numPr>
          <w:ilvl w:val="0"/>
          <w:numId w:val="0"/>
        </w:numPr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培育引进重点项目。支持引进大数据、云计算、区块链、人工智能等数字经济领域产业，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鼓励数字经济企业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在康巴什区直接投资设立独立法人资格的企业，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固定资产投资达到500万元以上，项目正常运营一年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以上企业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康巴什区政府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按其固定资产投资比例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1%给予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一次性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最高奖励不超500万元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数字经济企业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发展。推动企业基础设施，平台系统和业务应用上云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注册在康巴什区年度自用云服务费超过10万元的数字经济企业，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不超过2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0%给予上云补助，单个企业年度补助最高不超过10万元，连续补助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不超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3年。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鼓励企业外拓发展。对注册在康巴什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北京、上海、深圳、成都、苏州等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发达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城市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设立研发中心，且对推动康巴什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经济发展贡献较大的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数字经济企业，政府将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在办公用房、办公设备方面给予相应支持，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最高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一次性给予20万元奖励。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鼓励企业平台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建设。对新落地的制造业创新中心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工业设计中心，企业技术中心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工程（技术）研究中心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数字技术研发中心等公共研发平台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凭正式发布或批准文件按照国家级80万元、自治区级50万元、市级20万元的标准给予一次性资金奖励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用于研发平台的发展。对于新落地的技术创新示范企业、全国“质量标杆”企业，平台经济总部企业，或新发展的数字商贸、智慧物流、数字文旅、数字农业等平台型经济，通过“一事一议”的方式给予支持。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red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数字技术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应用场景建设。支持人工智能、车联网、区块链、虚拟现实、大数据、软件信息服务、民生服务、社会治理、智慧矿山、城市管理等应用场景及康巴什区统筹安排开放的其他数字场景建设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支持以企业为主体围绕医疗、教育、交通、文旅、环保等领域开展基于5G、新一代互联网、物联网等数字基础设施的典型示范和应用。区政府为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应用场景实践提供所需必要服务，对于落地正式运行的应用场景给予最高100万元的资金支持。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支持软件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信息服务业发展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投资建设软件服务业创新中心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（技术联盟）的企事业单位，经论证，确有发展潜力或成效明显的，给予提供办公场所或资金扶持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。对首次进入全国电子信息百强、互联网百强的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企业，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最高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一次性给予50万元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支持工业数字化发展。对在我区设立国家或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自治区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级工业互联网平台、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标识解析节点建设、骨干节点建设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的项目，以及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制造业与互联网融合试点示范项目，国家级区块链应用示范项目，建成后给予企业最高200万元资金支持。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/>
        </w:rPr>
        <w:t>支持新型数字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基础设施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/>
        </w:rPr>
        <w:t>建设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。全面升级5G网络基础设施建设，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/>
        </w:rPr>
        <w:t>区政府积极为区块链新技术基础设施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，超算中心算力基础设施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/>
        </w:rPr>
        <w:t>，5G基站建设创造条件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，提供服务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/>
        </w:rPr>
        <w:t>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、支持数字经济产业园区建设。培育数字经济产业园区，对经市级及市级以上政府认定的数字经济孵化基地或产业园区，每年给予最高100万元的奖励，奖励可以通过资金或支持基础设施建设等方式落实，鼓励基地或园区的建设发展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十、鼓励数字经济领域峰会、论坛、赛事举办。对在我区举办数字经济领域峰会、论坛、赛事等重大活动，根据活动内容、规模、预期效果等，通过“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一事一议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”方式给予支持。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数字经济人才引育。在人才引育方面全面落实《鄂尔多斯市关于加强新时代人才工作助推高质量发展的若干政策》（简称“鄂尔多斯人才新政30条”），在其子女入学方面全面执行《鄂尔多斯市高层次人才子女入学服务实施办法（暂行）》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设立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数字经济专项资金。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区政府将数字经济发展扶持资金纳入财政预算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用于数字经济企业的培育、引进，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数字经济应用项目建设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科技研发和交流学习培训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数字经济与实体经济深度融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  <w:t>合等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工作和事项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十三、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支持对象为康巴什区招商引资的软件信息技术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互联网大数据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智能制造等数字经济类，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在康巴什区注册、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依法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纳税、纳统，具有独立法人资格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实行独立核算的企业。适用本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的同时又适用康巴什区其他支持政策措施的，按照从优不重复原则予以兑现，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涉及支持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奖励和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补助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一事一议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项目外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均在获批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落地的次年兑现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所涉币种均为人民币，金额均为税前金额。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5年内不迁离康巴什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区，如遇特殊情况必须迁离的，已享受的奖励或补贴需全额退还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十四、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自公布之日起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30日后实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，根据执行情况实时修订。本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与法律法规及上位政策冲突时，以法律法规和上位政策为准。康巴什区科学技术局（康巴什区工业和信息化局）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组织推动本措施落地实施，并承担具体解释工作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sqKDTGAQAAkgMAAA4AAABkcnMvZTJvRG9jLnhtbK1TzY7TMBC+I/EO&#10;lu80aSV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mV&#10;LcvV2+RQH7CixsfwAFOGFCa5Qws2vUkIG7Kr56uraohMUnG5Xq3XJRku6WxOCKd4+jwAxnvlLUtB&#10;zYGuLbspTh8wjq1zS5rm/J02huqiMu6vAmGmSpEYjxxTFIf9MBHf++ZMgnu68Zo7WnDOzHtHhqbl&#10;mAOYg/0cHAPoQ0fUlpkXhttjJBKZW5owwk6D6aqyummt0i78meeup19p+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6yooNMYBAACS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ZTQ4NGE5ZjNiYmZjYmQyMGEyNDRiMmVhNWM1YjcifQ=="/>
  </w:docVars>
  <w:rsids>
    <w:rsidRoot w:val="00000000"/>
    <w:rsid w:val="0D896169"/>
    <w:rsid w:val="170A63E5"/>
    <w:rsid w:val="17AB3C83"/>
    <w:rsid w:val="19210588"/>
    <w:rsid w:val="1C204EA5"/>
    <w:rsid w:val="2F442DDC"/>
    <w:rsid w:val="30986E0D"/>
    <w:rsid w:val="68E30429"/>
    <w:rsid w:val="6D2673E8"/>
    <w:rsid w:val="7510491D"/>
    <w:rsid w:val="790B1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djustRightInd w:val="0"/>
      <w:spacing w:line="360" w:lineRule="auto"/>
      <w:ind w:firstLine="420" w:firstLineChars="200"/>
    </w:pPr>
    <w:rPr>
      <w:rFonts w:ascii="宋体" w:hAnsi="宋体"/>
      <w:sz w:val="28"/>
      <w:szCs w:val="28"/>
    </w:r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2118</Words>
  <Characters>2159</Characters>
  <Lines>0</Lines>
  <Paragraphs>0</Paragraphs>
  <TotalTime>0</TotalTime>
  <ScaleCrop>false</ScaleCrop>
  <LinksUpToDate>false</LinksUpToDate>
  <CharactersWithSpaces>2195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2022-01-12T23:36:00Z</dcterms:created>
  <dc:creator>Administrator</dc:creator>
  <cp:lastModifiedBy>随风畅畅</cp:lastModifiedBy>
  <cp:lastPrinted>2022-09-21T01:48:00Z</cp:lastPrinted>
  <dcterms:modified xsi:type="dcterms:W3CDTF">2022-10-17T02:14:01Z</dcterms:modified>
  <dc:title>成都市武侯区人民政府文件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E9C3843CA5084BAD9ECD2234DE0D7638</vt:lpwstr>
  </property>
</Properties>
</file>