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康巴什区</w:t>
      </w:r>
      <w:r>
        <w:rPr>
          <w:rFonts w:hint="eastAsia" w:ascii="方正小标宋简体" w:hAnsi="方正小标宋简体" w:eastAsia="方正小标宋简体" w:cs="方正小标宋简体"/>
          <w:sz w:val="40"/>
          <w:szCs w:val="40"/>
        </w:rPr>
        <w:t>2022年政务公开工作要点任务台账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166"/>
        <w:gridCol w:w="4121"/>
        <w:gridCol w:w="132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86" w:type="dxa"/>
            <w:gridSpan w:val="2"/>
            <w:vAlign w:val="center"/>
          </w:tcPr>
          <w:p>
            <w:pPr>
              <w:jc w:val="center"/>
              <w:rPr>
                <w:rFonts w:hint="eastAsia" w:ascii="黑体" w:hAnsi="黑体" w:eastAsia="黑体" w:cs="黑体"/>
                <w:sz w:val="24"/>
              </w:rPr>
            </w:pPr>
            <w:r>
              <w:rPr>
                <w:rFonts w:hint="eastAsia" w:ascii="黑体" w:hAnsi="黑体" w:eastAsia="黑体" w:cs="黑体"/>
                <w:sz w:val="24"/>
              </w:rPr>
              <w:t>任务名称</w:t>
            </w:r>
          </w:p>
        </w:tc>
        <w:tc>
          <w:tcPr>
            <w:tcW w:w="4121" w:type="dxa"/>
            <w:vAlign w:val="center"/>
          </w:tcPr>
          <w:p>
            <w:pPr>
              <w:jc w:val="center"/>
              <w:rPr>
                <w:rFonts w:hint="eastAsia" w:ascii="黑体" w:hAnsi="黑体" w:eastAsia="黑体" w:cs="黑体"/>
                <w:sz w:val="24"/>
              </w:rPr>
            </w:pPr>
            <w:r>
              <w:rPr>
                <w:rFonts w:hint="eastAsia" w:ascii="黑体" w:hAnsi="黑体" w:eastAsia="黑体" w:cs="黑体"/>
                <w:sz w:val="24"/>
              </w:rPr>
              <w:t>具体任务</w:t>
            </w:r>
          </w:p>
        </w:tc>
        <w:tc>
          <w:tcPr>
            <w:tcW w:w="1320" w:type="dxa"/>
            <w:vAlign w:val="center"/>
          </w:tcPr>
          <w:p>
            <w:pPr>
              <w:jc w:val="center"/>
              <w:rPr>
                <w:rFonts w:hint="eastAsia" w:ascii="黑体" w:hAnsi="黑体" w:eastAsia="黑体" w:cs="黑体"/>
                <w:sz w:val="24"/>
                <w:lang w:val="en-US" w:eastAsia="zh-CN"/>
              </w:rPr>
            </w:pPr>
            <w:r>
              <w:rPr>
                <w:rFonts w:hint="eastAsia" w:ascii="黑体" w:hAnsi="黑体" w:eastAsia="黑体" w:cs="黑体"/>
                <w:sz w:val="24"/>
              </w:rPr>
              <w:t>责任单位</w:t>
            </w:r>
          </w:p>
        </w:tc>
        <w:tc>
          <w:tcPr>
            <w:tcW w:w="1234" w:type="dxa"/>
            <w:vAlign w:val="center"/>
          </w:tcPr>
          <w:p>
            <w:pPr>
              <w:jc w:val="center"/>
              <w:rPr>
                <w:rFonts w:hint="eastAsia" w:ascii="黑体" w:hAnsi="黑体" w:eastAsia="黑体" w:cs="黑体"/>
                <w:sz w:val="24"/>
                <w:lang w:val="en-US" w:eastAsia="zh-CN"/>
              </w:rPr>
            </w:pPr>
            <w:r>
              <w:rPr>
                <w:rFonts w:hint="eastAsia" w:ascii="黑体" w:hAnsi="黑体" w:eastAsia="黑体" w:cs="黑体"/>
                <w:sz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220" w:type="dxa"/>
            <w:vMerge w:val="restart"/>
            <w:vAlign w:val="center"/>
          </w:tcPr>
          <w:p>
            <w:pPr>
              <w:rPr>
                <w:sz w:val="24"/>
              </w:rPr>
            </w:pPr>
            <w:r>
              <w:rPr>
                <w:rFonts w:hint="eastAsia"/>
                <w:sz w:val="24"/>
              </w:rPr>
              <w:t>一、提高政策</w:t>
            </w:r>
            <w:r>
              <w:rPr>
                <w:sz w:val="24"/>
              </w:rPr>
              <w:t>公开质量</w:t>
            </w:r>
            <w:r>
              <w:rPr>
                <w:rFonts w:hint="eastAsia"/>
                <w:sz w:val="24"/>
              </w:rPr>
              <w:t>，提升政务服务效能</w:t>
            </w:r>
          </w:p>
        </w:tc>
        <w:tc>
          <w:tcPr>
            <w:tcW w:w="1166" w:type="dxa"/>
            <w:vMerge w:val="restart"/>
            <w:vAlign w:val="center"/>
          </w:tcPr>
          <w:p>
            <w:pPr>
              <w:jc w:val="center"/>
              <w:rPr>
                <w:sz w:val="24"/>
              </w:rPr>
            </w:pPr>
            <w:r>
              <w:rPr>
                <w:rFonts w:hint="eastAsia"/>
                <w:sz w:val="24"/>
              </w:rPr>
              <w:t>（一）继续做好规章和规范性文件的集中公开。</w:t>
            </w:r>
          </w:p>
        </w:tc>
        <w:tc>
          <w:tcPr>
            <w:tcW w:w="4121" w:type="dxa"/>
            <w:vAlign w:val="center"/>
          </w:tcPr>
          <w:p>
            <w:pPr>
              <w:rPr>
                <w:rFonts w:ascii="Calibri" w:hAnsi="Calibri" w:eastAsia="仿宋_GB2312" w:cs="Times New Roman"/>
                <w:kern w:val="2"/>
                <w:sz w:val="24"/>
                <w:szCs w:val="24"/>
                <w:lang w:val="en-US" w:eastAsia="zh-CN" w:bidi="ar-SA"/>
              </w:rPr>
            </w:pPr>
            <w:r>
              <w:rPr>
                <w:rFonts w:hint="eastAsia"/>
                <w:sz w:val="24"/>
              </w:rPr>
              <w:t>依托政府网站“政府信息公开”专栏，建立全区现行有效规范性文件库，集中公开现行有效规范性文件和目录，根据立改废情况及时更新。</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区政府办公室、区政务服务局</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w:t>
            </w:r>
            <w:r>
              <w:rPr>
                <w:rFonts w:hint="eastAsia"/>
                <w:sz w:val="24"/>
                <w:lang w:val="en-US" w:eastAsia="zh-CN"/>
              </w:rPr>
              <w:t>8</w:t>
            </w:r>
            <w:r>
              <w:rPr>
                <w:rFonts w:hint="eastAsia"/>
                <w:sz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rFonts w:ascii="Calibri" w:hAnsi="Calibri" w:eastAsia="仿宋_GB2312" w:cs="Times New Roman"/>
                <w:kern w:val="2"/>
                <w:sz w:val="24"/>
                <w:szCs w:val="24"/>
                <w:lang w:val="en-US" w:eastAsia="zh-CN" w:bidi="ar-SA"/>
              </w:rPr>
            </w:pPr>
            <w:r>
              <w:rPr>
                <w:rFonts w:hint="eastAsia"/>
                <w:sz w:val="24"/>
              </w:rPr>
              <w:t>进一步强化政府公文分类展示，持续调整优化主题划分，确保分类准确，便于查阅。</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区政府办公室、区政务服务局</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w:t>
            </w:r>
            <w:r>
              <w:rPr>
                <w:rFonts w:hint="eastAsia"/>
                <w:sz w:val="24"/>
                <w:lang w:val="en-US" w:eastAsia="zh-CN"/>
              </w:rPr>
              <w:t>8</w:t>
            </w:r>
            <w:r>
              <w:rPr>
                <w:rFonts w:hint="eastAsia"/>
                <w:sz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充分发挥《康巴什区人民政府公报》作用，区政府制发主动公开的行政规范性文件后，要及时在《康巴什区人民政府公报》上发布。</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区政府办公室</w:t>
            </w:r>
          </w:p>
        </w:tc>
        <w:tc>
          <w:tcPr>
            <w:tcW w:w="1234" w:type="dxa"/>
            <w:vAlign w:val="center"/>
          </w:tcPr>
          <w:p>
            <w:pPr>
              <w:tabs>
                <w:tab w:val="left" w:pos="328"/>
              </w:tabs>
              <w:jc w:val="left"/>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0" w:type="dxa"/>
            <w:vMerge w:val="continue"/>
            <w:vAlign w:val="center"/>
          </w:tcPr>
          <w:p>
            <w:pPr>
              <w:rPr>
                <w:sz w:val="24"/>
              </w:rPr>
            </w:pPr>
          </w:p>
        </w:tc>
        <w:tc>
          <w:tcPr>
            <w:tcW w:w="1166" w:type="dxa"/>
            <w:vAlign w:val="center"/>
          </w:tcPr>
          <w:p>
            <w:pPr>
              <w:jc w:val="center"/>
              <w:rPr>
                <w:sz w:val="24"/>
              </w:rPr>
            </w:pPr>
            <w:r>
              <w:rPr>
                <w:rFonts w:hint="eastAsia"/>
                <w:sz w:val="24"/>
              </w:rPr>
              <w:t>（二）加强政策集中公开成果运用。</w:t>
            </w:r>
          </w:p>
        </w:tc>
        <w:tc>
          <w:tcPr>
            <w:tcW w:w="4121" w:type="dxa"/>
            <w:vAlign w:val="center"/>
          </w:tcPr>
          <w:p>
            <w:pPr>
              <w:rPr>
                <w:sz w:val="24"/>
              </w:rPr>
            </w:pPr>
            <w:r>
              <w:rPr>
                <w:rFonts w:hint="eastAsia"/>
                <w:sz w:val="24"/>
              </w:rPr>
              <w:t>制定政策库多维度标签体系，提升政府网站集约化平台大数据分析能力。加快推进政务服务标准化、规范化、便利化，根据国家政务服务事项基本目录和全区实际，明确应承接的事项，并全面梳理依法依规自行设立的事项，修订完善全区政务服务事项基本目录，更好满足企业群众办事需求。</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区政务服务局</w:t>
            </w:r>
          </w:p>
        </w:tc>
        <w:tc>
          <w:tcPr>
            <w:tcW w:w="1234" w:type="dxa"/>
            <w:vAlign w:val="center"/>
          </w:tcPr>
          <w:p>
            <w:pPr>
              <w:jc w:val="center"/>
              <w:rPr>
                <w:rFonts w:ascii="Calibri" w:hAnsi="Calibri" w:eastAsia="仿宋_GB2312" w:cs="Times New Roman"/>
                <w:kern w:val="2"/>
                <w:sz w:val="21"/>
                <w:szCs w:val="21"/>
                <w:lang w:val="en-US" w:eastAsia="zh-CN" w:bidi="ar-SA"/>
              </w:rPr>
            </w:pPr>
            <w:r>
              <w:rPr>
                <w:rFonts w:hint="eastAsia"/>
                <w:sz w:val="21"/>
                <w:szCs w:val="21"/>
              </w:rPr>
              <w:t>2022年</w:t>
            </w:r>
            <w:r>
              <w:rPr>
                <w:rFonts w:hint="eastAsia"/>
                <w:sz w:val="21"/>
                <w:szCs w:val="21"/>
                <w:lang w:val="en-US" w:eastAsia="zh-CN"/>
              </w:rPr>
              <w:t>9</w:t>
            </w:r>
            <w:r>
              <w:rPr>
                <w:rFonts w:hint="eastAsia"/>
                <w:sz w:val="21"/>
                <w:szCs w:val="21"/>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220" w:type="dxa"/>
            <w:vMerge w:val="continue"/>
            <w:vAlign w:val="center"/>
          </w:tcPr>
          <w:p>
            <w:pPr>
              <w:rPr>
                <w:sz w:val="24"/>
              </w:rPr>
            </w:pPr>
          </w:p>
        </w:tc>
        <w:tc>
          <w:tcPr>
            <w:tcW w:w="1166" w:type="dxa"/>
            <w:vMerge w:val="restart"/>
            <w:vAlign w:val="center"/>
          </w:tcPr>
          <w:p>
            <w:pPr>
              <w:jc w:val="center"/>
              <w:rPr>
                <w:sz w:val="24"/>
              </w:rPr>
            </w:pPr>
            <w:r>
              <w:rPr>
                <w:rFonts w:hint="eastAsia"/>
                <w:sz w:val="24"/>
              </w:rPr>
              <w:t>（三）深化优化政策解读。</w:t>
            </w:r>
          </w:p>
        </w:tc>
        <w:tc>
          <w:tcPr>
            <w:tcW w:w="4121" w:type="dxa"/>
            <w:vAlign w:val="center"/>
          </w:tcPr>
          <w:p>
            <w:pPr>
              <w:rPr>
                <w:rFonts w:hint="eastAsia" w:eastAsia="仿宋_GB2312"/>
                <w:sz w:val="24"/>
                <w:lang w:eastAsia="zh-CN"/>
              </w:rPr>
            </w:pPr>
            <w:r>
              <w:rPr>
                <w:rFonts w:hint="eastAsia" w:eastAsia="仿宋_GB2312"/>
                <w:sz w:val="24"/>
                <w:lang w:eastAsia="zh-CN"/>
              </w:rPr>
              <w:t>持续做好重大政策发布解读回应工作，合理确定解读渠道，综合选用</w:t>
            </w:r>
            <w:bookmarkStart w:id="0" w:name="_GoBack"/>
            <w:bookmarkEnd w:id="0"/>
            <w:r>
              <w:rPr>
                <w:rFonts w:hint="eastAsia" w:eastAsia="仿宋_GB2312"/>
                <w:sz w:val="24"/>
                <w:lang w:eastAsia="zh-CN"/>
              </w:rPr>
              <w:t>图示图解、视频动漫、新闻发布会、专家访谈、场景演示、短视频、集中政策宣讲等解读形式，协调全区主要新闻媒体、政府网站和政务新媒体平台转载，切实丰富政策解读形式，提高政策解读的到达率和知晓率。</w:t>
            </w:r>
          </w:p>
        </w:tc>
        <w:tc>
          <w:tcPr>
            <w:tcW w:w="1320" w:type="dxa"/>
            <w:vMerge w:val="restart"/>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各街道、各部门、各垂直管理部门、各企事业单位</w:t>
            </w:r>
          </w:p>
        </w:tc>
        <w:tc>
          <w:tcPr>
            <w:tcW w:w="1234"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2022年1</w:t>
            </w:r>
            <w:r>
              <w:rPr>
                <w:rFonts w:hint="eastAsia"/>
                <w:sz w:val="24"/>
                <w:lang w:val="en-US" w:eastAsia="zh-CN"/>
              </w:rPr>
              <w:t>1</w:t>
            </w:r>
            <w:r>
              <w:rPr>
                <w:rFonts w:hint="eastAsia"/>
                <w:sz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20" w:type="dxa"/>
            <w:vMerge w:val="continue"/>
            <w:vAlign w:val="center"/>
          </w:tcPr>
          <w:p>
            <w:pPr>
              <w:rPr>
                <w:sz w:val="24"/>
              </w:rPr>
            </w:pPr>
          </w:p>
        </w:tc>
        <w:tc>
          <w:tcPr>
            <w:tcW w:w="1166" w:type="dxa"/>
            <w:vMerge w:val="continue"/>
            <w:vAlign w:val="center"/>
          </w:tcPr>
          <w:p>
            <w:pPr>
              <w:jc w:val="center"/>
              <w:rPr>
                <w:rFonts w:hint="eastAsia"/>
                <w:sz w:val="24"/>
              </w:rPr>
            </w:pPr>
          </w:p>
        </w:tc>
        <w:tc>
          <w:tcPr>
            <w:tcW w:w="4121" w:type="dxa"/>
            <w:vAlign w:val="center"/>
          </w:tcPr>
          <w:p>
            <w:pPr>
              <w:rPr>
                <w:rFonts w:hint="eastAsia"/>
                <w:sz w:val="24"/>
              </w:rPr>
            </w:pPr>
            <w:r>
              <w:rPr>
                <w:rFonts w:hint="eastAsia"/>
                <w:sz w:val="24"/>
              </w:rPr>
              <w:t>政策解读部门要及时收集、提炼社会公众对政策的普遍关注点和疑虑点，突出新旧政策差异、管理执行标准、惠企利民举措及享受条件等实质性内容，扩大政策施行后解读，积极跟踪解读、多轮解读，对咨询、意见、建议较为集中的内容，有针对性地予以解答。</w:t>
            </w:r>
          </w:p>
        </w:tc>
        <w:tc>
          <w:tcPr>
            <w:tcW w:w="1320" w:type="dxa"/>
            <w:vMerge w:val="continue"/>
            <w:vAlign w:val="center"/>
          </w:tcPr>
          <w:p>
            <w:pPr>
              <w:jc w:val="center"/>
              <w:rPr>
                <w:rFonts w:hint="eastAsia"/>
                <w:sz w:val="24"/>
              </w:rPr>
            </w:pPr>
          </w:p>
        </w:tc>
        <w:tc>
          <w:tcPr>
            <w:tcW w:w="1234"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24"/>
                <w:szCs w:val="24"/>
              </w:rPr>
              <w:t>以12345政务服务便民热线、</w:t>
            </w:r>
            <w:r>
              <w:rPr>
                <w:rFonts w:hint="eastAsia" w:ascii="仿宋_GB2312" w:hAnsi="仿宋_GB2312" w:eastAsia="仿宋_GB2312" w:cs="仿宋_GB2312"/>
                <w:sz w:val="24"/>
                <w:szCs w:val="24"/>
                <w:lang w:val="en-US" w:eastAsia="zh-CN"/>
              </w:rPr>
              <w:t>区长信箱、</w:t>
            </w:r>
            <w:r>
              <w:rPr>
                <w:rFonts w:hint="eastAsia" w:ascii="仿宋_GB2312" w:hAnsi="仿宋_GB2312" w:eastAsia="仿宋_GB2312" w:cs="仿宋_GB2312"/>
                <w:sz w:val="24"/>
                <w:szCs w:val="24"/>
              </w:rPr>
              <w:t>政务服务场所为依托，加强政策咨询“窗口”建设，针对生育、教育、就业、创业、养老、医疗、纳税、</w:t>
            </w:r>
            <w:r>
              <w:rPr>
                <w:rFonts w:hint="eastAsia" w:ascii="仿宋_GB2312" w:hAnsi="仿宋_GB2312" w:eastAsia="仿宋_GB2312" w:cs="仿宋_GB2312"/>
                <w:color w:val="auto"/>
                <w:sz w:val="24"/>
                <w:szCs w:val="24"/>
                <w:lang w:val="en-US" w:eastAsia="zh-CN"/>
              </w:rPr>
              <w:t>疫情防控等与人民群众切身利益密切相关的问题，为企业和群众提供方便快捷的政策咨询服务。</w:t>
            </w:r>
          </w:p>
          <w:p>
            <w:pPr>
              <w:rPr>
                <w:sz w:val="24"/>
              </w:rPr>
            </w:pPr>
          </w:p>
        </w:tc>
        <w:tc>
          <w:tcPr>
            <w:tcW w:w="1320"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各街道、各部门、各垂直管理部门、各企事业单位</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2022年7月底前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220" w:type="dxa"/>
            <w:vMerge w:val="continue"/>
            <w:vAlign w:val="center"/>
          </w:tcPr>
          <w:p>
            <w:pPr>
              <w:rPr>
                <w:sz w:val="24"/>
              </w:rPr>
            </w:pPr>
          </w:p>
        </w:tc>
        <w:tc>
          <w:tcPr>
            <w:tcW w:w="1166" w:type="dxa"/>
            <w:vMerge w:val="restar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（四）推动政府开放活动常态化。</w:t>
            </w:r>
          </w:p>
        </w:tc>
        <w:tc>
          <w:tcPr>
            <w:tcW w:w="4121"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结合年度重点工作、重大工程和重要政策发布，围绕“一网通办”、营商环境、民生保障、公正监管、公共安全等公众广泛关注的领域，积极开展政府开放月活动。</w:t>
            </w:r>
          </w:p>
        </w:tc>
        <w:tc>
          <w:tcPr>
            <w:tcW w:w="1320" w:type="dxa"/>
            <w:vMerge w:val="restart"/>
            <w:vAlign w:val="center"/>
          </w:tcPr>
          <w:p>
            <w:pPr>
              <w:jc w:val="center"/>
              <w:rPr>
                <w:rFonts w:ascii="Calibri"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lang w:val="en-US" w:eastAsia="zh-CN"/>
                <w14:textFill>
                  <w14:solidFill>
                    <w14:schemeClr w14:val="tx1"/>
                  </w14:solidFill>
                </w14:textFill>
              </w:rPr>
              <w:t>各街道、各部门、各垂直管理部门、各企事业单位</w:t>
            </w:r>
          </w:p>
        </w:tc>
        <w:tc>
          <w:tcPr>
            <w:tcW w:w="1234" w:type="dxa"/>
            <w:vMerge w:val="restart"/>
            <w:vAlign w:val="center"/>
          </w:tcPr>
          <w:p>
            <w:pPr>
              <w:jc w:val="center"/>
              <w:rPr>
                <w:rFonts w:ascii="Calibri"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14:textFill>
                  <w14:solidFill>
                    <w14:schemeClr w14:val="tx1"/>
                  </w14:solidFill>
                </w14:textFill>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220" w:type="dxa"/>
            <w:vMerge w:val="continue"/>
            <w:vAlign w:val="center"/>
          </w:tcPr>
          <w:p>
            <w:pPr>
              <w:rPr>
                <w:sz w:val="24"/>
              </w:rPr>
            </w:pPr>
          </w:p>
        </w:tc>
        <w:tc>
          <w:tcPr>
            <w:tcW w:w="1166" w:type="dxa"/>
            <w:vMerge w:val="continue"/>
            <w:vAlign w:val="center"/>
          </w:tcPr>
          <w:p>
            <w:pPr>
              <w:jc w:val="center"/>
              <w:rPr>
                <w:color w:val="00B0F0"/>
                <w:sz w:val="24"/>
              </w:rPr>
            </w:pPr>
          </w:p>
        </w:tc>
        <w:tc>
          <w:tcPr>
            <w:tcW w:w="4121" w:type="dxa"/>
            <w:vAlign w:val="center"/>
          </w:tcPr>
          <w:p>
            <w:pPr>
              <w:rPr>
                <w:color w:val="00B0F0"/>
                <w:sz w:val="24"/>
              </w:rPr>
            </w:pPr>
            <w:r>
              <w:rPr>
                <w:rFonts w:hint="eastAsia"/>
                <w:color w:val="000000" w:themeColor="text1"/>
                <w:sz w:val="24"/>
                <w14:textFill>
                  <w14:solidFill>
                    <w14:schemeClr w14:val="tx1"/>
                  </w14:solidFill>
                </w14:textFill>
              </w:rPr>
              <w:t>要综合选用政府网站、政务新媒体、新闻发布会、政府信息查阅场所，向社会公开征求意见，听取、吸收对政府工作的意见建议。</w:t>
            </w:r>
          </w:p>
        </w:tc>
        <w:tc>
          <w:tcPr>
            <w:tcW w:w="1320" w:type="dxa"/>
            <w:vMerge w:val="continue"/>
            <w:vAlign w:val="center"/>
          </w:tcPr>
          <w:p>
            <w:pPr>
              <w:jc w:val="center"/>
              <w:rPr>
                <w:rFonts w:ascii="Calibri" w:hAnsi="Calibri" w:eastAsia="仿宋_GB2312" w:cs="Times New Roman"/>
                <w:kern w:val="2"/>
                <w:sz w:val="24"/>
                <w:szCs w:val="24"/>
                <w:lang w:val="en-US" w:eastAsia="zh-CN" w:bidi="ar-SA"/>
              </w:rPr>
            </w:pP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1220" w:type="dxa"/>
            <w:vMerge w:val="restart"/>
            <w:vAlign w:val="center"/>
          </w:tcPr>
          <w:p>
            <w:pPr>
              <w:rPr>
                <w:sz w:val="24"/>
              </w:rPr>
            </w:pPr>
            <w:r>
              <w:rPr>
                <w:rFonts w:hint="eastAsia"/>
                <w:sz w:val="24"/>
              </w:rPr>
              <w:t>二、强化重点领域公开，促进社会和谐稳定</w:t>
            </w:r>
          </w:p>
          <w:p>
            <w:pPr>
              <w:rPr>
                <w:sz w:val="24"/>
              </w:rPr>
            </w:pPr>
          </w:p>
        </w:tc>
        <w:tc>
          <w:tcPr>
            <w:tcW w:w="1166" w:type="dxa"/>
            <w:vAlign w:val="center"/>
          </w:tcPr>
          <w:p>
            <w:pPr>
              <w:jc w:val="center"/>
              <w:rPr>
                <w:sz w:val="24"/>
              </w:rPr>
            </w:pPr>
            <w:r>
              <w:rPr>
                <w:rFonts w:hint="eastAsia"/>
                <w:sz w:val="24"/>
              </w:rPr>
              <w:t>（五）持续做好疫情防控信息公开。</w:t>
            </w:r>
          </w:p>
        </w:tc>
        <w:tc>
          <w:tcPr>
            <w:tcW w:w="4121" w:type="dxa"/>
            <w:vAlign w:val="center"/>
          </w:tcPr>
          <w:p>
            <w:pPr>
              <w:rPr>
                <w:sz w:val="24"/>
              </w:rPr>
            </w:pPr>
            <w:r>
              <w:rPr>
                <w:rFonts w:hint="eastAsia"/>
                <w:sz w:val="24"/>
              </w:rPr>
              <w:t>严格执行疫情防控信息发布各项制度，持续做好康巴什区人民政府网站“疫情防控工作”专栏更新工作，及时充分回应社会关切。加强疫情防控信息发布工作协调衔接，形成多方协同的工作合力。进一步规范流调信息发布和管理，保护好个人隐私，避免对相关人员正常生活产生不当影响。</w:t>
            </w:r>
          </w:p>
        </w:tc>
        <w:tc>
          <w:tcPr>
            <w:tcW w:w="1320"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卫健委</w:t>
            </w:r>
            <w:r>
              <w:rPr>
                <w:rFonts w:hint="eastAsia"/>
                <w:sz w:val="24"/>
              </w:rPr>
              <w:t>及相关部门</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1220" w:type="dxa"/>
            <w:vMerge w:val="continue"/>
            <w:vAlign w:val="center"/>
          </w:tcPr>
          <w:p>
            <w:pPr>
              <w:rPr>
                <w:sz w:val="24"/>
              </w:rPr>
            </w:pPr>
          </w:p>
        </w:tc>
        <w:tc>
          <w:tcPr>
            <w:tcW w:w="1166" w:type="dxa"/>
            <w:vMerge w:val="restart"/>
            <w:vAlign w:val="center"/>
          </w:tcPr>
          <w:p>
            <w:pPr>
              <w:jc w:val="center"/>
              <w:rPr>
                <w:sz w:val="24"/>
              </w:rPr>
            </w:pPr>
            <w:r>
              <w:rPr>
                <w:rFonts w:hint="eastAsia"/>
                <w:sz w:val="24"/>
              </w:rPr>
              <w:t>（六）加强就业创业信息公开。</w:t>
            </w:r>
          </w:p>
        </w:tc>
        <w:tc>
          <w:tcPr>
            <w:tcW w:w="4121" w:type="dxa"/>
            <w:vAlign w:val="center"/>
          </w:tcPr>
          <w:p>
            <w:pPr>
              <w:rPr>
                <w:sz w:val="24"/>
              </w:rPr>
            </w:pPr>
            <w:r>
              <w:rPr>
                <w:rFonts w:hint="eastAsia"/>
                <w:sz w:val="24"/>
              </w:rPr>
              <w:t>针对高校毕业生、退役军人、失业人员等重点群体就业，做好政策宣讲和推送工作，提升灵活就业劳动用工和社保政策的发布解读质量，加大新就业形态劳动者劳动保障信息公开力度，畅通维权和咨询投诉渠道。</w:t>
            </w:r>
          </w:p>
        </w:tc>
        <w:tc>
          <w:tcPr>
            <w:tcW w:w="1320"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区教体局</w:t>
            </w:r>
            <w:r>
              <w:rPr>
                <w:rFonts w:hint="eastAsia"/>
                <w:sz w:val="24"/>
              </w:rPr>
              <w:t>、</w:t>
            </w:r>
            <w:r>
              <w:rPr>
                <w:rFonts w:hint="eastAsia"/>
                <w:sz w:val="24"/>
                <w:lang w:val="en-US" w:eastAsia="zh-CN"/>
              </w:rPr>
              <w:t>区</w:t>
            </w:r>
            <w:r>
              <w:rPr>
                <w:rFonts w:hint="eastAsia"/>
                <w:sz w:val="24"/>
              </w:rPr>
              <w:t>退役军人事务</w:t>
            </w:r>
            <w:r>
              <w:rPr>
                <w:rFonts w:hint="eastAsia"/>
                <w:sz w:val="24"/>
                <w:lang w:val="en-US" w:eastAsia="zh-CN"/>
              </w:rPr>
              <w:t>局</w:t>
            </w:r>
            <w:r>
              <w:rPr>
                <w:rFonts w:hint="eastAsia"/>
                <w:sz w:val="24"/>
              </w:rPr>
              <w:t>、</w:t>
            </w:r>
            <w:r>
              <w:rPr>
                <w:rFonts w:hint="eastAsia"/>
                <w:sz w:val="24"/>
                <w:lang w:val="en-US" w:eastAsia="zh-CN"/>
              </w:rPr>
              <w:t>区人社局</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及时发布大规模职业技能培训信息，通过政府门户网站和政务新媒体及时推广就业服务政策，让更多的人能够知悉并获取相关就业培训等信息。做好失业保险基金使用情况动态公开。</w:t>
            </w:r>
          </w:p>
        </w:tc>
        <w:tc>
          <w:tcPr>
            <w:tcW w:w="1320" w:type="dxa"/>
            <w:vAlign w:val="center"/>
          </w:tcPr>
          <w:p>
            <w:pPr>
              <w:jc w:val="center"/>
              <w:rPr>
                <w:rFonts w:hint="eastAsia" w:ascii="Calibri" w:hAnsi="Calibri" w:eastAsia="仿宋_GB2312" w:cs="Times New Roman"/>
                <w:kern w:val="2"/>
                <w:sz w:val="24"/>
                <w:szCs w:val="24"/>
                <w:lang w:val="en-US" w:eastAsia="zh-CN" w:bidi="ar-SA"/>
              </w:rPr>
            </w:pPr>
            <w:r>
              <w:rPr>
                <w:rFonts w:hint="eastAsia"/>
                <w:sz w:val="24"/>
                <w:lang w:val="en-US" w:eastAsia="zh-CN"/>
              </w:rPr>
              <w:t>区人社局</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0" w:type="dxa"/>
            <w:vMerge w:val="continue"/>
            <w:vAlign w:val="center"/>
          </w:tcPr>
          <w:p>
            <w:pPr>
              <w:rPr>
                <w:sz w:val="24"/>
              </w:rPr>
            </w:pPr>
          </w:p>
        </w:tc>
        <w:tc>
          <w:tcPr>
            <w:tcW w:w="1166" w:type="dxa"/>
            <w:vMerge w:val="restart"/>
            <w:vAlign w:val="center"/>
          </w:tcPr>
          <w:p>
            <w:pPr>
              <w:jc w:val="center"/>
              <w:rPr>
                <w:sz w:val="24"/>
              </w:rPr>
            </w:pPr>
            <w:r>
              <w:rPr>
                <w:rFonts w:hint="eastAsia"/>
                <w:sz w:val="24"/>
              </w:rPr>
              <w:t>（七）深化生态环境领域信息公开。</w:t>
            </w:r>
          </w:p>
        </w:tc>
        <w:tc>
          <w:tcPr>
            <w:tcW w:w="4121" w:type="dxa"/>
            <w:vAlign w:val="center"/>
          </w:tcPr>
          <w:p>
            <w:pPr>
              <w:rPr>
                <w:sz w:val="24"/>
              </w:rPr>
            </w:pPr>
            <w:r>
              <w:rPr>
                <w:rFonts w:hint="eastAsia"/>
                <w:sz w:val="24"/>
              </w:rPr>
              <w:t>持续做好大气、水、土壤环境质量信息公开。</w:t>
            </w:r>
          </w:p>
        </w:tc>
        <w:tc>
          <w:tcPr>
            <w:tcW w:w="1320" w:type="dxa"/>
            <w:vAlign w:val="center"/>
          </w:tcPr>
          <w:p>
            <w:pPr>
              <w:jc w:val="center"/>
              <w:rPr>
                <w:rFonts w:hint="eastAsia" w:ascii="Calibri" w:hAnsi="Calibri" w:eastAsia="仿宋_GB2312" w:cs="Times New Roman"/>
                <w:kern w:val="2"/>
                <w:sz w:val="24"/>
                <w:szCs w:val="24"/>
                <w:lang w:val="en-US" w:eastAsia="zh-CN" w:bidi="ar-SA"/>
              </w:rPr>
            </w:pPr>
            <w:r>
              <w:rPr>
                <w:rFonts w:hint="eastAsia"/>
                <w:sz w:val="24"/>
                <w:lang w:val="en-US" w:eastAsia="zh-CN"/>
              </w:rPr>
              <w:t>区</w:t>
            </w:r>
            <w:r>
              <w:rPr>
                <w:rFonts w:hint="eastAsia"/>
                <w:sz w:val="24"/>
              </w:rPr>
              <w:t>生态环境</w:t>
            </w:r>
            <w:r>
              <w:rPr>
                <w:rFonts w:hint="eastAsia"/>
                <w:sz w:val="24"/>
                <w:lang w:val="en-US" w:eastAsia="zh-CN"/>
              </w:rPr>
              <w:t>局</w:t>
            </w:r>
          </w:p>
        </w:tc>
        <w:tc>
          <w:tcPr>
            <w:tcW w:w="1234"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围绕扎实推动黄河流域生态保护和高质量发展、深入打好污染防治攻坚战、持续改善生态环境质量等方面工作，及时发布权威信息。重点聚焦污染防治攻坚任务推进、国家生态文明建设示范区巩固提升、生态环保政务服务、生态环境问题整治、生态环保信访处置、生态环保宣传教育等工作，发挥以公开促落实促规范促服务作用，推进生态服务功能持续提升。</w:t>
            </w:r>
          </w:p>
        </w:tc>
        <w:tc>
          <w:tcPr>
            <w:tcW w:w="1320" w:type="dxa"/>
            <w:vMerge w:val="restart"/>
            <w:vAlign w:val="center"/>
          </w:tcPr>
          <w:p>
            <w:pPr>
              <w:jc w:val="center"/>
              <w:rPr>
                <w:rFonts w:hint="eastAsia"/>
                <w:sz w:val="24"/>
              </w:rPr>
            </w:pPr>
            <w:r>
              <w:rPr>
                <w:rFonts w:hint="eastAsia"/>
                <w:sz w:val="24"/>
                <w:lang w:val="en-US" w:eastAsia="zh-CN"/>
              </w:rPr>
              <w:t>区</w:t>
            </w:r>
            <w:r>
              <w:rPr>
                <w:rFonts w:hint="eastAsia"/>
                <w:sz w:val="24"/>
              </w:rPr>
              <w:t>发改</w:t>
            </w:r>
            <w:r>
              <w:rPr>
                <w:rFonts w:hint="eastAsia"/>
                <w:sz w:val="24"/>
                <w:lang w:val="en-US" w:eastAsia="zh-CN"/>
              </w:rPr>
              <w:t>委</w:t>
            </w:r>
            <w:r>
              <w:rPr>
                <w:rFonts w:hint="eastAsia"/>
                <w:sz w:val="24"/>
              </w:rPr>
              <w:t>、</w:t>
            </w:r>
          </w:p>
          <w:p>
            <w:pPr>
              <w:jc w:val="center"/>
              <w:rPr>
                <w:rFonts w:hint="eastAsia" w:ascii="Calibri" w:hAnsi="Calibri" w:eastAsia="仿宋_GB2312" w:cs="Times New Roman"/>
                <w:kern w:val="2"/>
                <w:sz w:val="24"/>
                <w:szCs w:val="24"/>
                <w:lang w:val="en-US" w:eastAsia="zh-CN" w:bidi="ar-SA"/>
              </w:rPr>
            </w:pPr>
            <w:r>
              <w:rPr>
                <w:rFonts w:hint="eastAsia"/>
                <w:sz w:val="24"/>
                <w:lang w:val="en-US" w:eastAsia="zh-CN"/>
              </w:rPr>
              <w:t>区</w:t>
            </w:r>
            <w:r>
              <w:rPr>
                <w:rFonts w:hint="eastAsia"/>
                <w:sz w:val="24"/>
              </w:rPr>
              <w:t>生态环境</w:t>
            </w:r>
            <w:r>
              <w:rPr>
                <w:rFonts w:hint="eastAsia"/>
                <w:sz w:val="24"/>
                <w:lang w:val="en-US" w:eastAsia="zh-CN"/>
              </w:rPr>
              <w:t>局</w:t>
            </w: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做好中央第三生态环境保护督察组交办群众信访举报件办理情况的公开工作。</w:t>
            </w:r>
          </w:p>
        </w:tc>
        <w:tc>
          <w:tcPr>
            <w:tcW w:w="1320" w:type="dxa"/>
            <w:vMerge w:val="continue"/>
            <w:vAlign w:val="center"/>
          </w:tcPr>
          <w:p>
            <w:pPr>
              <w:jc w:val="center"/>
              <w:rPr>
                <w:rFonts w:ascii="Calibri" w:hAnsi="Calibri" w:eastAsia="仿宋_GB2312" w:cs="Times New Roman"/>
                <w:kern w:val="2"/>
                <w:sz w:val="24"/>
                <w:szCs w:val="24"/>
                <w:lang w:val="en-US" w:eastAsia="zh-CN" w:bidi="ar-SA"/>
              </w:rPr>
            </w:pP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1220" w:type="dxa"/>
            <w:vMerge w:val="continue"/>
            <w:vAlign w:val="center"/>
          </w:tcPr>
          <w:p>
            <w:pPr>
              <w:rPr>
                <w:sz w:val="24"/>
              </w:rPr>
            </w:pPr>
          </w:p>
        </w:tc>
        <w:tc>
          <w:tcPr>
            <w:tcW w:w="1166" w:type="dxa"/>
            <w:vMerge w:val="restart"/>
            <w:vAlign w:val="center"/>
          </w:tcPr>
          <w:p>
            <w:pPr>
              <w:jc w:val="center"/>
              <w:rPr>
                <w:sz w:val="24"/>
              </w:rPr>
            </w:pPr>
            <w:r>
              <w:rPr>
                <w:rFonts w:hint="eastAsia"/>
                <w:sz w:val="24"/>
              </w:rPr>
              <w:t>(八)深化稳增长保民生信息公开。</w:t>
            </w:r>
          </w:p>
        </w:tc>
        <w:tc>
          <w:tcPr>
            <w:tcW w:w="4121" w:type="dxa"/>
            <w:vAlign w:val="center"/>
          </w:tcPr>
          <w:p>
            <w:pPr>
              <w:rPr>
                <w:sz w:val="24"/>
              </w:rPr>
            </w:pPr>
            <w:r>
              <w:rPr>
                <w:rFonts w:hint="eastAsia"/>
                <w:sz w:val="24"/>
              </w:rPr>
              <w:t>切实做好交通水利、市政工程、防灾减灾等重大建设项目信息公开，突出做好就业、教育、医疗、养老、住房保障、安全生产、生态环境、公共文化等领域的信息公开工作。</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区人社局、区教体局、区卫健委、区住建局、区应急管理局、区生态环境局、区文旅局、区农牧水利局</w:t>
            </w:r>
          </w:p>
        </w:tc>
        <w:tc>
          <w:tcPr>
            <w:tcW w:w="1234" w:type="dxa"/>
            <w:vMerge w:val="restart"/>
            <w:vAlign w:val="center"/>
          </w:tcPr>
          <w:p>
            <w:pPr>
              <w:jc w:val="center"/>
              <w:rPr>
                <w:rFonts w:hint="eastAsia"/>
                <w:sz w:val="24"/>
              </w:rPr>
            </w:pPr>
            <w:r>
              <w:rPr>
                <w:rFonts w:hint="eastAsia"/>
                <w:sz w:val="24"/>
              </w:rPr>
              <w:t>全年持续推进</w:t>
            </w:r>
          </w:p>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及时公开促进就业创业的政策措施及就业供求信息。</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区人社局</w:t>
            </w: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通过多种形式公开学前教育、义务教育和高中阶段教育供给等方面信息。</w:t>
            </w:r>
          </w:p>
        </w:tc>
        <w:tc>
          <w:tcPr>
            <w:tcW w:w="1320" w:type="dxa"/>
            <w:vAlign w:val="center"/>
          </w:tcPr>
          <w:p>
            <w:pPr>
              <w:jc w:val="center"/>
              <w:rPr>
                <w:rFonts w:hint="eastAsia" w:ascii="Calibri" w:hAnsi="Calibri" w:eastAsia="仿宋_GB2312" w:cs="Times New Roman"/>
                <w:kern w:val="2"/>
                <w:sz w:val="24"/>
                <w:szCs w:val="24"/>
                <w:lang w:val="en-US" w:eastAsia="zh-CN" w:bidi="ar-SA"/>
              </w:rPr>
            </w:pPr>
            <w:r>
              <w:rPr>
                <w:rFonts w:hint="eastAsia"/>
                <w:sz w:val="24"/>
                <w:lang w:val="en-US" w:eastAsia="zh-CN"/>
              </w:rPr>
              <w:t>区教体局</w:t>
            </w: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加大社会救助、卫生健康、养老服务、医疗服务、药品安全、医保监管、疫苗监管、公立医疗卫生机构绩效考核结果等方面信息公开力度。</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区民政局、区卫健委、区市场监督管理局、区医保局</w:t>
            </w: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持续做好住房保障相关信息公开，进一步推进老旧小区改造、公租房分配等信息公开，加快历史征地信息补录。</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区住建局</w:t>
            </w: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tabs>
                <w:tab w:val="left" w:pos="1246"/>
              </w:tabs>
              <w:rPr>
                <w:rFonts w:hint="eastAsia" w:eastAsia="仿宋_GB2312"/>
                <w:sz w:val="24"/>
                <w:lang w:eastAsia="zh-CN"/>
              </w:rPr>
            </w:pPr>
            <w:r>
              <w:rPr>
                <w:rFonts w:hint="eastAsia"/>
                <w:sz w:val="24"/>
                <w:lang w:eastAsia="zh-CN"/>
              </w:rPr>
              <w:t>加强安全生产、突发公共事件的应急预案和预警信息发布及应对处置情况信息公开。</w:t>
            </w:r>
          </w:p>
        </w:tc>
        <w:tc>
          <w:tcPr>
            <w:tcW w:w="1320" w:type="dxa"/>
            <w:vAlign w:val="center"/>
          </w:tcPr>
          <w:p>
            <w:pPr>
              <w:jc w:val="center"/>
              <w:rPr>
                <w:rFonts w:hint="default"/>
                <w:sz w:val="24"/>
                <w:lang w:val="en-US" w:eastAsia="zh-CN"/>
              </w:rPr>
            </w:pPr>
            <w:r>
              <w:rPr>
                <w:rFonts w:hint="eastAsia"/>
                <w:sz w:val="24"/>
                <w:lang w:val="en-US" w:eastAsia="zh-CN"/>
              </w:rPr>
              <w:t>区应急管理局</w:t>
            </w:r>
          </w:p>
        </w:tc>
        <w:tc>
          <w:tcPr>
            <w:tcW w:w="1234"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220" w:type="dxa"/>
            <w:vMerge w:val="continue"/>
            <w:vAlign w:val="center"/>
          </w:tcPr>
          <w:p>
            <w:pPr>
              <w:rPr>
                <w:sz w:val="24"/>
              </w:rPr>
            </w:pPr>
          </w:p>
        </w:tc>
        <w:tc>
          <w:tcPr>
            <w:tcW w:w="1166" w:type="dxa"/>
            <w:vMerge w:val="restart"/>
            <w:vAlign w:val="center"/>
          </w:tcPr>
          <w:p>
            <w:pPr>
              <w:jc w:val="center"/>
              <w:rPr>
                <w:sz w:val="24"/>
              </w:rPr>
            </w:pPr>
            <w:r>
              <w:rPr>
                <w:rFonts w:hint="eastAsia"/>
                <w:sz w:val="24"/>
              </w:rPr>
              <w:t>（九）推进公共企事业单位信息公开。</w:t>
            </w:r>
          </w:p>
        </w:tc>
        <w:tc>
          <w:tcPr>
            <w:tcW w:w="4121" w:type="dxa"/>
            <w:vAlign w:val="center"/>
          </w:tcPr>
          <w:p>
            <w:pPr>
              <w:rPr>
                <w:sz w:val="24"/>
              </w:rPr>
            </w:pPr>
            <w:r>
              <w:rPr>
                <w:rFonts w:hint="eastAsia"/>
                <w:sz w:val="24"/>
              </w:rPr>
              <w:t>严格执行《供电企业信息公开实施办法》《医疗卫生机构信息公开管理办法》《公共交通企业信息公开规定》等已出台的公共企事业单位信息公开制度，深入推进公共企事业单位信息公开。</w:t>
            </w:r>
          </w:p>
        </w:tc>
        <w:tc>
          <w:tcPr>
            <w:tcW w:w="1320" w:type="dxa"/>
            <w:vMerge w:val="restart"/>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区各企事业单位</w:t>
            </w:r>
          </w:p>
        </w:tc>
        <w:tc>
          <w:tcPr>
            <w:tcW w:w="1234"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2022年8月底前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lang w:val="en-US" w:eastAsia="zh-CN"/>
              </w:rPr>
              <w:t>全区</w:t>
            </w:r>
            <w:r>
              <w:rPr>
                <w:rFonts w:hint="eastAsia"/>
                <w:sz w:val="24"/>
              </w:rPr>
              <w:t>有关部门要切实履行主管部门职责，加强对公共企事业单位的监督管理，提升公共企事业单位信息公开水平和能力。重点围绕具有市场支配地位、公共属性较强、直接关系人民群众身体健康和生命安全的公共企事业单位，或者与服务对象之间信息不对称问题突出、需要重点加强监管的公共企事业单位， 强化制度落实和社会监督，更好维护市场经济秩序和人民群众切身利益。</w:t>
            </w:r>
          </w:p>
        </w:tc>
        <w:tc>
          <w:tcPr>
            <w:tcW w:w="1320" w:type="dxa"/>
            <w:vMerge w:val="continue"/>
            <w:vAlign w:val="center"/>
          </w:tcPr>
          <w:p>
            <w:pPr>
              <w:jc w:val="center"/>
              <w:rPr>
                <w:rFonts w:ascii="Calibri" w:hAnsi="Calibri" w:eastAsia="仿宋_GB2312" w:cs="Times New Roman"/>
                <w:kern w:val="2"/>
                <w:sz w:val="24"/>
                <w:szCs w:val="24"/>
                <w:lang w:val="en-US" w:eastAsia="zh-CN" w:bidi="ar-SA"/>
              </w:rPr>
            </w:pP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1220" w:type="dxa"/>
            <w:vMerge w:val="restart"/>
            <w:vAlign w:val="center"/>
          </w:tcPr>
          <w:p>
            <w:pPr>
              <w:rPr>
                <w:sz w:val="24"/>
              </w:rPr>
            </w:pPr>
            <w:r>
              <w:rPr>
                <w:rFonts w:hint="eastAsia"/>
                <w:sz w:val="24"/>
              </w:rPr>
              <w:t>三、紧盯优化营商环境，助力经济平稳健康发展</w:t>
            </w:r>
          </w:p>
          <w:p>
            <w:pPr>
              <w:rPr>
                <w:sz w:val="24"/>
              </w:rPr>
            </w:pPr>
          </w:p>
        </w:tc>
        <w:tc>
          <w:tcPr>
            <w:tcW w:w="1166" w:type="dxa"/>
            <w:vMerge w:val="restart"/>
            <w:vAlign w:val="center"/>
          </w:tcPr>
          <w:p>
            <w:pPr>
              <w:jc w:val="center"/>
              <w:rPr>
                <w:sz w:val="24"/>
              </w:rPr>
            </w:pPr>
            <w:r>
              <w:rPr>
                <w:rFonts w:hint="eastAsia"/>
                <w:sz w:val="24"/>
              </w:rPr>
              <w:t>（十）营造公平开放的市场环境。</w:t>
            </w:r>
          </w:p>
        </w:tc>
        <w:tc>
          <w:tcPr>
            <w:tcW w:w="4121" w:type="dxa"/>
            <w:vAlign w:val="center"/>
          </w:tcPr>
          <w:p>
            <w:pPr>
              <w:rPr>
                <w:sz w:val="24"/>
              </w:rPr>
            </w:pPr>
            <w:r>
              <w:rPr>
                <w:rFonts w:hint="eastAsia"/>
                <w:sz w:val="24"/>
              </w:rPr>
              <w:t>做好</w:t>
            </w:r>
            <w:r>
              <w:rPr>
                <w:rFonts w:hint="eastAsia"/>
                <w:sz w:val="24"/>
                <w:lang w:val="en-US" w:eastAsia="zh-CN"/>
              </w:rPr>
              <w:t>康巴什区人民政府网站“</w:t>
            </w:r>
            <w:r>
              <w:rPr>
                <w:rFonts w:hint="eastAsia"/>
                <w:sz w:val="24"/>
              </w:rPr>
              <w:t>优化营商环境</w:t>
            </w:r>
            <w:r>
              <w:rPr>
                <w:rFonts w:hint="eastAsia"/>
                <w:sz w:val="24"/>
                <w:lang w:val="en-US" w:eastAsia="zh-CN"/>
              </w:rPr>
              <w:t>”专栏</w:t>
            </w:r>
            <w:r>
              <w:rPr>
                <w:rFonts w:hint="eastAsia"/>
                <w:sz w:val="24"/>
              </w:rPr>
              <w:t>内容保障，推进惠民利企政策措施精准推送、分类公开，鼓励政策起草部门公开相关统计数据和政策落实情况</w:t>
            </w:r>
            <w:r>
              <w:rPr>
                <w:rFonts w:hint="eastAsia"/>
                <w:sz w:val="24"/>
                <w:lang w:eastAsia="zh-CN"/>
              </w:rPr>
              <w:t>。</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区政府办公室、区发改委、区司法局、区住建局、区商务局、区市场监督管理局、区政务服务局、区自然资源局、区金融办、区执法局、区税务局</w:t>
            </w:r>
          </w:p>
        </w:tc>
        <w:tc>
          <w:tcPr>
            <w:tcW w:w="1234"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做好优化营商环境方面的意见建议征集和反馈工作，促进以更优营商环境服务市场主体工作。</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区发改委</w:t>
            </w: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做好市场监管规则标准和执法信息公开，主动公开市场准入负面清单并动态更新，依法做好执法信息公开。强化公共信用信息、反垄断和反不正当竞争执法信息公开，进一步规范执法监管行为，营造诚信守法、公平竞争的营商环境。</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区市场监督管理局</w:t>
            </w: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220" w:type="dxa"/>
            <w:vMerge w:val="continue"/>
            <w:vAlign w:val="center"/>
          </w:tcPr>
          <w:p>
            <w:pPr>
              <w:rPr>
                <w:sz w:val="24"/>
              </w:rPr>
            </w:pPr>
          </w:p>
        </w:tc>
        <w:tc>
          <w:tcPr>
            <w:tcW w:w="1166" w:type="dxa"/>
            <w:vMerge w:val="restart"/>
            <w:vAlign w:val="center"/>
          </w:tcPr>
          <w:p>
            <w:pPr>
              <w:jc w:val="center"/>
              <w:rPr>
                <w:sz w:val="24"/>
              </w:rPr>
            </w:pPr>
            <w:r>
              <w:rPr>
                <w:rFonts w:hint="eastAsia"/>
                <w:sz w:val="24"/>
              </w:rPr>
              <w:t>（十一）推动企业降本增效。</w:t>
            </w:r>
          </w:p>
        </w:tc>
        <w:tc>
          <w:tcPr>
            <w:tcW w:w="4121" w:type="dxa"/>
            <w:vAlign w:val="center"/>
          </w:tcPr>
          <w:p>
            <w:pPr>
              <w:rPr>
                <w:sz w:val="24"/>
              </w:rPr>
            </w:pPr>
            <w:r>
              <w:rPr>
                <w:rFonts w:hint="eastAsia"/>
                <w:sz w:val="24"/>
              </w:rPr>
              <w:t>加强减税降费信息公开，帮助基层执行机关和纳税人缴费人及时全面准确了解政策，以减税降费信息公开到位，推动减税降费政策执行到位。加强对内对外业务培训，通过12366纳税服务热线、移动客户端、政务服务场所等多种渠道宣传优惠政策，确保政策措施应知尽知、优惠政策应享尽享。</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区发改委、区人社局、区税务局</w:t>
            </w:r>
          </w:p>
        </w:tc>
        <w:tc>
          <w:tcPr>
            <w:tcW w:w="1234"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推进重大税收违法失信案件信息公开，依法依规开展联合惩戒，引导市场主体规范健康发展。</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区税务局</w:t>
            </w: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1220" w:type="dxa"/>
            <w:vMerge w:val="continue"/>
            <w:vAlign w:val="center"/>
          </w:tcPr>
          <w:p>
            <w:pPr>
              <w:rPr>
                <w:sz w:val="24"/>
              </w:rPr>
            </w:pPr>
          </w:p>
        </w:tc>
        <w:tc>
          <w:tcPr>
            <w:tcW w:w="1166" w:type="dxa"/>
            <w:vMerge w:val="restart"/>
            <w:vAlign w:val="center"/>
          </w:tcPr>
          <w:p>
            <w:pPr>
              <w:jc w:val="center"/>
              <w:rPr>
                <w:sz w:val="24"/>
              </w:rPr>
            </w:pPr>
            <w:r>
              <w:rPr>
                <w:rFonts w:hint="eastAsia"/>
                <w:sz w:val="24"/>
              </w:rPr>
              <w:t>（十二）助力扩大有效投资。</w:t>
            </w:r>
          </w:p>
        </w:tc>
        <w:tc>
          <w:tcPr>
            <w:tcW w:w="4121" w:type="dxa"/>
            <w:vAlign w:val="center"/>
          </w:tcPr>
          <w:p>
            <w:pPr>
              <w:rPr>
                <w:sz w:val="24"/>
              </w:rPr>
            </w:pPr>
            <w:r>
              <w:rPr>
                <w:rFonts w:hint="eastAsia"/>
                <w:sz w:val="24"/>
              </w:rPr>
              <w:t>围绕规划重大项目、年度重点项目和基础设施建设，依法依规做好扩大有效投资相关规划、政策及重大建设项目信息公开。聚焦推进项目建设、促进工业技改、先进制造业、新兴产业和创新成果转化等方面，加大工作成效的对外发布解读力度。</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区政府办公室、区发改委</w:t>
            </w:r>
          </w:p>
        </w:tc>
        <w:tc>
          <w:tcPr>
            <w:tcW w:w="1234"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Merge w:val="restart"/>
            <w:vAlign w:val="center"/>
          </w:tcPr>
          <w:p>
            <w:pPr>
              <w:rPr>
                <w:sz w:val="24"/>
              </w:rPr>
            </w:pPr>
            <w:r>
              <w:rPr>
                <w:rFonts w:hint="eastAsia"/>
                <w:sz w:val="24"/>
              </w:rPr>
              <w:t>以“常态化走出去、精准化引进来”为重点，切实提升招商引资政策的公开质量。及时回应社会公众对重大建设项目的关切，以发布解读的“透”，引导市场预期的“稳”，助力扩大有效投资。</w:t>
            </w:r>
          </w:p>
        </w:tc>
        <w:tc>
          <w:tcPr>
            <w:tcW w:w="1320" w:type="dxa"/>
            <w:vMerge w:val="restart"/>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区商务局</w:t>
            </w: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Merge w:val="continue"/>
            <w:vAlign w:val="center"/>
          </w:tcPr>
          <w:p>
            <w:pPr>
              <w:rPr>
                <w:sz w:val="24"/>
              </w:rPr>
            </w:pPr>
          </w:p>
        </w:tc>
        <w:tc>
          <w:tcPr>
            <w:tcW w:w="1320" w:type="dxa"/>
            <w:vMerge w:val="continue"/>
            <w:vAlign w:val="center"/>
          </w:tcPr>
          <w:p>
            <w:pPr>
              <w:jc w:val="center"/>
              <w:rPr>
                <w:rFonts w:ascii="Calibri" w:hAnsi="Calibri" w:eastAsia="仿宋_GB2312" w:cs="Times New Roman"/>
                <w:kern w:val="2"/>
                <w:sz w:val="24"/>
                <w:szCs w:val="24"/>
                <w:lang w:val="en-US" w:eastAsia="zh-CN" w:bidi="ar-SA"/>
              </w:rPr>
            </w:pP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220" w:type="dxa"/>
            <w:vMerge w:val="continue"/>
            <w:vAlign w:val="center"/>
          </w:tcPr>
          <w:p>
            <w:pPr>
              <w:rPr>
                <w:sz w:val="24"/>
              </w:rPr>
            </w:pPr>
          </w:p>
        </w:tc>
        <w:tc>
          <w:tcPr>
            <w:tcW w:w="1166" w:type="dxa"/>
            <w:vAlign w:val="center"/>
          </w:tcPr>
          <w:p>
            <w:pPr>
              <w:jc w:val="center"/>
              <w:rPr>
                <w:sz w:val="24"/>
              </w:rPr>
            </w:pPr>
            <w:r>
              <w:rPr>
                <w:rFonts w:hint="eastAsia"/>
                <w:sz w:val="24"/>
              </w:rPr>
              <w:t>（十三）促进消费扩容升级。</w:t>
            </w:r>
          </w:p>
        </w:tc>
        <w:tc>
          <w:tcPr>
            <w:tcW w:w="4121" w:type="dxa"/>
            <w:vAlign w:val="center"/>
          </w:tcPr>
          <w:p>
            <w:pPr>
              <w:rPr>
                <w:sz w:val="24"/>
              </w:rPr>
            </w:pPr>
            <w:r>
              <w:rPr>
                <w:rFonts w:hint="eastAsia"/>
                <w:sz w:val="24"/>
              </w:rPr>
              <w:t>切实做好对中小微企业、个体工商户、相关服务业支持政策和促进消费政策措施的公开工作。在推动假日消费、街区市场、门店商铺、夜间经济等方面，充分发挥政府信息公开和政策解读的引导指引作用。</w:t>
            </w:r>
          </w:p>
        </w:tc>
        <w:tc>
          <w:tcPr>
            <w:tcW w:w="1320"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区发改委、区商务局、区文旅局、区市场监督管理局</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220" w:type="dxa"/>
            <w:vMerge w:val="restart"/>
            <w:vAlign w:val="center"/>
          </w:tcPr>
          <w:p>
            <w:pPr>
              <w:rPr>
                <w:sz w:val="24"/>
              </w:rPr>
            </w:pPr>
            <w:r>
              <w:rPr>
                <w:rFonts w:hint="eastAsia"/>
                <w:sz w:val="24"/>
              </w:rPr>
              <w:t>四、夯实基层基础，发挥平台作用</w:t>
            </w:r>
          </w:p>
          <w:p>
            <w:pPr>
              <w:rPr>
                <w:sz w:val="24"/>
              </w:rPr>
            </w:pPr>
          </w:p>
        </w:tc>
        <w:tc>
          <w:tcPr>
            <w:tcW w:w="1166" w:type="dxa"/>
            <w:vMerge w:val="restart"/>
            <w:vAlign w:val="center"/>
          </w:tcPr>
          <w:p>
            <w:pPr>
              <w:jc w:val="center"/>
              <w:rPr>
                <w:sz w:val="24"/>
              </w:rPr>
            </w:pPr>
            <w:r>
              <w:rPr>
                <w:rFonts w:hint="eastAsia"/>
                <w:sz w:val="24"/>
              </w:rPr>
              <w:t>（十四）持续推进基层政务公开标准化规范化工作。</w:t>
            </w:r>
          </w:p>
        </w:tc>
        <w:tc>
          <w:tcPr>
            <w:tcW w:w="4121" w:type="dxa"/>
            <w:vAlign w:val="center"/>
          </w:tcPr>
          <w:p>
            <w:pPr>
              <w:rPr>
                <w:sz w:val="24"/>
              </w:rPr>
            </w:pPr>
            <w:r>
              <w:rPr>
                <w:rFonts w:hint="eastAsia"/>
                <w:sz w:val="24"/>
              </w:rPr>
              <w:t>参考国务院有关部门印发的26个试点领域标准指引，继续更新完善基层政务公开事项标准目录。</w:t>
            </w:r>
          </w:p>
        </w:tc>
        <w:tc>
          <w:tcPr>
            <w:tcW w:w="1320" w:type="dxa"/>
            <w:vAlign w:val="center"/>
          </w:tcPr>
          <w:p>
            <w:pPr>
              <w:jc w:val="center"/>
              <w:rPr>
                <w:rFonts w:ascii="Calibri" w:hAnsi="Calibri" w:eastAsia="仿宋_GB2312" w:cs="Times New Roman"/>
                <w:kern w:val="2"/>
                <w:sz w:val="24"/>
                <w:szCs w:val="24"/>
                <w:lang w:val="en-US" w:eastAsia="zh-CN" w:bidi="ar-SA"/>
              </w:rPr>
            </w:pPr>
            <w:r>
              <w:rPr>
                <w:rFonts w:hint="eastAsia"/>
                <w:sz w:val="24"/>
              </w:rPr>
              <w:t>涉及基层政务公开标准化规范化工作的部门</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相关部门要汇总当年面向农民的各类惠民惠农财政补贴资金实际发放结果，年底前以社区为单位通过社区公开栏公开，公示期满后在社区建档留存，以便群众查询。</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区农牧水利局、区自然资源局、各街道办事处</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1220" w:type="dxa"/>
            <w:vMerge w:val="continue"/>
            <w:vAlign w:val="center"/>
          </w:tcPr>
          <w:p>
            <w:pPr>
              <w:rPr>
                <w:sz w:val="24"/>
              </w:rPr>
            </w:pPr>
          </w:p>
        </w:tc>
        <w:tc>
          <w:tcPr>
            <w:tcW w:w="1166" w:type="dxa"/>
            <w:vMerge w:val="restart"/>
            <w:vAlign w:val="center"/>
          </w:tcPr>
          <w:p>
            <w:pPr>
              <w:jc w:val="center"/>
              <w:rPr>
                <w:sz w:val="24"/>
              </w:rPr>
            </w:pPr>
            <w:r>
              <w:rPr>
                <w:rFonts w:hint="eastAsia"/>
                <w:sz w:val="24"/>
              </w:rPr>
              <w:t>（十五）深化政务公开标准建设。</w:t>
            </w:r>
          </w:p>
        </w:tc>
        <w:tc>
          <w:tcPr>
            <w:tcW w:w="4121" w:type="dxa"/>
            <w:vAlign w:val="center"/>
          </w:tcPr>
          <w:p>
            <w:pPr>
              <w:rPr>
                <w:sz w:val="24"/>
              </w:rPr>
            </w:pPr>
            <w:r>
              <w:rPr>
                <w:rFonts w:hint="eastAsia"/>
                <w:sz w:val="24"/>
              </w:rPr>
              <w:t>进一步推广试用《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提升应用水平。</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区各行政部门</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切实做好政务公开地方标准落实情况“回头看”工作，逐项核查落实情况，确保工作实效。</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区政务服务局</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220" w:type="dxa"/>
            <w:vMerge w:val="continue"/>
            <w:vAlign w:val="center"/>
          </w:tcPr>
          <w:p>
            <w:pPr>
              <w:rPr>
                <w:sz w:val="24"/>
              </w:rPr>
            </w:pPr>
          </w:p>
        </w:tc>
        <w:tc>
          <w:tcPr>
            <w:tcW w:w="1166" w:type="dxa"/>
            <w:vMerge w:val="restart"/>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sz w:val="24"/>
              </w:rPr>
            </w:pPr>
            <w:r>
              <w:rPr>
                <w:rFonts w:hint="eastAsia"/>
                <w:sz w:val="24"/>
              </w:rPr>
              <w:t>（十六）提升依申请公开规范化信息化水平。</w:t>
            </w:r>
          </w:p>
        </w:tc>
        <w:tc>
          <w:tcPr>
            <w:tcW w:w="4121" w:type="dxa"/>
            <w:vAlign w:val="center"/>
          </w:tcPr>
          <w:p>
            <w:pPr>
              <w:rPr>
                <w:sz w:val="24"/>
              </w:rPr>
            </w:pPr>
            <w:r>
              <w:rPr>
                <w:rFonts w:hint="eastAsia"/>
                <w:sz w:val="24"/>
              </w:rPr>
              <w:t>康巴什区人民政府网站已与自治区政务服务局统一建设的“内蒙古自治区政府信息依申请公开平台”接通，进一步提升康巴什区政府信息公开申请“一网通办”能力。</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区政务服务局</w:t>
            </w:r>
          </w:p>
        </w:tc>
        <w:tc>
          <w:tcPr>
            <w:tcW w:w="1234"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严格执行《政府信息公开信息处理费管理办法》（国办函〔2020〕109号）、《内蒙古自治区财政厅 发改委 政务服务局关于明确政府信息公开信息处理费收费管理有关事项的通知》（内财税〔2021〕785号）规定的收费标准和程序，维护政府信息公开工作秩序。</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区财政局、区发改委、区政务服务局</w:t>
            </w: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220" w:type="dxa"/>
            <w:vMerge w:val="continue"/>
            <w:vAlign w:val="center"/>
          </w:tcPr>
          <w:p>
            <w:pPr>
              <w:rPr>
                <w:sz w:val="24"/>
              </w:rPr>
            </w:pPr>
          </w:p>
        </w:tc>
        <w:tc>
          <w:tcPr>
            <w:tcW w:w="1166" w:type="dxa"/>
            <w:vMerge w:val="restart"/>
            <w:vAlign w:val="center"/>
          </w:tcPr>
          <w:p>
            <w:pPr>
              <w:jc w:val="center"/>
              <w:rPr>
                <w:sz w:val="24"/>
              </w:rPr>
            </w:pPr>
            <w:r>
              <w:rPr>
                <w:rFonts w:hint="eastAsia"/>
                <w:sz w:val="24"/>
              </w:rPr>
              <w:t>（十七）发挥政府网站集约化平台作用。</w:t>
            </w:r>
          </w:p>
        </w:tc>
        <w:tc>
          <w:tcPr>
            <w:tcW w:w="4121" w:type="dxa"/>
            <w:vAlign w:val="center"/>
          </w:tcPr>
          <w:p>
            <w:pPr>
              <w:rPr>
                <w:rFonts w:hint="eastAsia"/>
                <w:sz w:val="24"/>
              </w:rPr>
            </w:pPr>
            <w:r>
              <w:rPr>
                <w:rFonts w:hint="eastAsia"/>
                <w:sz w:val="24"/>
              </w:rPr>
              <w:t>全面推行政府网站集约化建设，加强政府网站内容管理，确保信息发布流程完善、内容准确、导向正确。</w:t>
            </w:r>
          </w:p>
        </w:tc>
        <w:tc>
          <w:tcPr>
            <w:tcW w:w="1320" w:type="dxa"/>
            <w:vMerge w:val="restart"/>
            <w:vAlign w:val="center"/>
          </w:tcPr>
          <w:p>
            <w:pPr>
              <w:jc w:val="center"/>
              <w:rPr>
                <w:rFonts w:hint="eastAsia" w:ascii="Calibri" w:hAnsi="Calibri" w:eastAsia="仿宋_GB2312" w:cs="Times New Roman"/>
                <w:kern w:val="2"/>
                <w:sz w:val="24"/>
                <w:szCs w:val="24"/>
                <w:lang w:val="en-US" w:eastAsia="zh-CN" w:bidi="ar-SA"/>
              </w:rPr>
            </w:pPr>
            <w:r>
              <w:rPr>
                <w:rFonts w:hint="eastAsia"/>
                <w:sz w:val="24"/>
                <w:lang w:val="en-US" w:eastAsia="zh-CN"/>
              </w:rPr>
              <w:t>区各街道、各部门、各垂直管理部门、各企事业单位</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w:t>
            </w:r>
            <w:r>
              <w:rPr>
                <w:rFonts w:hint="eastAsia"/>
                <w:sz w:val="24"/>
                <w:lang w:val="en-US" w:eastAsia="zh-CN"/>
              </w:rPr>
              <w:t>12</w:t>
            </w:r>
            <w:r>
              <w:rPr>
                <w:rFonts w:hint="eastAsia"/>
                <w:sz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围绕政府工作重点和社会公众关注热点，合理申请设置网站专题专栏。</w:t>
            </w:r>
          </w:p>
        </w:tc>
        <w:tc>
          <w:tcPr>
            <w:tcW w:w="1320" w:type="dxa"/>
            <w:vMerge w:val="continue"/>
            <w:vAlign w:val="center"/>
          </w:tcPr>
          <w:p>
            <w:pPr>
              <w:jc w:val="center"/>
              <w:rPr>
                <w:rFonts w:ascii="Calibri" w:hAnsi="Calibri" w:eastAsia="仿宋_GB2312" w:cs="Times New Roman"/>
                <w:kern w:val="2"/>
                <w:sz w:val="24"/>
                <w:szCs w:val="24"/>
                <w:lang w:val="en-US" w:eastAsia="zh-CN" w:bidi="ar-SA"/>
              </w:rPr>
            </w:pPr>
          </w:p>
        </w:tc>
        <w:tc>
          <w:tcPr>
            <w:tcW w:w="1234"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严格落实网络意识形态工作责任制，确保政府网站与政务新媒体安全平稳运行。</w:t>
            </w:r>
          </w:p>
        </w:tc>
        <w:tc>
          <w:tcPr>
            <w:tcW w:w="1320" w:type="dxa"/>
            <w:vMerge w:val="continue"/>
            <w:vAlign w:val="center"/>
          </w:tcPr>
          <w:p>
            <w:pPr>
              <w:jc w:val="center"/>
              <w:rPr>
                <w:rFonts w:ascii="Calibri" w:hAnsi="Calibri" w:eastAsia="仿宋_GB2312" w:cs="Times New Roman"/>
                <w:kern w:val="2"/>
                <w:sz w:val="24"/>
                <w:szCs w:val="24"/>
                <w:lang w:val="en-US" w:eastAsia="zh-CN" w:bidi="ar-SA"/>
              </w:rPr>
            </w:pP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220" w:type="dxa"/>
            <w:vMerge w:val="continue"/>
            <w:vAlign w:val="center"/>
          </w:tcPr>
          <w:p>
            <w:pPr>
              <w:rPr>
                <w:sz w:val="24"/>
              </w:rPr>
            </w:pPr>
          </w:p>
        </w:tc>
        <w:tc>
          <w:tcPr>
            <w:tcW w:w="1166" w:type="dxa"/>
            <w:vMerge w:val="restart"/>
            <w:vAlign w:val="center"/>
          </w:tcPr>
          <w:p>
            <w:pPr>
              <w:jc w:val="center"/>
              <w:rPr>
                <w:rFonts w:hint="eastAsia"/>
                <w:sz w:val="24"/>
              </w:rPr>
            </w:pPr>
          </w:p>
          <w:p>
            <w:pPr>
              <w:jc w:val="center"/>
              <w:rPr>
                <w:rFonts w:hint="eastAsia"/>
                <w:sz w:val="24"/>
              </w:rPr>
            </w:pPr>
          </w:p>
          <w:p>
            <w:pPr>
              <w:jc w:val="center"/>
              <w:rPr>
                <w:rFonts w:hint="eastAsia"/>
                <w:sz w:val="24"/>
              </w:rPr>
            </w:pPr>
          </w:p>
          <w:p>
            <w:pPr>
              <w:jc w:val="center"/>
              <w:rPr>
                <w:sz w:val="24"/>
              </w:rPr>
            </w:pPr>
            <w:r>
              <w:rPr>
                <w:rFonts w:hint="eastAsia"/>
                <w:sz w:val="24"/>
              </w:rPr>
              <w:t>（十八）加强对政务新媒体的建设管理。</w:t>
            </w:r>
          </w:p>
        </w:tc>
        <w:tc>
          <w:tcPr>
            <w:tcW w:w="4121" w:type="dxa"/>
            <w:vAlign w:val="center"/>
          </w:tcPr>
          <w:p>
            <w:pPr>
              <w:rPr>
                <w:sz w:val="24"/>
              </w:rPr>
            </w:pPr>
            <w:r>
              <w:rPr>
                <w:rFonts w:hint="eastAsia"/>
                <w:sz w:val="24"/>
                <w:lang w:val="en-US" w:eastAsia="zh-CN"/>
              </w:rPr>
              <w:t>进一步加强对</w:t>
            </w:r>
            <w:r>
              <w:rPr>
                <w:rFonts w:hint="eastAsia"/>
                <w:sz w:val="24"/>
              </w:rPr>
              <w:t>政务新媒体建设管理工作的指导监督，推进政务新媒体规范运行、健康有序发展。</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区政务服务局</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7"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明确政务新媒体功能定位，不断优化发布解读、政民互动、办事服务等功能，加强专题专栏建设，为企业和群众提供更便捷实用的移动服务。严格落实内容发布审核制度，坚持分级分类审核、先审后发，明确审核主体、审核流程，严把政治关、法律关、政策关、保密关、文字关，原则上只转载党委和政府网站以及有关主管部门确定的稿源单位发布的信息。</w:t>
            </w: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sz w:val="24"/>
                <w:lang w:val="en-US" w:eastAsia="zh-CN"/>
              </w:rPr>
              <w:t>区各街道、各部门、各垂直管理部门、各事业单位</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220" w:type="dxa"/>
            <w:vMerge w:val="restart"/>
            <w:vAlign w:val="center"/>
          </w:tcPr>
          <w:p>
            <w:pPr>
              <w:rPr>
                <w:sz w:val="24"/>
              </w:rPr>
            </w:pPr>
            <w:r>
              <w:rPr>
                <w:rFonts w:hint="eastAsia"/>
                <w:sz w:val="24"/>
              </w:rPr>
              <w:t>五、强化指导监督，形成工作合力</w:t>
            </w:r>
          </w:p>
        </w:tc>
        <w:tc>
          <w:tcPr>
            <w:tcW w:w="1166" w:type="dxa"/>
            <w:vMerge w:val="restart"/>
            <w:vAlign w:val="center"/>
          </w:tcPr>
          <w:p>
            <w:pPr>
              <w:jc w:val="center"/>
              <w:rPr>
                <w:sz w:val="24"/>
              </w:rPr>
            </w:pPr>
            <w:r>
              <w:rPr>
                <w:rFonts w:hint="eastAsia"/>
                <w:sz w:val="24"/>
              </w:rPr>
              <w:t>（十九）强化组织领导。</w:t>
            </w:r>
          </w:p>
        </w:tc>
        <w:tc>
          <w:tcPr>
            <w:tcW w:w="4121" w:type="dxa"/>
            <w:vAlign w:val="center"/>
          </w:tcPr>
          <w:p>
            <w:pPr>
              <w:rPr>
                <w:sz w:val="24"/>
              </w:rPr>
            </w:pPr>
            <w:r>
              <w:rPr>
                <w:rFonts w:hint="eastAsia"/>
                <w:sz w:val="24"/>
              </w:rPr>
              <w:t>各单位要切实加强组织领导，压实责任，健全机制，强化内部管理和内部衔接，确保各项工作的连续性。涉及基层政务公开标准化规范化工作和上级部门已印发相关企事业单位信息公开制度的，要加强对相关工作的指导监督，落实主管部门责任，确保工作推进到位。</w:t>
            </w:r>
          </w:p>
        </w:tc>
        <w:tc>
          <w:tcPr>
            <w:tcW w:w="1320" w:type="dxa"/>
            <w:vAlign w:val="center"/>
          </w:tcPr>
          <w:p>
            <w:pPr>
              <w:jc w:val="center"/>
              <w:rPr>
                <w:rFonts w:hint="eastAsia" w:ascii="Calibri" w:hAnsi="Calibri" w:eastAsia="仿宋_GB2312" w:cs="Times New Roman"/>
                <w:kern w:val="2"/>
                <w:sz w:val="24"/>
                <w:szCs w:val="24"/>
                <w:lang w:val="en-US" w:eastAsia="zh-CN" w:bidi="ar-SA"/>
              </w:rPr>
            </w:pPr>
            <w:r>
              <w:rPr>
                <w:rFonts w:hint="eastAsia"/>
                <w:sz w:val="24"/>
                <w:lang w:val="en-US" w:eastAsia="zh-CN"/>
              </w:rPr>
              <w:t>区各街道、各部门、各垂直管理部门、各事业单位</w:t>
            </w:r>
          </w:p>
        </w:tc>
        <w:tc>
          <w:tcPr>
            <w:tcW w:w="1234"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220" w:type="dxa"/>
            <w:vMerge w:val="continue"/>
            <w:vAlign w:val="center"/>
          </w:tcPr>
          <w:p>
            <w:pPr>
              <w:rPr>
                <w:rFonts w:hint="eastAsia"/>
                <w:sz w:val="24"/>
              </w:rPr>
            </w:pPr>
          </w:p>
        </w:tc>
        <w:tc>
          <w:tcPr>
            <w:tcW w:w="1166" w:type="dxa"/>
            <w:vMerge w:val="continue"/>
            <w:vAlign w:val="center"/>
          </w:tcPr>
          <w:p>
            <w:pPr>
              <w:jc w:val="center"/>
              <w:rPr>
                <w:rFonts w:hint="eastAsia"/>
                <w:sz w:val="24"/>
              </w:rPr>
            </w:pPr>
          </w:p>
        </w:tc>
        <w:tc>
          <w:tcPr>
            <w:tcW w:w="4121" w:type="dxa"/>
            <w:vAlign w:val="center"/>
          </w:tcPr>
          <w:p>
            <w:pPr>
              <w:rPr>
                <w:rFonts w:hint="eastAsia"/>
                <w:sz w:val="24"/>
              </w:rPr>
            </w:pPr>
            <w:r>
              <w:rPr>
                <w:rFonts w:hint="eastAsia"/>
                <w:sz w:val="24"/>
                <w:lang w:val="en-US" w:eastAsia="zh-CN"/>
              </w:rPr>
              <w:t>康巴什区</w:t>
            </w:r>
            <w:r>
              <w:rPr>
                <w:rFonts w:hint="eastAsia"/>
                <w:sz w:val="24"/>
              </w:rPr>
              <w:t>政务公开领导小组要切实发挥作用，加强监督调度，提升政务公开工作水平。</w:t>
            </w:r>
          </w:p>
          <w:p>
            <w:pPr>
              <w:rPr>
                <w:rFonts w:hint="eastAsia"/>
                <w:sz w:val="24"/>
              </w:rPr>
            </w:pPr>
          </w:p>
        </w:tc>
        <w:tc>
          <w:tcPr>
            <w:tcW w:w="1320" w:type="dxa"/>
            <w:vAlign w:val="center"/>
          </w:tcPr>
          <w:p>
            <w:pPr>
              <w:jc w:val="center"/>
              <w:rPr>
                <w:rFonts w:hint="default" w:eastAsia="仿宋_GB2312"/>
                <w:sz w:val="24"/>
                <w:lang w:val="en-US" w:eastAsia="zh-CN"/>
              </w:rPr>
            </w:pPr>
            <w:r>
              <w:rPr>
                <w:rFonts w:hint="eastAsia"/>
                <w:sz w:val="24"/>
                <w:lang w:val="en-US" w:eastAsia="zh-CN"/>
              </w:rPr>
              <w:t>区政务服务局</w:t>
            </w:r>
          </w:p>
        </w:tc>
        <w:tc>
          <w:tcPr>
            <w:tcW w:w="1234"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vAlign w:val="center"/>
          </w:tcPr>
          <w:p>
            <w:pPr>
              <w:rPr>
                <w:sz w:val="24"/>
              </w:rPr>
            </w:pPr>
          </w:p>
        </w:tc>
        <w:tc>
          <w:tcPr>
            <w:tcW w:w="1166" w:type="dxa"/>
            <w:vMerge w:val="restart"/>
            <w:vAlign w:val="center"/>
          </w:tcPr>
          <w:p>
            <w:pPr>
              <w:jc w:val="center"/>
              <w:rPr>
                <w:sz w:val="24"/>
              </w:rPr>
            </w:pPr>
            <w:r>
              <w:rPr>
                <w:rFonts w:hint="eastAsia"/>
                <w:sz w:val="24"/>
              </w:rPr>
              <w:t>（二十）强化队伍建设。</w:t>
            </w:r>
          </w:p>
        </w:tc>
        <w:tc>
          <w:tcPr>
            <w:tcW w:w="4121" w:type="dxa"/>
            <w:vAlign w:val="center"/>
          </w:tcPr>
          <w:p>
            <w:pPr>
              <w:rPr>
                <w:sz w:val="24"/>
              </w:rPr>
            </w:pPr>
            <w:r>
              <w:rPr>
                <w:rFonts w:hint="eastAsia"/>
                <w:sz w:val="24"/>
              </w:rPr>
              <w:t>各单位要加强政务公开专业队伍建设是全面深化政务公开工作的重要抓手，结合工作实际，通过集中培训、以会代训、跟班学习等方式，提升现有政务公开工作队伍的业务水平和专业素质。</w:t>
            </w:r>
          </w:p>
        </w:tc>
        <w:tc>
          <w:tcPr>
            <w:tcW w:w="1320"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区各街道、各部门、各垂直管理部门、各事业单位</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rFonts w:hint="eastAsia"/>
                <w:sz w:val="24"/>
              </w:rPr>
            </w:pPr>
            <w:r>
              <w:rPr>
                <w:rFonts w:hint="eastAsia"/>
                <w:sz w:val="24"/>
              </w:rPr>
              <w:t>建立政务公开典型经验做法及问题不足通报机制，对创新性开展工作的</w:t>
            </w:r>
            <w:r>
              <w:rPr>
                <w:rFonts w:hint="eastAsia"/>
                <w:sz w:val="24"/>
                <w:lang w:val="en-US" w:eastAsia="zh-CN"/>
              </w:rPr>
              <w:t>单位</w:t>
            </w:r>
            <w:r>
              <w:rPr>
                <w:rFonts w:hint="eastAsia"/>
                <w:sz w:val="24"/>
              </w:rPr>
              <w:t>进行通报表扬，对未落实国家、自治区</w:t>
            </w:r>
            <w:r>
              <w:rPr>
                <w:rFonts w:hint="eastAsia"/>
                <w:sz w:val="24"/>
                <w:lang w:eastAsia="zh-CN"/>
              </w:rPr>
              <w:t>、</w:t>
            </w:r>
            <w:r>
              <w:rPr>
                <w:rFonts w:hint="eastAsia"/>
                <w:sz w:val="24"/>
                <w:lang w:val="en-US" w:eastAsia="zh-CN"/>
              </w:rPr>
              <w:t>市级</w:t>
            </w:r>
            <w:r>
              <w:rPr>
                <w:rFonts w:hint="eastAsia"/>
                <w:sz w:val="24"/>
              </w:rPr>
              <w:t>政务公开方面政策要求的，或落实不力的</w:t>
            </w:r>
            <w:r>
              <w:rPr>
                <w:rFonts w:hint="eastAsia"/>
                <w:sz w:val="24"/>
                <w:lang w:val="en-US" w:eastAsia="zh-CN"/>
              </w:rPr>
              <w:t>单位</w:t>
            </w:r>
            <w:r>
              <w:rPr>
                <w:rFonts w:hint="eastAsia"/>
                <w:sz w:val="24"/>
              </w:rPr>
              <w:t>进行通报批评。</w:t>
            </w:r>
          </w:p>
          <w:p>
            <w:pPr>
              <w:rPr>
                <w:sz w:val="24"/>
              </w:rPr>
            </w:pPr>
          </w:p>
        </w:tc>
        <w:tc>
          <w:tcPr>
            <w:tcW w:w="1320" w:type="dxa"/>
            <w:vAlign w:val="center"/>
          </w:tcPr>
          <w:p>
            <w:pPr>
              <w:jc w:val="center"/>
              <w:rPr>
                <w:rFonts w:hint="default"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区政务服务局</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7" w:hRule="atLeast"/>
        </w:trPr>
        <w:tc>
          <w:tcPr>
            <w:tcW w:w="1220" w:type="dxa"/>
            <w:vMerge w:val="continue"/>
            <w:vAlign w:val="center"/>
          </w:tcPr>
          <w:p>
            <w:pP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康巴什区政务公开领导小组要加强对全区政务公开工作的日常指导、监督，定期通报各项工作推进情况，严格按照《国务院办公厅政府信息与政务公开办公室关于印发〈中华人民共和国政府信息公开工作年度报告格式〉的通知》（国办公开办函〔2021〕30号）要求，加强对政府信息公开工作年度报告编制，做到相关情况和数据应报尽报，全面准确。对不按时发布、发布内容不准确不全面或者发布内容雷同、敷衍塞责并造成不良后果的，严肃追究有关负责人和直接责任人责任。</w:t>
            </w:r>
          </w:p>
        </w:tc>
        <w:tc>
          <w:tcPr>
            <w:tcW w:w="1320" w:type="dxa"/>
            <w:vAlign w:val="center"/>
          </w:tcPr>
          <w:p>
            <w:pPr>
              <w:jc w:val="center"/>
              <w:rPr>
                <w:rFonts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区政务服务局</w:t>
            </w:r>
          </w:p>
        </w:tc>
        <w:tc>
          <w:tcPr>
            <w:tcW w:w="1234"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220" w:type="dxa"/>
            <w:vMerge w:val="continue"/>
            <w:vAlign w:val="center"/>
          </w:tcPr>
          <w:p>
            <w:pPr>
              <w:rPr>
                <w:sz w:val="24"/>
              </w:rPr>
            </w:pPr>
          </w:p>
        </w:tc>
        <w:tc>
          <w:tcPr>
            <w:tcW w:w="1166" w:type="dxa"/>
            <w:vMerge w:val="restart"/>
            <w:vAlign w:val="center"/>
          </w:tcPr>
          <w:p>
            <w:pPr>
              <w:jc w:val="center"/>
              <w:rPr>
                <w:sz w:val="24"/>
              </w:rPr>
            </w:pPr>
            <w:r>
              <w:rPr>
                <w:rFonts w:hint="eastAsia"/>
                <w:sz w:val="24"/>
              </w:rPr>
              <w:t>（二十</w:t>
            </w:r>
            <w:r>
              <w:rPr>
                <w:rFonts w:hint="eastAsia"/>
                <w:sz w:val="24"/>
                <w:lang w:val="en-US" w:eastAsia="zh-CN"/>
              </w:rPr>
              <w:t>一</w:t>
            </w:r>
            <w:r>
              <w:rPr>
                <w:rFonts w:hint="eastAsia"/>
                <w:sz w:val="24"/>
              </w:rPr>
              <w:t>）强化工作落实。</w:t>
            </w:r>
          </w:p>
        </w:tc>
        <w:tc>
          <w:tcPr>
            <w:tcW w:w="4121" w:type="dxa"/>
            <w:vAlign w:val="center"/>
          </w:tcPr>
          <w:p>
            <w:pPr>
              <w:rPr>
                <w:sz w:val="24"/>
              </w:rPr>
            </w:pPr>
            <w:r>
              <w:rPr>
                <w:rFonts w:hint="eastAsia"/>
                <w:sz w:val="24"/>
              </w:rPr>
              <w:t>各单位要对照本要点提出的重点任务，梳理本单位政务公开工作，按照时限逐项推动落实。</w:t>
            </w:r>
          </w:p>
        </w:tc>
        <w:tc>
          <w:tcPr>
            <w:tcW w:w="1320"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区各街道、各部门、各垂直管理部门、各事业单位</w:t>
            </w:r>
          </w:p>
        </w:tc>
        <w:tc>
          <w:tcPr>
            <w:tcW w:w="1234" w:type="dxa"/>
            <w:vMerge w:val="restart"/>
            <w:vAlign w:val="center"/>
          </w:tcPr>
          <w:p>
            <w:pPr>
              <w:jc w:val="center"/>
              <w:rPr>
                <w:rFonts w:ascii="Calibri" w:hAnsi="Calibri" w:eastAsia="仿宋_GB2312" w:cs="Times New Roman"/>
                <w:b/>
                <w:bCs/>
                <w:kern w:val="2"/>
                <w:sz w:val="24"/>
                <w:szCs w:val="24"/>
                <w:lang w:val="en-US" w:eastAsia="zh-CN" w:bidi="ar-SA"/>
              </w:rPr>
            </w:pPr>
            <w:r>
              <w:rPr>
                <w:rFonts w:hint="eastAsia"/>
                <w:sz w:val="24"/>
              </w:rPr>
              <w:t>2022年</w:t>
            </w:r>
            <w:r>
              <w:rPr>
                <w:rFonts w:hint="eastAsia"/>
                <w:sz w:val="24"/>
                <w:lang w:val="en-US" w:eastAsia="zh-CN"/>
              </w:rPr>
              <w:t>12</w:t>
            </w:r>
            <w:r>
              <w:rPr>
                <w:rFonts w:hint="eastAsia"/>
                <w:sz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220" w:type="dxa"/>
            <w:vMerge w:val="continue"/>
            <w:tcBorders>
              <w:bottom w:val="nil"/>
            </w:tcBorders>
            <w:vAlign w:val="center"/>
          </w:tcPr>
          <w:p>
            <w:pPr>
              <w:jc w:val="center"/>
              <w:rPr>
                <w:sz w:val="24"/>
              </w:rPr>
            </w:pPr>
          </w:p>
        </w:tc>
        <w:tc>
          <w:tcPr>
            <w:tcW w:w="1166" w:type="dxa"/>
            <w:vMerge w:val="continue"/>
            <w:vAlign w:val="center"/>
          </w:tcPr>
          <w:p>
            <w:pPr>
              <w:jc w:val="center"/>
              <w:rPr>
                <w:sz w:val="24"/>
              </w:rPr>
            </w:pPr>
          </w:p>
        </w:tc>
        <w:tc>
          <w:tcPr>
            <w:tcW w:w="4121" w:type="dxa"/>
            <w:vAlign w:val="center"/>
          </w:tcPr>
          <w:p>
            <w:pPr>
              <w:rPr>
                <w:sz w:val="24"/>
              </w:rPr>
            </w:pPr>
            <w:r>
              <w:rPr>
                <w:rFonts w:hint="eastAsia"/>
                <w:sz w:val="24"/>
              </w:rPr>
              <w:t>区政务服务局要对上一年度工作要点落实情况开展“回头看”，对未完成任务的依法督促整改。</w:t>
            </w:r>
          </w:p>
        </w:tc>
        <w:tc>
          <w:tcPr>
            <w:tcW w:w="1320" w:type="dxa"/>
            <w:vAlign w:val="center"/>
          </w:tcPr>
          <w:p>
            <w:pPr>
              <w:jc w:val="center"/>
              <w:rPr>
                <w:rFonts w:ascii="Calibri" w:hAnsi="Calibri" w:eastAsia="仿宋_GB2312" w:cs="Times New Roman"/>
                <w:kern w:val="2"/>
                <w:sz w:val="24"/>
                <w:szCs w:val="24"/>
                <w:lang w:val="en-US" w:eastAsia="zh-CN" w:bidi="ar-SA"/>
              </w:rPr>
            </w:pPr>
            <w:r>
              <w:rPr>
                <w:rFonts w:hint="eastAsia" w:cs="Times New Roman"/>
                <w:kern w:val="2"/>
                <w:sz w:val="24"/>
                <w:szCs w:val="24"/>
                <w:lang w:val="en-US" w:eastAsia="zh-CN" w:bidi="ar-SA"/>
              </w:rPr>
              <w:t>区政务服务局</w:t>
            </w:r>
          </w:p>
        </w:tc>
        <w:tc>
          <w:tcPr>
            <w:tcW w:w="1234" w:type="dxa"/>
            <w:vMerge w:val="continue"/>
            <w:vAlign w:val="center"/>
          </w:tcPr>
          <w:p>
            <w:pPr>
              <w:jc w:val="center"/>
              <w:rPr>
                <w:rFonts w:ascii="Calibri" w:hAnsi="Calibri"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1220" w:type="dxa"/>
            <w:tcBorders>
              <w:top w:val="nil"/>
            </w:tcBorders>
            <w:vAlign w:val="center"/>
          </w:tcPr>
          <w:p>
            <w:pPr>
              <w:tabs>
                <w:tab w:val="left" w:pos="332"/>
              </w:tabs>
              <w:jc w:val="left"/>
              <w:rPr>
                <w:rFonts w:hint="eastAsia" w:eastAsia="仿宋_GB2312"/>
                <w:sz w:val="24"/>
                <w:lang w:eastAsia="zh-CN"/>
              </w:rPr>
            </w:pPr>
            <w:r>
              <w:rPr>
                <w:rFonts w:hint="eastAsia"/>
                <w:sz w:val="24"/>
                <w:lang w:eastAsia="zh-CN"/>
              </w:rPr>
              <w:tab/>
            </w:r>
          </w:p>
        </w:tc>
        <w:tc>
          <w:tcPr>
            <w:tcW w:w="1166" w:type="dxa"/>
            <w:vMerge w:val="continue"/>
            <w:vAlign w:val="center"/>
          </w:tcPr>
          <w:p>
            <w:pPr>
              <w:jc w:val="center"/>
              <w:rPr>
                <w:sz w:val="24"/>
              </w:rPr>
            </w:pPr>
          </w:p>
        </w:tc>
        <w:tc>
          <w:tcPr>
            <w:tcW w:w="4121" w:type="dxa"/>
            <w:vAlign w:val="center"/>
          </w:tcPr>
          <w:p>
            <w:pPr>
              <w:rPr>
                <w:rFonts w:hint="eastAsia"/>
                <w:sz w:val="24"/>
              </w:rPr>
            </w:pPr>
            <w:r>
              <w:rPr>
                <w:rFonts w:hint="eastAsia"/>
                <w:sz w:val="24"/>
              </w:rPr>
              <w:t>各单位要将本要点落实情况纳入政府信息公开工作年度报告予以公开，接受社会监督。</w:t>
            </w:r>
          </w:p>
        </w:tc>
        <w:tc>
          <w:tcPr>
            <w:tcW w:w="1320" w:type="dxa"/>
            <w:vAlign w:val="center"/>
          </w:tcPr>
          <w:p>
            <w:pPr>
              <w:jc w:val="center"/>
              <w:rPr>
                <w:rFonts w:ascii="Calibri" w:hAnsi="Calibri" w:eastAsia="仿宋_GB2312" w:cs="Times New Roman"/>
                <w:kern w:val="2"/>
                <w:sz w:val="24"/>
                <w:szCs w:val="24"/>
                <w:lang w:val="en-US" w:eastAsia="zh-CN" w:bidi="ar-SA"/>
              </w:rPr>
            </w:pPr>
            <w:r>
              <w:rPr>
                <w:rFonts w:hint="eastAsia"/>
                <w:sz w:val="24"/>
                <w:lang w:val="en-US" w:eastAsia="zh-CN"/>
              </w:rPr>
              <w:t>区各街道、各部门、各垂直管理部门、各事业单位</w:t>
            </w:r>
          </w:p>
        </w:tc>
        <w:tc>
          <w:tcPr>
            <w:tcW w:w="1234" w:type="dxa"/>
            <w:vAlign w:val="center"/>
          </w:tcPr>
          <w:p>
            <w:pPr>
              <w:jc w:val="center"/>
              <w:rPr>
                <w:rFonts w:ascii="Calibri" w:hAnsi="Calibri" w:eastAsia="仿宋_GB2312" w:cs="Times New Roman"/>
                <w:b/>
                <w:bCs/>
                <w:kern w:val="2"/>
                <w:sz w:val="24"/>
                <w:szCs w:val="24"/>
                <w:lang w:val="en-US" w:eastAsia="zh-CN" w:bidi="ar-SA"/>
              </w:rPr>
            </w:pPr>
            <w:r>
              <w:rPr>
                <w:rFonts w:hint="eastAsia"/>
                <w:sz w:val="24"/>
              </w:rPr>
              <w:t>202</w:t>
            </w:r>
            <w:r>
              <w:rPr>
                <w:rFonts w:hint="eastAsia"/>
                <w:sz w:val="24"/>
                <w:lang w:val="en-US" w:eastAsia="zh-CN"/>
              </w:rPr>
              <w:t>2</w:t>
            </w:r>
            <w:r>
              <w:rPr>
                <w:rFonts w:hint="eastAsia"/>
                <w:sz w:val="24"/>
              </w:rPr>
              <w:t>年</w:t>
            </w:r>
            <w:r>
              <w:rPr>
                <w:rFonts w:hint="eastAsia"/>
                <w:sz w:val="24"/>
                <w:lang w:val="en-US" w:eastAsia="zh-CN"/>
              </w:rPr>
              <w:t>12</w:t>
            </w:r>
            <w:r>
              <w:rPr>
                <w:rFonts w:hint="eastAsia"/>
                <w:sz w:val="24"/>
              </w:rPr>
              <w:t>月底前</w:t>
            </w: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lang w:eastAsia="zh-CN"/>
        </w:rPr>
      </w:pPr>
    </w:p>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ZTU1ZmVlZGNmYTk2NDFmZDMzOTNlNWFmNGQ0NTAifQ=="/>
  </w:docVars>
  <w:rsids>
    <w:rsidRoot w:val="47493BBF"/>
    <w:rsid w:val="02557C87"/>
    <w:rsid w:val="04185410"/>
    <w:rsid w:val="044566F3"/>
    <w:rsid w:val="049D76C3"/>
    <w:rsid w:val="04ED0CC6"/>
    <w:rsid w:val="05E03FD0"/>
    <w:rsid w:val="09CF0AC5"/>
    <w:rsid w:val="0C2E40C8"/>
    <w:rsid w:val="0CB437FC"/>
    <w:rsid w:val="110631C0"/>
    <w:rsid w:val="144E4536"/>
    <w:rsid w:val="150A42DA"/>
    <w:rsid w:val="15636CC7"/>
    <w:rsid w:val="15664A19"/>
    <w:rsid w:val="161330A8"/>
    <w:rsid w:val="16EF70D4"/>
    <w:rsid w:val="1AD64472"/>
    <w:rsid w:val="1BCF75B2"/>
    <w:rsid w:val="210B0991"/>
    <w:rsid w:val="21E20D7C"/>
    <w:rsid w:val="24752AB1"/>
    <w:rsid w:val="250A26FB"/>
    <w:rsid w:val="26D1378F"/>
    <w:rsid w:val="27A95490"/>
    <w:rsid w:val="29B42D36"/>
    <w:rsid w:val="2B780CDA"/>
    <w:rsid w:val="2BDD70DE"/>
    <w:rsid w:val="2D8540DA"/>
    <w:rsid w:val="2E1972E0"/>
    <w:rsid w:val="33AE7649"/>
    <w:rsid w:val="3A437DEA"/>
    <w:rsid w:val="3DDF2043"/>
    <w:rsid w:val="43293AF4"/>
    <w:rsid w:val="43FB7987"/>
    <w:rsid w:val="47493BBF"/>
    <w:rsid w:val="486E3F10"/>
    <w:rsid w:val="49366537"/>
    <w:rsid w:val="4A2805C0"/>
    <w:rsid w:val="4C9D00C0"/>
    <w:rsid w:val="4CE74703"/>
    <w:rsid w:val="4EF1759F"/>
    <w:rsid w:val="52365BBC"/>
    <w:rsid w:val="523C24EA"/>
    <w:rsid w:val="59BD150F"/>
    <w:rsid w:val="5A403EEE"/>
    <w:rsid w:val="5AD27173"/>
    <w:rsid w:val="5E202CD2"/>
    <w:rsid w:val="620409A7"/>
    <w:rsid w:val="63CB3AB3"/>
    <w:rsid w:val="649C61C5"/>
    <w:rsid w:val="6E872169"/>
    <w:rsid w:val="6F234115"/>
    <w:rsid w:val="70CB11F2"/>
    <w:rsid w:val="73A5390D"/>
    <w:rsid w:val="76952CDD"/>
    <w:rsid w:val="76FB5C9A"/>
    <w:rsid w:val="797541D7"/>
    <w:rsid w:val="7D4A64A4"/>
    <w:rsid w:val="7EC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Calibri" w:hAnsi="Calibri"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5149</Words>
  <Characters>5226</Characters>
  <Lines>0</Lines>
  <Paragraphs>0</Paragraphs>
  <TotalTime>2</TotalTime>
  <ScaleCrop>false</ScaleCrop>
  <LinksUpToDate>false</LinksUpToDate>
  <CharactersWithSpaces>5230</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2022-05-31T02:37:00Z</dcterms:created>
  <dc:creator>Administrator</dc:creator>
  <cp:lastModifiedBy>王浩</cp:lastModifiedBy>
  <dcterms:modified xsi:type="dcterms:W3CDTF">2022-08-25T01:43:06Z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CF528D5D13E94C82A87E611B88B2674E</vt:lpwstr>
  </property>
</Properties>
</file>