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before="0" w:after="0" w:line="660" w:lineRule="exact"/>
        <w:ind w:right="0"/>
        <w:jc w:val="center"/>
        <w:textAlignment w:val="auto"/>
        <w:outlineLvl w:val="9"/>
        <w:rPr>
          <w:rFonts w:hint="eastAsia" w:ascii="方正小标宋简体" w:hAnsi="方正小标宋简体" w:eastAsia="方正小标宋简体" w:cs="方正小标宋简体"/>
          <w:b w:val="0"/>
          <w:bCs w:val="0"/>
          <w:color w:val="auto"/>
          <w:spacing w:val="-11"/>
          <w:sz w:val="44"/>
          <w:szCs w:val="44"/>
          <w:lang w:eastAsia="zh-CN"/>
        </w:rPr>
      </w:pPr>
      <w:r>
        <w:rPr>
          <w:rFonts w:hint="eastAsia" w:ascii="方正小标宋简体" w:hAnsi="方正小标宋简体" w:eastAsia="方正小标宋简体" w:cs="方正小标宋简体"/>
          <w:b w:val="0"/>
          <w:bCs w:val="0"/>
          <w:color w:val="auto"/>
          <w:spacing w:val="-11"/>
          <w:sz w:val="44"/>
          <w:szCs w:val="44"/>
          <w:lang w:eastAsia="zh-CN"/>
        </w:rPr>
        <w:t>鄂尔多斯市康巴什区人民政府关于印发</w:t>
      </w:r>
    </w:p>
    <w:p>
      <w:pPr>
        <w:widowControl w:val="0"/>
        <w:wordWrap/>
        <w:adjustRightInd/>
        <w:snapToGrid/>
        <w:spacing w:before="0" w:after="0" w:line="660" w:lineRule="exact"/>
        <w:ind w:right="0"/>
        <w:jc w:val="center"/>
        <w:textAlignment w:val="auto"/>
        <w:outlineLvl w:val="9"/>
        <w:rPr>
          <w:rFonts w:hint="eastAsia" w:ascii="方正小标宋简体" w:hAnsi="方正小标宋简体" w:eastAsia="方正小标宋简体" w:cs="方正小标宋简体"/>
          <w:b w:val="0"/>
          <w:bCs w:val="0"/>
          <w:color w:val="auto"/>
          <w:spacing w:val="-11"/>
          <w:sz w:val="44"/>
          <w:szCs w:val="44"/>
          <w:lang w:eastAsia="zh-CN"/>
        </w:rPr>
      </w:pPr>
      <w:r>
        <w:rPr>
          <w:rFonts w:hint="eastAsia" w:ascii="方正小标宋简体" w:hAnsi="方正小标宋简体" w:eastAsia="方正小标宋简体" w:cs="方正小标宋简体"/>
          <w:b w:val="0"/>
          <w:bCs w:val="0"/>
          <w:color w:val="auto"/>
          <w:spacing w:val="-11"/>
          <w:sz w:val="44"/>
          <w:szCs w:val="44"/>
          <w:lang w:eastAsia="zh-CN"/>
        </w:rPr>
        <w:t>康巴什区关于推动经济高质量发展</w:t>
      </w:r>
    </w:p>
    <w:p>
      <w:pPr>
        <w:widowControl w:val="0"/>
        <w:wordWrap/>
        <w:adjustRightInd/>
        <w:snapToGrid/>
        <w:spacing w:before="0" w:after="0" w:line="660" w:lineRule="exact"/>
        <w:ind w:right="0"/>
        <w:jc w:val="center"/>
        <w:textAlignment w:val="auto"/>
        <w:outlineLvl w:val="9"/>
        <w:rPr>
          <w:rFonts w:hint="eastAsia" w:ascii="方正小标宋简体" w:hAnsi="方正小标宋简体" w:eastAsia="方正小标宋简体" w:cs="方正小标宋简体"/>
          <w:b w:val="0"/>
          <w:bCs w:val="0"/>
          <w:color w:val="auto"/>
          <w:spacing w:val="-11"/>
          <w:sz w:val="44"/>
          <w:szCs w:val="44"/>
          <w:lang w:eastAsia="zh-CN"/>
        </w:rPr>
      </w:pPr>
      <w:r>
        <w:rPr>
          <w:rFonts w:hint="eastAsia" w:ascii="方正小标宋简体" w:hAnsi="方正小标宋简体" w:eastAsia="方正小标宋简体" w:cs="方正小标宋简体"/>
          <w:b w:val="0"/>
          <w:bCs w:val="0"/>
          <w:color w:val="auto"/>
          <w:spacing w:val="-11"/>
          <w:sz w:val="44"/>
          <w:szCs w:val="44"/>
          <w:lang w:eastAsia="zh-CN"/>
        </w:rPr>
        <w:t>若干措施的通知</w:t>
      </w:r>
    </w:p>
    <w:p>
      <w:pPr>
        <w:widowControl w:val="0"/>
        <w:wordWrap/>
        <w:adjustRightInd/>
        <w:snapToGrid/>
        <w:spacing w:before="0" w:after="0" w:line="660" w:lineRule="exact"/>
        <w:ind w:right="0"/>
        <w:jc w:val="center"/>
        <w:textAlignment w:val="auto"/>
        <w:outlineLvl w:val="9"/>
        <w:rPr>
          <w:rFonts w:hint="eastAsia" w:ascii="仿宋_GB2312" w:hAnsi="仿宋_GB2312" w:eastAsia="仿宋_GB2312" w:cs="仿宋_GB2312"/>
          <w:b w:val="0"/>
          <w:bCs w:val="0"/>
          <w:color w:val="auto"/>
          <w:spacing w:val="-11"/>
          <w:sz w:val="32"/>
          <w:szCs w:val="32"/>
          <w:lang w:eastAsia="zh-CN"/>
        </w:rPr>
      </w:pPr>
    </w:p>
    <w:p>
      <w:pPr>
        <w:widowControl w:val="0"/>
        <w:wordWrap/>
        <w:adjustRightInd/>
        <w:snapToGrid/>
        <w:spacing w:before="0" w:after="0" w:line="660" w:lineRule="exact"/>
        <w:ind w:right="0"/>
        <w:jc w:val="center"/>
        <w:textAlignment w:val="auto"/>
        <w:outlineLvl w:val="9"/>
        <w:rPr>
          <w:rFonts w:hint="eastAsia" w:ascii="仿宋_GB2312" w:hAnsi="仿宋_GB2312" w:eastAsia="仿宋_GB2312" w:cs="仿宋_GB2312"/>
          <w:b w:val="0"/>
          <w:bCs w:val="0"/>
          <w:color w:val="auto"/>
          <w:spacing w:val="-11"/>
          <w:sz w:val="32"/>
          <w:szCs w:val="32"/>
          <w:lang w:val="en-US" w:eastAsia="zh-CN"/>
        </w:rPr>
      </w:pPr>
      <w:r>
        <w:rPr>
          <w:rFonts w:hint="eastAsia" w:ascii="仿宋_GB2312" w:hAnsi="仿宋_GB2312" w:eastAsia="仿宋_GB2312" w:cs="仿宋_GB2312"/>
          <w:b w:val="0"/>
          <w:bCs w:val="0"/>
          <w:color w:val="auto"/>
          <w:spacing w:val="-11"/>
          <w:sz w:val="32"/>
          <w:szCs w:val="32"/>
          <w:lang w:eastAsia="zh-CN"/>
        </w:rPr>
        <w:t xml:space="preserve">各街道办事处、区直各部门、各垂直管理部门、各企事业单位：  </w:t>
      </w:r>
      <w:r>
        <w:rPr>
          <w:rFonts w:hint="eastAsia" w:ascii="仿宋_GB2312" w:hAnsi="仿宋_GB2312" w:eastAsia="仿宋_GB2312" w:cs="仿宋_GB2312"/>
          <w:b w:val="0"/>
          <w:bCs w:val="0"/>
          <w:color w:val="auto"/>
          <w:spacing w:val="-11"/>
          <w:sz w:val="32"/>
          <w:szCs w:val="32"/>
          <w:lang w:val="en-US" w:eastAsia="zh-CN"/>
        </w:rPr>
        <w:t xml:space="preserve">     </w:t>
      </w:r>
    </w:p>
    <w:p>
      <w:pPr>
        <w:widowControl w:val="0"/>
        <w:wordWrap/>
        <w:adjustRightInd/>
        <w:snapToGrid/>
        <w:spacing w:before="0" w:after="0" w:line="660" w:lineRule="exact"/>
        <w:ind w:right="0" w:firstLine="596" w:firstLineChars="200"/>
        <w:jc w:val="both"/>
        <w:textAlignment w:val="auto"/>
        <w:outlineLvl w:val="9"/>
        <w:rPr>
          <w:rFonts w:hint="eastAsia" w:ascii="仿宋_GB2312" w:hAnsi="仿宋_GB2312" w:eastAsia="仿宋_GB2312" w:cs="仿宋_GB2312"/>
          <w:b w:val="0"/>
          <w:bCs w:val="0"/>
          <w:color w:val="auto"/>
          <w:spacing w:val="-11"/>
          <w:sz w:val="32"/>
          <w:szCs w:val="32"/>
          <w:lang w:eastAsia="zh-CN"/>
        </w:rPr>
      </w:pPr>
      <w:r>
        <w:rPr>
          <w:rFonts w:hint="eastAsia" w:ascii="仿宋_GB2312" w:hAnsi="仿宋_GB2312" w:eastAsia="仿宋_GB2312" w:cs="仿宋_GB2312"/>
          <w:b w:val="0"/>
          <w:bCs w:val="0"/>
          <w:color w:val="auto"/>
          <w:spacing w:val="-11"/>
          <w:sz w:val="32"/>
          <w:szCs w:val="32"/>
          <w:lang w:eastAsia="zh-CN"/>
        </w:rPr>
        <w:t>《康巴什区关于推动经济高质量发展若干措施》已由区人民政府</w:t>
      </w:r>
      <w:r>
        <w:rPr>
          <w:rFonts w:hint="eastAsia" w:ascii="仿宋_GB2312" w:hAnsi="仿宋_GB2312" w:eastAsia="仿宋_GB2312" w:cs="仿宋_GB2312"/>
          <w:b w:val="0"/>
          <w:bCs w:val="0"/>
          <w:color w:val="auto"/>
          <w:spacing w:val="-11"/>
          <w:sz w:val="32"/>
          <w:szCs w:val="32"/>
          <w:lang w:val="en-US" w:eastAsia="zh-CN"/>
        </w:rPr>
        <w:t>2022年第11次常务会议审议通过，现</w:t>
      </w:r>
      <w:r>
        <w:rPr>
          <w:rFonts w:hint="eastAsia" w:ascii="仿宋_GB2312" w:hAnsi="仿宋_GB2312" w:eastAsia="仿宋_GB2312" w:cs="仿宋_GB2312"/>
          <w:b w:val="0"/>
          <w:bCs w:val="0"/>
          <w:color w:val="auto"/>
          <w:spacing w:val="-11"/>
          <w:sz w:val="32"/>
          <w:szCs w:val="32"/>
          <w:lang w:eastAsia="zh-CN"/>
        </w:rPr>
        <w:t xml:space="preserve">印发给你们，请结合实际，认真贯彻落实。  </w:t>
      </w:r>
    </w:p>
    <w:p>
      <w:pPr>
        <w:widowControl w:val="0"/>
        <w:wordWrap/>
        <w:adjustRightInd/>
        <w:snapToGrid/>
        <w:spacing w:before="0" w:after="0" w:line="660" w:lineRule="exact"/>
        <w:ind w:right="0"/>
        <w:jc w:val="center"/>
        <w:textAlignment w:val="auto"/>
        <w:outlineLvl w:val="9"/>
        <w:rPr>
          <w:rFonts w:hint="eastAsia" w:ascii="仿宋_GB2312" w:hAnsi="仿宋_GB2312" w:eastAsia="仿宋_GB2312" w:cs="仿宋_GB2312"/>
          <w:b w:val="0"/>
          <w:bCs w:val="0"/>
          <w:color w:val="auto"/>
          <w:spacing w:val="-11"/>
          <w:sz w:val="32"/>
          <w:szCs w:val="32"/>
          <w:lang w:eastAsia="zh-CN"/>
        </w:rPr>
      </w:pPr>
    </w:p>
    <w:p>
      <w:pPr>
        <w:widowControl w:val="0"/>
        <w:wordWrap/>
        <w:adjustRightInd/>
        <w:snapToGrid/>
        <w:spacing w:before="0" w:after="0" w:line="660" w:lineRule="exact"/>
        <w:ind w:right="0"/>
        <w:jc w:val="center"/>
        <w:textAlignment w:val="auto"/>
        <w:outlineLvl w:val="9"/>
        <w:rPr>
          <w:rFonts w:hint="eastAsia" w:ascii="仿宋_GB2312" w:hAnsi="仿宋_GB2312" w:eastAsia="仿宋_GB2312" w:cs="仿宋_GB2312"/>
          <w:b w:val="0"/>
          <w:bCs w:val="0"/>
          <w:color w:val="auto"/>
          <w:spacing w:val="-11"/>
          <w:sz w:val="32"/>
          <w:szCs w:val="32"/>
          <w:lang w:eastAsia="zh-CN"/>
        </w:rPr>
      </w:pPr>
      <w:r>
        <w:rPr>
          <w:rFonts w:hint="eastAsia" w:ascii="仿宋_GB2312" w:hAnsi="仿宋_GB2312" w:eastAsia="仿宋_GB2312" w:cs="仿宋_GB2312"/>
          <w:b w:val="0"/>
          <w:bCs w:val="0"/>
          <w:color w:val="auto"/>
          <w:spacing w:val="-11"/>
          <w:sz w:val="32"/>
          <w:szCs w:val="32"/>
          <w:lang w:eastAsia="zh-CN"/>
        </w:rPr>
        <w:t xml:space="preserve">　　　 </w:t>
      </w:r>
    </w:p>
    <w:p>
      <w:pPr>
        <w:widowControl w:val="0"/>
        <w:wordWrap/>
        <w:adjustRightInd/>
        <w:snapToGrid/>
        <w:spacing w:before="0" w:after="0" w:line="660" w:lineRule="exact"/>
        <w:ind w:right="0"/>
        <w:jc w:val="center"/>
        <w:textAlignment w:val="auto"/>
        <w:outlineLvl w:val="9"/>
        <w:rPr>
          <w:rFonts w:hint="eastAsia" w:ascii="仿宋_GB2312" w:hAnsi="仿宋_GB2312" w:eastAsia="仿宋_GB2312" w:cs="仿宋_GB2312"/>
          <w:b w:val="0"/>
          <w:bCs w:val="0"/>
          <w:color w:val="auto"/>
          <w:spacing w:val="-11"/>
          <w:sz w:val="32"/>
          <w:szCs w:val="32"/>
          <w:lang w:eastAsia="zh-CN"/>
        </w:rPr>
      </w:pPr>
    </w:p>
    <w:p>
      <w:pPr>
        <w:widowControl w:val="0"/>
        <w:wordWrap/>
        <w:adjustRightInd/>
        <w:snapToGrid/>
        <w:spacing w:before="0" w:after="0" w:line="660" w:lineRule="exact"/>
        <w:ind w:right="0"/>
        <w:jc w:val="center"/>
        <w:textAlignment w:val="auto"/>
        <w:outlineLvl w:val="9"/>
        <w:rPr>
          <w:rFonts w:hint="eastAsia" w:ascii="仿宋_GB2312" w:hAnsi="仿宋_GB2312" w:eastAsia="仿宋_GB2312" w:cs="仿宋_GB2312"/>
          <w:b w:val="0"/>
          <w:bCs w:val="0"/>
          <w:color w:val="auto"/>
          <w:spacing w:val="-11"/>
          <w:sz w:val="32"/>
          <w:szCs w:val="32"/>
          <w:lang w:eastAsia="zh-CN"/>
        </w:rPr>
      </w:pPr>
      <w:r>
        <w:rPr>
          <w:rFonts w:hint="eastAsia" w:ascii="仿宋_GB2312" w:hAnsi="仿宋_GB2312" w:eastAsia="仿宋_GB2312" w:cs="仿宋_GB2312"/>
          <w:b w:val="0"/>
          <w:bCs w:val="0"/>
          <w:color w:val="auto"/>
          <w:spacing w:val="-11"/>
          <w:sz w:val="32"/>
          <w:szCs w:val="32"/>
          <w:lang w:eastAsia="zh-CN"/>
        </w:rPr>
        <w:t>　　</w:t>
      </w:r>
      <w:r>
        <w:rPr>
          <w:rFonts w:hint="eastAsia" w:ascii="仿宋_GB2312" w:hAnsi="仿宋_GB2312" w:eastAsia="仿宋_GB2312" w:cs="仿宋_GB2312"/>
          <w:b w:val="0"/>
          <w:bCs w:val="0"/>
          <w:color w:val="auto"/>
          <w:spacing w:val="-11"/>
          <w:sz w:val="32"/>
          <w:szCs w:val="32"/>
          <w:lang w:val="en-US" w:eastAsia="zh-CN"/>
        </w:rPr>
        <w:t xml:space="preserve">        </w:t>
      </w:r>
      <w:r>
        <w:rPr>
          <w:rFonts w:hint="eastAsia" w:ascii="仿宋_GB2312" w:hAnsi="仿宋_GB2312" w:eastAsia="仿宋_GB2312" w:cs="仿宋_GB2312"/>
          <w:b w:val="0"/>
          <w:bCs w:val="0"/>
          <w:color w:val="auto"/>
          <w:spacing w:val="-11"/>
          <w:sz w:val="32"/>
          <w:szCs w:val="32"/>
          <w:lang w:eastAsia="zh-CN"/>
        </w:rPr>
        <w:t xml:space="preserve">鄂尔多斯市康巴什区人民政府 </w:t>
      </w:r>
    </w:p>
    <w:p>
      <w:pPr>
        <w:widowControl w:val="0"/>
        <w:wordWrap/>
        <w:adjustRightInd/>
        <w:snapToGrid/>
        <w:spacing w:before="0" w:after="0" w:line="660" w:lineRule="exact"/>
        <w:ind w:right="0"/>
        <w:jc w:val="center"/>
        <w:textAlignment w:val="auto"/>
        <w:outlineLvl w:val="9"/>
        <w:rPr>
          <w:rFonts w:hint="eastAsia" w:ascii="仿宋_GB2312" w:hAnsi="仿宋_GB2312" w:eastAsia="仿宋_GB2312" w:cs="仿宋_GB2312"/>
          <w:b w:val="0"/>
          <w:bCs w:val="0"/>
          <w:color w:val="auto"/>
          <w:spacing w:val="-11"/>
          <w:sz w:val="32"/>
          <w:szCs w:val="32"/>
          <w:lang w:eastAsia="zh-CN"/>
        </w:rPr>
      </w:pPr>
      <w:r>
        <w:rPr>
          <w:rFonts w:hint="eastAsia" w:ascii="仿宋_GB2312" w:hAnsi="仿宋_GB2312" w:eastAsia="仿宋_GB2312" w:cs="仿宋_GB2312"/>
          <w:b w:val="0"/>
          <w:bCs w:val="0"/>
          <w:color w:val="auto"/>
          <w:spacing w:val="-11"/>
          <w:sz w:val="32"/>
          <w:szCs w:val="32"/>
          <w:lang w:eastAsia="zh-CN"/>
        </w:rPr>
        <w:t>　　</w:t>
      </w:r>
      <w:r>
        <w:rPr>
          <w:rFonts w:hint="eastAsia" w:ascii="仿宋_GB2312" w:hAnsi="仿宋_GB2312" w:eastAsia="仿宋_GB2312" w:cs="仿宋_GB2312"/>
          <w:b w:val="0"/>
          <w:bCs w:val="0"/>
          <w:color w:val="auto"/>
          <w:spacing w:val="-11"/>
          <w:sz w:val="32"/>
          <w:szCs w:val="32"/>
          <w:lang w:val="en-US" w:eastAsia="zh-CN"/>
        </w:rPr>
        <w:t xml:space="preserve">          </w:t>
      </w:r>
      <w:r>
        <w:rPr>
          <w:rFonts w:hint="eastAsia" w:ascii="仿宋_GB2312" w:hAnsi="仿宋_GB2312" w:eastAsia="仿宋_GB2312" w:cs="仿宋_GB2312"/>
          <w:b w:val="0"/>
          <w:bCs w:val="0"/>
          <w:color w:val="auto"/>
          <w:spacing w:val="-11"/>
          <w:sz w:val="32"/>
          <w:szCs w:val="32"/>
          <w:lang w:eastAsia="zh-CN"/>
        </w:rPr>
        <w:t>2022年</w:t>
      </w:r>
      <w:r>
        <w:rPr>
          <w:rFonts w:hint="eastAsia" w:ascii="仿宋_GB2312" w:hAnsi="仿宋_GB2312" w:eastAsia="仿宋_GB2312" w:cs="仿宋_GB2312"/>
          <w:b w:val="0"/>
          <w:bCs w:val="0"/>
          <w:color w:val="auto"/>
          <w:spacing w:val="-11"/>
          <w:sz w:val="32"/>
          <w:szCs w:val="32"/>
          <w:lang w:val="en-US" w:eastAsia="zh-CN"/>
        </w:rPr>
        <w:t>5</w:t>
      </w:r>
      <w:r>
        <w:rPr>
          <w:rFonts w:hint="eastAsia" w:ascii="仿宋_GB2312" w:hAnsi="仿宋_GB2312" w:eastAsia="仿宋_GB2312" w:cs="仿宋_GB2312"/>
          <w:b w:val="0"/>
          <w:bCs w:val="0"/>
          <w:color w:val="auto"/>
          <w:spacing w:val="-11"/>
          <w:sz w:val="32"/>
          <w:szCs w:val="32"/>
          <w:lang w:eastAsia="zh-CN"/>
        </w:rPr>
        <w:t>月</w:t>
      </w:r>
      <w:r>
        <w:rPr>
          <w:rFonts w:hint="eastAsia" w:ascii="仿宋_GB2312" w:hAnsi="仿宋_GB2312" w:eastAsia="仿宋_GB2312" w:cs="仿宋_GB2312"/>
          <w:b w:val="0"/>
          <w:bCs w:val="0"/>
          <w:color w:val="auto"/>
          <w:spacing w:val="-11"/>
          <w:sz w:val="32"/>
          <w:szCs w:val="32"/>
          <w:lang w:val="en-US" w:eastAsia="zh-CN"/>
        </w:rPr>
        <w:t>31</w:t>
      </w:r>
      <w:bookmarkStart w:id="0" w:name="_GoBack"/>
      <w:bookmarkEnd w:id="0"/>
      <w:r>
        <w:rPr>
          <w:rFonts w:hint="eastAsia" w:ascii="仿宋_GB2312" w:hAnsi="仿宋_GB2312" w:eastAsia="仿宋_GB2312" w:cs="仿宋_GB2312"/>
          <w:b w:val="0"/>
          <w:bCs w:val="0"/>
          <w:color w:val="auto"/>
          <w:spacing w:val="-11"/>
          <w:sz w:val="32"/>
          <w:szCs w:val="32"/>
          <w:lang w:eastAsia="zh-CN"/>
        </w:rPr>
        <w:t>日</w:t>
      </w:r>
    </w:p>
    <w:p>
      <w:pPr>
        <w:widowControl w:val="0"/>
        <w:wordWrap/>
        <w:adjustRightInd/>
        <w:snapToGrid/>
        <w:spacing w:before="0" w:after="0" w:line="660" w:lineRule="exact"/>
        <w:ind w:right="0"/>
        <w:jc w:val="center"/>
        <w:textAlignment w:val="auto"/>
        <w:outlineLvl w:val="9"/>
        <w:rPr>
          <w:rFonts w:hint="eastAsia" w:ascii="仿宋_GB2312" w:hAnsi="仿宋_GB2312" w:eastAsia="仿宋_GB2312" w:cs="仿宋_GB2312"/>
          <w:b w:val="0"/>
          <w:bCs w:val="0"/>
          <w:color w:val="auto"/>
          <w:spacing w:val="-11"/>
          <w:sz w:val="32"/>
          <w:szCs w:val="32"/>
          <w:lang w:eastAsia="zh-CN"/>
        </w:rPr>
      </w:pPr>
    </w:p>
    <w:p>
      <w:pPr>
        <w:widowControl w:val="0"/>
        <w:wordWrap/>
        <w:adjustRightInd/>
        <w:snapToGrid/>
        <w:spacing w:before="0" w:after="0" w:line="660" w:lineRule="exact"/>
        <w:ind w:right="0"/>
        <w:jc w:val="center"/>
        <w:textAlignment w:val="auto"/>
        <w:outlineLvl w:val="9"/>
        <w:rPr>
          <w:rFonts w:hint="eastAsia" w:ascii="仿宋_GB2312" w:hAnsi="仿宋_GB2312" w:eastAsia="仿宋_GB2312" w:cs="仿宋_GB2312"/>
          <w:b w:val="0"/>
          <w:bCs w:val="0"/>
          <w:color w:val="auto"/>
          <w:spacing w:val="-11"/>
          <w:sz w:val="32"/>
          <w:szCs w:val="32"/>
          <w:lang w:eastAsia="zh-CN"/>
        </w:rPr>
      </w:pPr>
    </w:p>
    <w:p>
      <w:pPr>
        <w:widowControl w:val="0"/>
        <w:wordWrap/>
        <w:adjustRightInd/>
        <w:snapToGrid/>
        <w:spacing w:before="0" w:after="0" w:line="660" w:lineRule="exact"/>
        <w:ind w:right="0"/>
        <w:jc w:val="center"/>
        <w:textAlignment w:val="auto"/>
        <w:outlineLvl w:val="9"/>
        <w:rPr>
          <w:rFonts w:hint="eastAsia" w:ascii="仿宋_GB2312" w:hAnsi="仿宋_GB2312" w:eastAsia="仿宋_GB2312" w:cs="仿宋_GB2312"/>
          <w:b w:val="0"/>
          <w:bCs w:val="0"/>
          <w:color w:val="auto"/>
          <w:spacing w:val="-11"/>
          <w:sz w:val="32"/>
          <w:szCs w:val="32"/>
          <w:lang w:eastAsia="zh-CN"/>
        </w:rPr>
      </w:pPr>
    </w:p>
    <w:p>
      <w:pPr>
        <w:widowControl w:val="0"/>
        <w:wordWrap/>
        <w:adjustRightInd/>
        <w:snapToGrid/>
        <w:spacing w:before="0" w:after="0" w:line="660" w:lineRule="exact"/>
        <w:ind w:right="0"/>
        <w:jc w:val="center"/>
        <w:textAlignment w:val="auto"/>
        <w:outlineLvl w:val="9"/>
        <w:rPr>
          <w:rFonts w:hint="eastAsia" w:ascii="仿宋_GB2312" w:hAnsi="仿宋_GB2312" w:eastAsia="仿宋_GB2312" w:cs="仿宋_GB2312"/>
          <w:b w:val="0"/>
          <w:bCs w:val="0"/>
          <w:color w:val="auto"/>
          <w:spacing w:val="-11"/>
          <w:sz w:val="32"/>
          <w:szCs w:val="32"/>
          <w:lang w:eastAsia="zh-CN"/>
        </w:rPr>
      </w:pPr>
    </w:p>
    <w:p>
      <w:pPr>
        <w:widowControl w:val="0"/>
        <w:wordWrap/>
        <w:adjustRightInd/>
        <w:snapToGrid/>
        <w:spacing w:before="0" w:after="0" w:line="660" w:lineRule="exact"/>
        <w:ind w:right="0"/>
        <w:jc w:val="center"/>
        <w:textAlignment w:val="auto"/>
        <w:outlineLvl w:val="9"/>
        <w:rPr>
          <w:rFonts w:hint="eastAsia" w:ascii="仿宋_GB2312" w:hAnsi="仿宋_GB2312" w:eastAsia="仿宋_GB2312" w:cs="仿宋_GB2312"/>
          <w:b w:val="0"/>
          <w:bCs w:val="0"/>
          <w:color w:val="auto"/>
          <w:spacing w:val="-11"/>
          <w:sz w:val="32"/>
          <w:szCs w:val="32"/>
          <w:lang w:eastAsia="zh-CN"/>
        </w:rPr>
      </w:pPr>
    </w:p>
    <w:p>
      <w:pPr>
        <w:widowControl w:val="0"/>
        <w:wordWrap/>
        <w:adjustRightInd/>
        <w:snapToGrid/>
        <w:spacing w:before="0" w:after="0" w:line="660" w:lineRule="exact"/>
        <w:ind w:right="0"/>
        <w:jc w:val="center"/>
        <w:textAlignment w:val="auto"/>
        <w:outlineLvl w:val="9"/>
        <w:rPr>
          <w:rFonts w:hint="eastAsia" w:ascii="仿宋_GB2312" w:hAnsi="仿宋_GB2312" w:eastAsia="仿宋_GB2312" w:cs="仿宋_GB2312"/>
          <w:b w:val="0"/>
          <w:bCs w:val="0"/>
          <w:color w:val="auto"/>
          <w:spacing w:val="-11"/>
          <w:sz w:val="32"/>
          <w:szCs w:val="32"/>
          <w:lang w:eastAsia="zh-CN"/>
        </w:rPr>
      </w:pPr>
    </w:p>
    <w:p>
      <w:pPr>
        <w:widowControl w:val="0"/>
        <w:wordWrap/>
        <w:adjustRightInd/>
        <w:snapToGrid/>
        <w:spacing w:before="0" w:after="0" w:line="660" w:lineRule="exact"/>
        <w:ind w:right="0"/>
        <w:jc w:val="center"/>
        <w:textAlignment w:val="auto"/>
        <w:outlineLvl w:val="9"/>
        <w:rPr>
          <w:rFonts w:hint="eastAsia" w:ascii="仿宋_GB2312" w:hAnsi="仿宋_GB2312" w:eastAsia="仿宋_GB2312" w:cs="仿宋_GB2312"/>
          <w:b w:val="0"/>
          <w:bCs w:val="0"/>
          <w:color w:val="auto"/>
          <w:spacing w:val="-11"/>
          <w:sz w:val="32"/>
          <w:szCs w:val="32"/>
          <w:lang w:eastAsia="zh-CN"/>
        </w:rPr>
      </w:pPr>
    </w:p>
    <w:p>
      <w:pPr>
        <w:widowControl w:val="0"/>
        <w:wordWrap/>
        <w:adjustRightInd/>
        <w:snapToGrid/>
        <w:spacing w:before="0" w:after="0" w:line="660" w:lineRule="exact"/>
        <w:ind w:right="0"/>
        <w:jc w:val="center"/>
        <w:textAlignment w:val="auto"/>
        <w:outlineLvl w:val="9"/>
        <w:rPr>
          <w:rFonts w:hint="eastAsia" w:ascii="仿宋_GB2312" w:hAnsi="仿宋_GB2312" w:eastAsia="仿宋_GB2312" w:cs="仿宋_GB2312"/>
          <w:b w:val="0"/>
          <w:bCs w:val="0"/>
          <w:color w:val="auto"/>
          <w:spacing w:val="-11"/>
          <w:sz w:val="32"/>
          <w:szCs w:val="32"/>
          <w:lang w:eastAsia="zh-CN"/>
        </w:rPr>
      </w:pPr>
    </w:p>
    <w:p>
      <w:pPr>
        <w:widowControl w:val="0"/>
        <w:wordWrap/>
        <w:adjustRightInd/>
        <w:snapToGrid/>
        <w:spacing w:before="0" w:after="0" w:line="660" w:lineRule="exact"/>
        <w:ind w:right="0"/>
        <w:jc w:val="center"/>
        <w:textAlignment w:val="auto"/>
        <w:outlineLvl w:val="9"/>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pacing w:val="-11"/>
          <w:sz w:val="44"/>
          <w:szCs w:val="44"/>
          <w:lang w:eastAsia="zh-CN"/>
        </w:rPr>
        <w:t>康巴什区关于推动</w:t>
      </w:r>
      <w:r>
        <w:rPr>
          <w:rFonts w:hint="eastAsia" w:ascii="方正小标宋简体" w:hAnsi="方正小标宋简体" w:eastAsia="方正小标宋简体" w:cs="方正小标宋简体"/>
          <w:b w:val="0"/>
          <w:bCs w:val="0"/>
          <w:color w:val="auto"/>
          <w:spacing w:val="-11"/>
          <w:sz w:val="44"/>
          <w:szCs w:val="44"/>
        </w:rPr>
        <w:t>经济高质量发展若干</w:t>
      </w:r>
      <w:r>
        <w:rPr>
          <w:rFonts w:hint="eastAsia" w:ascii="方正小标宋简体" w:hAnsi="方正小标宋简体" w:eastAsia="方正小标宋简体" w:cs="方正小标宋简体"/>
          <w:b w:val="0"/>
          <w:bCs w:val="0"/>
          <w:color w:val="auto"/>
          <w:spacing w:val="-11"/>
          <w:sz w:val="44"/>
          <w:szCs w:val="44"/>
          <w:lang w:eastAsia="zh-CN"/>
        </w:rPr>
        <w:t>措施</w:t>
      </w:r>
    </w:p>
    <w:p>
      <w:pPr>
        <w:widowControl w:val="0"/>
        <w:wordWrap/>
        <w:adjustRightInd/>
        <w:snapToGrid/>
        <w:spacing w:before="0" w:after="0" w:line="560" w:lineRule="exact"/>
        <w:ind w:left="0" w:leftChars="0" w:right="0"/>
        <w:jc w:val="both"/>
        <w:textAlignment w:val="auto"/>
        <w:outlineLvl w:val="9"/>
        <w:rPr>
          <w:rFonts w:hint="eastAsia" w:ascii="仿宋_GB2312" w:hAnsi="仿宋_GB2312" w:eastAsia="仿宋_GB2312" w:cs="仿宋_GB2312"/>
          <w:b w:val="0"/>
          <w:bCs w:val="0"/>
          <w:color w:val="auto"/>
          <w:sz w:val="32"/>
          <w:szCs w:val="32"/>
        </w:rPr>
      </w:pPr>
    </w:p>
    <w:p>
      <w:pPr>
        <w:widowControl w:val="0"/>
        <w:wordWrap/>
        <w:adjustRightInd/>
        <w:snapToGrid/>
        <w:spacing w:before="0" w:after="0" w:line="560" w:lineRule="exact"/>
        <w:ind w:left="0" w:leftChars="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为加快构建具有区域竞争力的现代产业体系，促进产业转型升级，助力企业做大做强，推动区域经济高质量发展，</w:t>
      </w:r>
      <w:r>
        <w:rPr>
          <w:rFonts w:hint="eastAsia" w:ascii="仿宋_GB2312" w:hAnsi="仿宋_GB2312" w:eastAsia="仿宋_GB2312" w:cs="仿宋_GB2312"/>
          <w:b w:val="0"/>
          <w:bCs w:val="0"/>
          <w:color w:val="auto"/>
          <w:sz w:val="32"/>
          <w:szCs w:val="32"/>
          <w:lang w:eastAsia="zh-CN"/>
        </w:rPr>
        <w:t>根据康巴什</w:t>
      </w:r>
      <w:r>
        <w:rPr>
          <w:rFonts w:hint="eastAsia" w:ascii="仿宋_GB2312" w:hAnsi="仿宋_GB2312" w:eastAsia="仿宋_GB2312" w:cs="仿宋_GB2312"/>
          <w:b w:val="0"/>
          <w:bCs w:val="0"/>
          <w:color w:val="auto"/>
          <w:sz w:val="32"/>
          <w:szCs w:val="32"/>
        </w:rPr>
        <w:t>区实际，特制定本</w:t>
      </w:r>
      <w:r>
        <w:rPr>
          <w:rFonts w:hint="eastAsia" w:ascii="仿宋_GB2312" w:hAnsi="仿宋_GB2312" w:eastAsia="仿宋_GB2312" w:cs="仿宋_GB2312"/>
          <w:b w:val="0"/>
          <w:bCs w:val="0"/>
          <w:color w:val="auto"/>
          <w:sz w:val="32"/>
          <w:szCs w:val="32"/>
          <w:lang w:eastAsia="zh-CN"/>
        </w:rPr>
        <w:t>措施。</w:t>
      </w:r>
    </w:p>
    <w:p>
      <w:pPr>
        <w:widowControl w:val="0"/>
        <w:wordWrap/>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000000"/>
          <w:sz w:val="32"/>
          <w:szCs w:val="32"/>
        </w:rPr>
        <w:t>第一条</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本</w:t>
      </w:r>
      <w:r>
        <w:rPr>
          <w:rFonts w:hint="eastAsia" w:ascii="仿宋_GB2312" w:hAnsi="仿宋_GB2312" w:eastAsia="仿宋_GB2312" w:cs="仿宋_GB2312"/>
          <w:b w:val="0"/>
          <w:bCs w:val="0"/>
          <w:color w:val="000000"/>
          <w:sz w:val="32"/>
          <w:szCs w:val="32"/>
          <w:lang w:eastAsia="zh-CN"/>
        </w:rPr>
        <w:t>措施</w:t>
      </w:r>
      <w:r>
        <w:rPr>
          <w:rFonts w:hint="eastAsia" w:ascii="仿宋_GB2312" w:hAnsi="仿宋_GB2312" w:eastAsia="仿宋_GB2312" w:cs="仿宋_GB2312"/>
          <w:b w:val="0"/>
          <w:bCs w:val="0"/>
          <w:color w:val="000000"/>
          <w:sz w:val="32"/>
          <w:szCs w:val="32"/>
        </w:rPr>
        <w:t>适用</w:t>
      </w:r>
      <w:r>
        <w:rPr>
          <w:rFonts w:hint="eastAsia" w:ascii="仿宋_GB2312" w:hAnsi="仿宋_GB2312" w:eastAsia="仿宋_GB2312" w:cs="仿宋_GB2312"/>
          <w:b w:val="0"/>
          <w:bCs w:val="0"/>
          <w:color w:val="000000"/>
          <w:sz w:val="32"/>
          <w:szCs w:val="32"/>
          <w:lang w:eastAsia="zh-CN"/>
        </w:rPr>
        <w:t>康巴什区</w:t>
      </w:r>
      <w:r>
        <w:rPr>
          <w:rFonts w:hint="eastAsia" w:ascii="仿宋_GB2312" w:hAnsi="仿宋_GB2312" w:eastAsia="仿宋_GB2312" w:cs="仿宋_GB2312"/>
          <w:b w:val="0"/>
          <w:bCs w:val="0"/>
          <w:color w:val="000000"/>
          <w:sz w:val="32"/>
          <w:szCs w:val="32"/>
        </w:rPr>
        <w:t>新引进企业(项目)及</w:t>
      </w:r>
      <w:r>
        <w:rPr>
          <w:rFonts w:hint="eastAsia" w:ascii="仿宋_GB2312" w:hAnsi="仿宋_GB2312" w:eastAsia="仿宋_GB2312" w:cs="仿宋_GB2312"/>
          <w:b w:val="0"/>
          <w:bCs w:val="0"/>
          <w:color w:val="000000"/>
          <w:sz w:val="32"/>
          <w:szCs w:val="32"/>
          <w:lang w:eastAsia="zh-CN"/>
        </w:rPr>
        <w:t>区内</w:t>
      </w:r>
      <w:r>
        <w:rPr>
          <w:rFonts w:hint="eastAsia" w:ascii="仿宋_GB2312" w:hAnsi="仿宋_GB2312" w:eastAsia="仿宋_GB2312" w:cs="仿宋_GB2312"/>
          <w:b w:val="0"/>
          <w:bCs w:val="0"/>
          <w:color w:val="000000"/>
          <w:sz w:val="32"/>
          <w:szCs w:val="32"/>
        </w:rPr>
        <w:t>现有再投资企业(项目)</w:t>
      </w:r>
      <w:r>
        <w:rPr>
          <w:rFonts w:hint="eastAsia" w:ascii="仿宋_GB2312" w:hAnsi="仿宋_GB2312" w:eastAsia="仿宋_GB2312" w:cs="仿宋_GB2312"/>
          <w:b w:val="0"/>
          <w:bCs w:val="0"/>
          <w:color w:val="000000"/>
          <w:sz w:val="32"/>
          <w:szCs w:val="32"/>
          <w:lang w:eastAsia="zh-CN"/>
        </w:rPr>
        <w:t>，不适用于国家最新出台的《市场准入负面清单》禁止准入类项目，“两高”项目，各类财政性投资、慈善性、公益性捐赠类项目</w:t>
      </w:r>
      <w:r>
        <w:rPr>
          <w:rFonts w:hint="eastAsia" w:ascii="仿宋_GB2312" w:hAnsi="仿宋_GB2312" w:eastAsia="仿宋_GB2312" w:cs="仿宋_GB2312"/>
          <w:b w:val="0"/>
          <w:bCs w:val="0"/>
          <w:color w:val="000000"/>
          <w:sz w:val="32"/>
          <w:szCs w:val="32"/>
        </w:rPr>
        <w:t>。</w:t>
      </w:r>
    </w:p>
    <w:p>
      <w:pPr>
        <w:widowControl w:val="0"/>
        <w:wordWrap/>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val="en-US" w:eastAsia="zh-CN"/>
        </w:rPr>
        <w:t>第二条</w:t>
      </w:r>
      <w:r>
        <w:rPr>
          <w:rFonts w:hint="eastAsia" w:ascii="仿宋_GB2312" w:hAnsi="仿宋_GB2312" w:eastAsia="仿宋_GB2312" w:cs="仿宋_GB2312"/>
          <w:color w:val="000000"/>
          <w:sz w:val="32"/>
          <w:szCs w:val="32"/>
          <w:lang w:val="en-US" w:eastAsia="zh-CN"/>
        </w:rPr>
        <w:t xml:space="preserve">  重点扶持产业。</w:t>
      </w:r>
      <w:r>
        <w:rPr>
          <w:rFonts w:hint="eastAsia" w:ascii="仿宋_GB2312" w:hAnsi="仿宋_GB2312" w:eastAsia="仿宋_GB2312" w:cs="仿宋_GB2312"/>
          <w:color w:val="000000"/>
          <w:sz w:val="32"/>
          <w:szCs w:val="32"/>
        </w:rPr>
        <w:t>鼓励投资者在以下</w:t>
      </w:r>
      <w:r>
        <w:rPr>
          <w:rFonts w:hint="eastAsia" w:ascii="仿宋_GB2312" w:hAnsi="仿宋_GB2312" w:eastAsia="仿宋_GB2312" w:cs="仿宋_GB2312"/>
          <w:color w:val="000000"/>
          <w:sz w:val="32"/>
          <w:szCs w:val="32"/>
          <w:lang w:eastAsia="zh-CN"/>
        </w:rPr>
        <w:t>产业</w:t>
      </w:r>
      <w:r>
        <w:rPr>
          <w:rFonts w:hint="eastAsia" w:ascii="仿宋_GB2312" w:hAnsi="仿宋_GB2312" w:eastAsia="仿宋_GB2312" w:cs="仿宋_GB2312"/>
          <w:color w:val="000000"/>
          <w:sz w:val="32"/>
          <w:szCs w:val="32"/>
        </w:rPr>
        <w:t>投资：</w:t>
      </w:r>
    </w:p>
    <w:p>
      <w:pPr>
        <w:widowControl w:val="0"/>
        <w:wordWrap/>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（一）总部经济。包括企业总部、企业区域总部，具有独立法人资格的研发中心、财务结算中心、销售中心等。</w:t>
      </w:r>
    </w:p>
    <w:p>
      <w:pPr>
        <w:widowControl w:val="0"/>
        <w:wordWrap/>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sz w:val="32"/>
          <w:szCs w:val="32"/>
        </w:rPr>
        <w:t>）金融服务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包括银行、保险、证券、</w:t>
      </w:r>
      <w:r>
        <w:rPr>
          <w:rFonts w:hint="eastAsia" w:ascii="仿宋_GB2312" w:hAnsi="仿宋_GB2312" w:eastAsia="仿宋_GB2312" w:cs="仿宋_GB2312"/>
          <w:color w:val="000000"/>
          <w:sz w:val="32"/>
          <w:szCs w:val="32"/>
          <w:lang w:eastAsia="zh-CN"/>
        </w:rPr>
        <w:t>信托、基金、资产管理、融资租赁、产权交易、</w:t>
      </w:r>
      <w:r>
        <w:rPr>
          <w:rFonts w:hint="eastAsia" w:ascii="仿宋_GB2312" w:hAnsi="仿宋_GB2312" w:eastAsia="仿宋_GB2312" w:cs="仿宋_GB2312"/>
          <w:color w:val="000000"/>
          <w:sz w:val="32"/>
          <w:szCs w:val="32"/>
        </w:rPr>
        <w:t>评估</w:t>
      </w:r>
      <w:r>
        <w:rPr>
          <w:rFonts w:hint="eastAsia" w:ascii="仿宋_GB2312" w:hAnsi="仿宋_GB2312" w:eastAsia="仿宋_GB2312" w:cs="仿宋_GB2312"/>
          <w:color w:val="000000"/>
          <w:sz w:val="32"/>
          <w:szCs w:val="32"/>
          <w:lang w:eastAsia="zh-CN"/>
        </w:rPr>
        <w:t>咨询</w:t>
      </w:r>
      <w:r>
        <w:rPr>
          <w:rFonts w:hint="eastAsia" w:ascii="仿宋_GB2312" w:hAnsi="仿宋_GB2312" w:eastAsia="仿宋_GB2312" w:cs="仿宋_GB2312"/>
          <w:color w:val="000000"/>
          <w:sz w:val="32"/>
          <w:szCs w:val="32"/>
        </w:rPr>
        <w:t>等。</w:t>
      </w:r>
    </w:p>
    <w:p>
      <w:pPr>
        <w:widowControl w:val="0"/>
        <w:wordWrap/>
        <w:snapToGrid/>
        <w:spacing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）文化旅游。包括大型文旅项目、文旅产品研发、影视、文化创意、旅游线路开发等。</w:t>
      </w:r>
    </w:p>
    <w:p>
      <w:pPr>
        <w:widowControl w:val="0"/>
        <w:wordWrap/>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）商贸物流。包括大型商业综合体、农贸批发市场、品牌餐饮、</w:t>
      </w:r>
      <w:r>
        <w:rPr>
          <w:rFonts w:hint="eastAsia" w:ascii="仿宋_GB2312" w:hAnsi="仿宋_GB2312" w:eastAsia="仿宋_GB2312" w:cs="仿宋_GB2312"/>
          <w:color w:val="000000"/>
          <w:sz w:val="32"/>
          <w:szCs w:val="32"/>
          <w:lang w:val="en-US" w:eastAsia="zh-CN"/>
        </w:rPr>
        <w:t>酒店住宿、</w:t>
      </w:r>
      <w:r>
        <w:rPr>
          <w:rFonts w:hint="eastAsia" w:ascii="仿宋_GB2312" w:hAnsi="仿宋_GB2312" w:eastAsia="仿宋_GB2312" w:cs="仿宋_GB2312"/>
          <w:color w:val="000000"/>
          <w:sz w:val="32"/>
          <w:szCs w:val="32"/>
        </w:rPr>
        <w:t>电子商务、物流仓储、煤炭运销等。</w:t>
      </w:r>
    </w:p>
    <w:p>
      <w:pPr>
        <w:pStyle w:val="6"/>
        <w:widowControl w:val="0"/>
        <w:wordWrap/>
        <w:snapToGri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（五）</w:t>
      </w:r>
      <w:r>
        <w:rPr>
          <w:rFonts w:hint="eastAsia" w:ascii="仿宋_GB2312" w:hAnsi="仿宋_GB2312" w:eastAsia="仿宋_GB2312" w:cs="仿宋_GB2312"/>
          <w:color w:val="000000"/>
          <w:sz w:val="32"/>
          <w:szCs w:val="32"/>
          <w:lang w:val="en-US" w:eastAsia="zh-CN"/>
        </w:rPr>
        <w:t>数字经济。</w:t>
      </w:r>
      <w:r>
        <w:rPr>
          <w:rFonts w:hint="eastAsia" w:hAnsi="仿宋_GB2312" w:cs="仿宋_GB2312"/>
          <w:color w:val="000000"/>
          <w:sz w:val="32"/>
          <w:szCs w:val="32"/>
          <w:lang w:val="en-US" w:eastAsia="zh-CN"/>
        </w:rPr>
        <w:t>包括设计研发、科技服务、数字服务、</w:t>
      </w:r>
      <w:r>
        <w:rPr>
          <w:rFonts w:hint="eastAsia" w:ascii="仿宋_GB2312" w:hAnsi="仿宋_GB2312" w:eastAsia="仿宋_GB2312" w:cs="仿宋_GB2312"/>
          <w:color w:val="000000"/>
          <w:sz w:val="32"/>
          <w:szCs w:val="32"/>
          <w:lang w:val="en-US" w:eastAsia="zh-CN"/>
        </w:rPr>
        <w:t>网红经济</w:t>
      </w:r>
      <w:r>
        <w:rPr>
          <w:rFonts w:hint="eastAsia" w:hAnsi="仿宋_GB2312" w:cs="仿宋_GB2312"/>
          <w:color w:val="000000"/>
          <w:sz w:val="32"/>
          <w:szCs w:val="32"/>
          <w:lang w:val="en-US" w:eastAsia="zh-CN"/>
        </w:rPr>
        <w:t>等。</w:t>
      </w:r>
    </w:p>
    <w:p>
      <w:pPr>
        <w:widowControl w:val="0"/>
        <w:wordWrap/>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六</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教育医</w:t>
      </w:r>
      <w:r>
        <w:rPr>
          <w:rFonts w:hint="eastAsia" w:ascii="仿宋_GB2312" w:hAnsi="仿宋_GB2312" w:eastAsia="仿宋_GB2312" w:cs="仿宋_GB2312"/>
          <w:color w:val="000000"/>
          <w:sz w:val="32"/>
          <w:szCs w:val="32"/>
          <w:lang w:eastAsia="zh-CN"/>
        </w:rPr>
        <w:t>养</w:t>
      </w:r>
      <w:r>
        <w:rPr>
          <w:rFonts w:hint="eastAsia" w:ascii="仿宋_GB2312" w:hAnsi="仿宋_GB2312" w:eastAsia="仿宋_GB2312" w:cs="仿宋_GB2312"/>
          <w:color w:val="000000"/>
          <w:sz w:val="32"/>
          <w:szCs w:val="32"/>
        </w:rPr>
        <w:t>。高端国际学校、</w:t>
      </w:r>
      <w:r>
        <w:rPr>
          <w:rFonts w:hint="eastAsia" w:ascii="仿宋_GB2312" w:hAnsi="仿宋_GB2312" w:eastAsia="仿宋_GB2312" w:cs="仿宋_GB2312"/>
          <w:color w:val="000000"/>
          <w:sz w:val="32"/>
          <w:szCs w:val="32"/>
          <w:lang w:eastAsia="zh-CN"/>
        </w:rPr>
        <w:t>职业教育、</w:t>
      </w:r>
      <w:r>
        <w:rPr>
          <w:rFonts w:hint="eastAsia" w:ascii="仿宋_GB2312" w:hAnsi="仿宋_GB2312" w:eastAsia="仿宋_GB2312" w:cs="仿宋_GB2312"/>
          <w:color w:val="000000"/>
          <w:sz w:val="32"/>
          <w:szCs w:val="32"/>
        </w:rPr>
        <w:t>研学项目开发、健康养生、旅居养老、康复疗养、</w:t>
      </w:r>
      <w:r>
        <w:rPr>
          <w:rFonts w:hint="eastAsia" w:ascii="仿宋_GB2312" w:hAnsi="仿宋_GB2312" w:eastAsia="仿宋_GB2312" w:cs="仿宋_GB2312"/>
          <w:color w:val="000000"/>
          <w:sz w:val="32"/>
          <w:szCs w:val="32"/>
          <w:lang w:eastAsia="zh-CN"/>
        </w:rPr>
        <w:t>特色</w:t>
      </w:r>
      <w:r>
        <w:rPr>
          <w:rFonts w:hint="eastAsia" w:ascii="仿宋_GB2312" w:hAnsi="仿宋_GB2312" w:eastAsia="仿宋_GB2312" w:cs="仿宋_GB2312"/>
          <w:color w:val="000000"/>
          <w:sz w:val="32"/>
          <w:szCs w:val="32"/>
        </w:rPr>
        <w:t>专科医院等。</w:t>
      </w:r>
    </w:p>
    <w:p>
      <w:pPr>
        <w:widowControl w:val="0"/>
        <w:wordWrap/>
        <w:snapToGri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人才引育。包括自治区级以上院士专家工作站、重点实验室、企业研发中心等。</w:t>
      </w:r>
    </w:p>
    <w:p>
      <w:pPr>
        <w:widowControl w:val="0"/>
        <w:wordWrap/>
        <w:snapToGri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八</w:t>
      </w:r>
      <w:r>
        <w:rPr>
          <w:rFonts w:hint="eastAsia" w:ascii="仿宋_GB2312" w:hAnsi="仿宋_GB2312" w:eastAsia="仿宋_GB2312" w:cs="仿宋_GB2312"/>
          <w:color w:val="000000"/>
          <w:sz w:val="32"/>
          <w:szCs w:val="32"/>
          <w:lang w:eastAsia="zh-CN"/>
        </w:rPr>
        <w:t>）绿色</w:t>
      </w:r>
      <w:r>
        <w:rPr>
          <w:rFonts w:hint="eastAsia" w:ascii="仿宋_GB2312" w:hAnsi="仿宋_GB2312" w:eastAsia="仿宋_GB2312" w:cs="仿宋_GB2312"/>
          <w:color w:val="000000"/>
          <w:sz w:val="32"/>
          <w:szCs w:val="32"/>
          <w:lang w:val="en-US" w:eastAsia="zh-CN"/>
        </w:rPr>
        <w:t>低碳产业。包括低碳节能、环保产业、环保材料、固体废弃物再生材料等。</w:t>
      </w:r>
    </w:p>
    <w:p>
      <w:pPr>
        <w:widowControl w:val="0"/>
        <w:wordWrap/>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九</w:t>
      </w:r>
      <w:r>
        <w:rPr>
          <w:rFonts w:hint="eastAsia" w:ascii="仿宋_GB2312" w:hAnsi="仿宋_GB2312" w:eastAsia="仿宋_GB2312" w:cs="仿宋_GB2312"/>
          <w:color w:val="000000"/>
          <w:sz w:val="32"/>
          <w:szCs w:val="32"/>
        </w:rPr>
        <w:t>）智能</w:t>
      </w:r>
      <w:r>
        <w:rPr>
          <w:rFonts w:hint="eastAsia" w:ascii="仿宋_GB2312" w:hAnsi="仿宋_GB2312" w:eastAsia="仿宋_GB2312" w:cs="仿宋_GB2312"/>
          <w:color w:val="000000"/>
          <w:sz w:val="32"/>
          <w:szCs w:val="32"/>
          <w:lang w:eastAsia="zh-CN"/>
        </w:rPr>
        <w:t>产业。包括高</w:t>
      </w:r>
      <w:r>
        <w:rPr>
          <w:rFonts w:hint="eastAsia" w:ascii="仿宋_GB2312" w:hAnsi="仿宋_GB2312" w:eastAsia="仿宋_GB2312" w:cs="仿宋_GB2312"/>
          <w:color w:val="000000"/>
          <w:sz w:val="32"/>
          <w:szCs w:val="32"/>
        </w:rPr>
        <w:t>新技术装备、新型能源装备、节能环保装备</w:t>
      </w:r>
      <w:r>
        <w:rPr>
          <w:rFonts w:hint="eastAsia" w:ascii="仿宋_GB2312" w:hAnsi="仿宋_GB2312" w:eastAsia="仿宋_GB2312" w:cs="仿宋_GB2312"/>
          <w:color w:val="000000"/>
          <w:sz w:val="32"/>
          <w:szCs w:val="32"/>
          <w:lang w:eastAsia="zh-CN"/>
        </w:rPr>
        <w:t>、氢能源应用项目等。</w:t>
      </w:r>
    </w:p>
    <w:p>
      <w:pPr>
        <w:widowControl w:val="0"/>
        <w:wordWrap/>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十</w:t>
      </w:r>
      <w:r>
        <w:rPr>
          <w:rFonts w:hint="eastAsia" w:ascii="仿宋_GB2312" w:hAnsi="仿宋_GB2312" w:eastAsia="仿宋_GB2312" w:cs="仿宋_GB2312"/>
          <w:color w:val="000000"/>
          <w:sz w:val="32"/>
          <w:szCs w:val="32"/>
          <w:lang w:eastAsia="zh-CN"/>
        </w:rPr>
        <w:t>）田园经济</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包括特色田园产业、园艺设计、田园综合体、生态产业、花卉生产等。</w:t>
      </w:r>
    </w:p>
    <w:p>
      <w:pPr>
        <w:widowControl w:val="0"/>
        <w:wordWrap/>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第三条</w:t>
      </w:r>
      <w:r>
        <w:rPr>
          <w:rFonts w:hint="eastAsia" w:ascii="仿宋_GB2312" w:hAnsi="仿宋_GB2312" w:eastAsia="仿宋_GB2312" w:cs="仿宋_GB2312"/>
          <w:color w:val="000000"/>
          <w:sz w:val="32"/>
          <w:szCs w:val="32"/>
          <w:lang w:val="en-US" w:eastAsia="zh-CN"/>
        </w:rPr>
        <w:t xml:space="preserve">  企业落户奖励。对在康巴什区新设立或新迁入康巴什区的总部企业，且首次实缴货币资本1000万元以上(含1000万元)，企业注册后第一个完整纳税年度，区本级贡献留成部分达到300万元、600万元、1000万元的，分别给予100万元、200万元、400万元落户奖励。3年内按照奖励总额的30%、30%、40%兑现。总部企业所获奖励金额的30%可用于对内部员工个人进行奖励。</w:t>
      </w:r>
    </w:p>
    <w:p>
      <w:pPr>
        <w:widowControl w:val="0"/>
        <w:numPr>
          <w:numId w:val="0"/>
        </w:numPr>
        <w:wordWrap/>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val="0"/>
          <w:bCs w:val="0"/>
          <w:color w:val="000000"/>
          <w:sz w:val="32"/>
          <w:szCs w:val="32"/>
        </w:rPr>
        <w:t>世界500强、中国500强、中国制造业500强、中国服务业500强、中国民营500强、</w:t>
      </w:r>
      <w:r>
        <w:rPr>
          <w:rFonts w:hint="eastAsia" w:ascii="仿宋_GB2312" w:hAnsi="仿宋_GB2312" w:eastAsia="仿宋_GB2312" w:cs="仿宋_GB2312"/>
          <w:b w:val="0"/>
          <w:bCs w:val="0"/>
          <w:color w:val="000000"/>
          <w:sz w:val="32"/>
          <w:szCs w:val="32"/>
          <w:lang w:eastAsia="zh-CN"/>
        </w:rPr>
        <w:t>中央企业、营业额超</w:t>
      </w:r>
      <w:r>
        <w:rPr>
          <w:rFonts w:hint="eastAsia" w:ascii="仿宋_GB2312" w:hAnsi="仿宋_GB2312" w:eastAsia="仿宋_GB2312" w:cs="仿宋_GB2312"/>
          <w:b w:val="0"/>
          <w:bCs w:val="0"/>
          <w:color w:val="000000"/>
          <w:sz w:val="32"/>
          <w:szCs w:val="32"/>
          <w:lang w:val="en-US" w:eastAsia="zh-CN"/>
        </w:rPr>
        <w:t>50亿美元（前三年平均数）的跨国公司、中国独角兽企业、中国制造业单项冠军企业在康巴什区新办独立法人机构的，</w:t>
      </w:r>
      <w:r>
        <w:rPr>
          <w:rFonts w:hint="eastAsia" w:ascii="仿宋_GB2312" w:hAnsi="仿宋_GB2312" w:eastAsia="仿宋_GB2312" w:cs="仿宋_GB2312"/>
          <w:b w:val="0"/>
          <w:bCs w:val="0"/>
          <w:color w:val="000000"/>
          <w:sz w:val="32"/>
          <w:szCs w:val="32"/>
          <w:lang w:eastAsia="zh-CN"/>
        </w:rPr>
        <w:t>按照“一事一议”予以奖励</w:t>
      </w:r>
      <w:r>
        <w:rPr>
          <w:rFonts w:hint="eastAsia" w:hAnsi="仿宋_GB2312" w:cs="仿宋_GB2312"/>
          <w:b w:val="0"/>
          <w:bCs w:val="0"/>
          <w:color w:val="000000"/>
          <w:sz w:val="32"/>
          <w:szCs w:val="32"/>
          <w:lang w:eastAsia="zh-CN"/>
        </w:rPr>
        <w:t>。</w:t>
      </w:r>
    </w:p>
    <w:p>
      <w:pPr>
        <w:widowControl w:val="0"/>
        <w:wordWrap/>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eastAsia="zh-CN"/>
        </w:rPr>
      </w:pPr>
      <w:r>
        <w:rPr>
          <w:rFonts w:hint="eastAsia" w:ascii="黑体" w:hAnsi="黑体" w:eastAsia="黑体" w:cs="黑体"/>
          <w:b w:val="0"/>
          <w:bCs w:val="0"/>
          <w:color w:val="000000"/>
          <w:sz w:val="32"/>
          <w:szCs w:val="32"/>
          <w:lang w:eastAsia="zh-CN"/>
        </w:rPr>
        <w:t>第四条</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lang w:eastAsia="zh-CN"/>
        </w:rPr>
        <w:t>投资奖励。对新引进且</w:t>
      </w:r>
      <w:r>
        <w:rPr>
          <w:rFonts w:hint="eastAsia" w:ascii="仿宋_GB2312" w:hAnsi="仿宋_GB2312" w:eastAsia="仿宋_GB2312" w:cs="仿宋_GB2312"/>
          <w:b w:val="0"/>
          <w:bCs w:val="0"/>
          <w:color w:val="000000"/>
          <w:sz w:val="32"/>
          <w:szCs w:val="32"/>
        </w:rPr>
        <w:t>符合本</w:t>
      </w:r>
      <w:r>
        <w:rPr>
          <w:rFonts w:hint="eastAsia" w:ascii="仿宋_GB2312" w:hAnsi="仿宋_GB2312" w:eastAsia="仿宋_GB2312" w:cs="仿宋_GB2312"/>
          <w:b w:val="0"/>
          <w:bCs w:val="0"/>
          <w:color w:val="000000"/>
          <w:sz w:val="32"/>
          <w:szCs w:val="32"/>
          <w:lang w:eastAsia="zh-CN"/>
        </w:rPr>
        <w:t>措施</w:t>
      </w:r>
      <w:r>
        <w:rPr>
          <w:rFonts w:hint="eastAsia" w:ascii="仿宋_GB2312" w:hAnsi="仿宋_GB2312" w:eastAsia="仿宋_GB2312" w:cs="仿宋_GB2312"/>
          <w:b w:val="0"/>
          <w:bCs w:val="0"/>
          <w:color w:val="000000"/>
          <w:sz w:val="32"/>
          <w:szCs w:val="32"/>
        </w:rPr>
        <w:t>第二条之规定的新办企业</w:t>
      </w:r>
      <w:r>
        <w:rPr>
          <w:rFonts w:hint="eastAsia" w:ascii="仿宋_GB2312" w:hAnsi="仿宋_GB2312" w:eastAsia="仿宋_GB2312" w:cs="仿宋_GB2312"/>
          <w:b w:val="0"/>
          <w:bCs w:val="0"/>
          <w:color w:val="000000"/>
          <w:sz w:val="32"/>
          <w:szCs w:val="32"/>
          <w:lang w:eastAsia="zh-CN"/>
        </w:rPr>
        <w:t>，自注册之日起2年内，生产型企业实际固定资产投资(不含土地挂牌费，不包括房地产类项目，下同)累计达到</w:t>
      </w:r>
      <w:r>
        <w:rPr>
          <w:rFonts w:hint="eastAsia" w:ascii="仿宋_GB2312" w:hAnsi="仿宋_GB2312" w:eastAsia="仿宋_GB2312" w:cs="仿宋_GB2312"/>
          <w:b w:val="0"/>
          <w:bCs w:val="0"/>
          <w:color w:val="000000"/>
          <w:sz w:val="32"/>
          <w:szCs w:val="32"/>
          <w:lang w:val="en-US" w:eastAsia="zh-CN"/>
        </w:rPr>
        <w:t>1000万</w:t>
      </w:r>
      <w:r>
        <w:rPr>
          <w:rFonts w:hint="eastAsia" w:ascii="仿宋_GB2312" w:hAnsi="仿宋_GB2312" w:eastAsia="仿宋_GB2312" w:cs="仿宋_GB2312"/>
          <w:b w:val="0"/>
          <w:bCs w:val="0"/>
          <w:color w:val="000000"/>
          <w:sz w:val="32"/>
          <w:szCs w:val="32"/>
          <w:lang w:eastAsia="zh-CN"/>
        </w:rPr>
        <w:t>以上(以第三方机构出具的相关报告为准，下同)的以及</w:t>
      </w:r>
      <w:r>
        <w:rPr>
          <w:rFonts w:hint="eastAsia" w:ascii="仿宋_GB2312" w:hAnsi="仿宋_GB2312" w:eastAsia="仿宋_GB2312" w:cs="仿宋_GB2312"/>
          <w:color w:val="000000"/>
          <w:sz w:val="32"/>
          <w:szCs w:val="32"/>
        </w:rPr>
        <w:t>非生产型企业总投资</w:t>
      </w:r>
      <w:r>
        <w:rPr>
          <w:rFonts w:hint="eastAsia" w:ascii="仿宋_GB2312" w:hAnsi="仿宋_GB2312" w:eastAsia="仿宋_GB2312" w:cs="仿宋_GB2312"/>
          <w:color w:val="000000"/>
          <w:sz w:val="32"/>
          <w:szCs w:val="32"/>
          <w:lang w:eastAsia="zh-CN"/>
        </w:rPr>
        <w:t>累计</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00万元以上的</w:t>
      </w:r>
      <w:r>
        <w:rPr>
          <w:rFonts w:hint="eastAsia" w:ascii="仿宋_GB2312" w:hAnsi="仿宋_GB2312" w:eastAsia="仿宋_GB2312" w:cs="仿宋_GB2312"/>
          <w:b w:val="0"/>
          <w:bCs w:val="0"/>
          <w:color w:val="000000"/>
          <w:sz w:val="32"/>
          <w:szCs w:val="32"/>
          <w:lang w:eastAsia="zh-CN"/>
        </w:rPr>
        <w:t>，按其实际投资额的0.5%给予企业一次性奖励，单户企业奖励金额最高不超过</w:t>
      </w:r>
      <w:r>
        <w:rPr>
          <w:rFonts w:hint="eastAsia" w:ascii="仿宋_GB2312" w:hAnsi="仿宋_GB2312" w:eastAsia="仿宋_GB2312" w:cs="仿宋_GB2312"/>
          <w:b w:val="0"/>
          <w:bCs w:val="0"/>
          <w:color w:val="000000"/>
          <w:sz w:val="32"/>
          <w:szCs w:val="32"/>
          <w:lang w:val="en-US" w:eastAsia="zh-CN"/>
        </w:rPr>
        <w:t>2</w:t>
      </w:r>
      <w:r>
        <w:rPr>
          <w:rFonts w:hint="eastAsia" w:ascii="仿宋_GB2312" w:hAnsi="仿宋_GB2312" w:eastAsia="仿宋_GB2312" w:cs="仿宋_GB2312"/>
          <w:b w:val="0"/>
          <w:bCs w:val="0"/>
          <w:color w:val="000000"/>
          <w:sz w:val="32"/>
          <w:szCs w:val="32"/>
          <w:lang w:eastAsia="zh-CN"/>
        </w:rPr>
        <w:t>00万元。</w:t>
      </w:r>
    </w:p>
    <w:p>
      <w:pPr>
        <w:pStyle w:val="4"/>
        <w:widowControl/>
        <w:numPr>
          <w:numId w:val="0"/>
        </w:numPr>
        <w:shd w:val="clear" w:color="auto" w:fill="FFFFFF"/>
        <w:spacing w:line="560" w:lineRule="exact"/>
        <w:jc w:val="both"/>
        <w:rPr>
          <w:rFonts w:hint="eastAsia" w:ascii="仿宋_GB2312" w:hAnsi="仿宋_GB2312" w:eastAsia="仿宋_GB2312" w:cs="仿宋_GB2312"/>
          <w:color w:val="000000"/>
          <w:kern w:val="2"/>
          <w:sz w:val="32"/>
          <w:szCs w:val="32"/>
          <w:lang w:eastAsia="zh-CN"/>
        </w:rPr>
      </w:pPr>
      <w:r>
        <w:rPr>
          <w:rFonts w:hint="eastAsia" w:ascii="黑体" w:hAnsi="黑体" w:eastAsia="黑体" w:cs="黑体"/>
          <w:b w:val="0"/>
          <w:bCs w:val="0"/>
          <w:color w:val="000000"/>
          <w:sz w:val="32"/>
          <w:szCs w:val="32"/>
          <w:lang w:val="en-US" w:eastAsia="zh-CN"/>
        </w:rPr>
        <w:t xml:space="preserve">    第五条  </w:t>
      </w:r>
      <w:r>
        <w:rPr>
          <w:rFonts w:hint="eastAsia" w:ascii="仿宋_GB2312" w:hAnsi="仿宋_GB2312" w:eastAsia="仿宋_GB2312" w:cs="仿宋_GB2312"/>
          <w:b w:val="0"/>
          <w:bCs w:val="0"/>
          <w:color w:val="000000"/>
          <w:sz w:val="32"/>
          <w:szCs w:val="32"/>
          <w:lang w:val="en-US" w:eastAsia="zh-CN"/>
        </w:rPr>
        <w:t>人才及高管奖励。企业引进的高层次人才</w:t>
      </w:r>
      <w:r>
        <w:rPr>
          <w:rFonts w:hint="default" w:ascii="仿宋_GB2312" w:hAnsi="仿宋_GB2312" w:eastAsia="仿宋_GB2312" w:cs="仿宋_GB2312"/>
          <w:color w:val="000000"/>
          <w:kern w:val="2"/>
          <w:sz w:val="32"/>
          <w:szCs w:val="32"/>
        </w:rPr>
        <w:t>按照</w:t>
      </w:r>
      <w:r>
        <w:rPr>
          <w:rFonts w:hint="eastAsia" w:ascii="仿宋_GB2312" w:hAnsi="仿宋_GB2312" w:eastAsia="仿宋_GB2312" w:cs="仿宋_GB2312"/>
          <w:color w:val="000000"/>
          <w:kern w:val="2"/>
          <w:sz w:val="32"/>
          <w:szCs w:val="32"/>
          <w:lang w:eastAsia="zh-CN"/>
        </w:rPr>
        <w:t>市、区两级</w:t>
      </w:r>
      <w:r>
        <w:rPr>
          <w:rFonts w:hint="default" w:ascii="仿宋_GB2312" w:hAnsi="仿宋_GB2312" w:eastAsia="仿宋_GB2312" w:cs="仿宋_GB2312"/>
          <w:color w:val="000000"/>
          <w:kern w:val="2"/>
          <w:sz w:val="32"/>
          <w:szCs w:val="32"/>
        </w:rPr>
        <w:t>的相关政策执行。</w:t>
      </w:r>
      <w:r>
        <w:rPr>
          <w:rFonts w:hint="eastAsia" w:ascii="仿宋_GB2312" w:hAnsi="仿宋_GB2312" w:eastAsia="仿宋_GB2312" w:cs="仿宋_GB2312"/>
          <w:color w:val="000000"/>
          <w:kern w:val="2"/>
          <w:sz w:val="32"/>
          <w:szCs w:val="32"/>
          <w:lang w:eastAsia="zh-CN"/>
        </w:rPr>
        <w:t>高层次人才及高管子女在康巴什区入园、义务教育阶段入学，</w:t>
      </w:r>
      <w:r>
        <w:rPr>
          <w:rFonts w:hint="eastAsia" w:ascii="仿宋_GB2312" w:hAnsi="仿宋_GB2312" w:eastAsia="仿宋_GB2312" w:cs="仿宋_GB2312"/>
          <w:color w:val="000000"/>
          <w:kern w:val="2"/>
          <w:sz w:val="32"/>
          <w:szCs w:val="32"/>
          <w:lang w:val="en-US" w:eastAsia="zh-CN"/>
        </w:rPr>
        <w:t>享受康巴什区户籍常住人口子女同等入学待遇，</w:t>
      </w:r>
      <w:r>
        <w:rPr>
          <w:rFonts w:hint="eastAsia" w:ascii="仿宋_GB2312" w:hAnsi="仿宋_GB2312" w:eastAsia="仿宋_GB2312" w:cs="仿宋_GB2312"/>
          <w:color w:val="000000"/>
          <w:kern w:val="2"/>
          <w:sz w:val="32"/>
          <w:szCs w:val="32"/>
          <w:lang w:eastAsia="zh-CN"/>
        </w:rPr>
        <w:t>按照就近就便的原则安排到质量较好的学校。</w:t>
      </w:r>
    </w:p>
    <w:p>
      <w:pPr>
        <w:widowControl w:val="0"/>
        <w:wordWrap/>
        <w:snapToGrid/>
        <w:spacing w:line="560" w:lineRule="exact"/>
        <w:ind w:firstLine="640" w:firstLineChars="200"/>
        <w:textAlignment w:val="auto"/>
        <w:rPr>
          <w:rFonts w:hint="eastAsia" w:ascii="仿宋_GB2312" w:hAnsi="仿宋_GB2312" w:eastAsia="仿宋_GB2312" w:cs="仿宋_GB2312"/>
          <w:bCs/>
          <w:color w:val="000000"/>
          <w:kern w:val="0"/>
          <w:sz w:val="32"/>
          <w:szCs w:val="32"/>
          <w:lang w:val="en-US" w:eastAsia="zh-CN"/>
        </w:rPr>
      </w:pPr>
      <w:r>
        <w:rPr>
          <w:rFonts w:hint="eastAsia" w:ascii="黑体" w:hAnsi="黑体" w:eastAsia="黑体" w:cs="黑体"/>
          <w:b w:val="0"/>
          <w:bCs w:val="0"/>
          <w:color w:val="000000"/>
          <w:sz w:val="32"/>
          <w:szCs w:val="32"/>
        </w:rPr>
        <w:t>第</w:t>
      </w:r>
      <w:r>
        <w:rPr>
          <w:rFonts w:hint="eastAsia" w:ascii="黑体" w:hAnsi="黑体" w:eastAsia="黑体" w:cs="黑体"/>
          <w:b w:val="0"/>
          <w:bCs w:val="0"/>
          <w:color w:val="000000"/>
          <w:sz w:val="32"/>
          <w:szCs w:val="32"/>
          <w:lang w:eastAsia="zh-CN"/>
        </w:rPr>
        <w:t>六</w:t>
      </w:r>
      <w:r>
        <w:rPr>
          <w:rFonts w:hint="eastAsia" w:ascii="黑体" w:hAnsi="黑体" w:eastAsia="黑体" w:cs="黑体"/>
          <w:b w:val="0"/>
          <w:bCs w:val="0"/>
          <w:color w:val="000000"/>
          <w:sz w:val="32"/>
          <w:szCs w:val="32"/>
        </w:rPr>
        <w:t>条</w:t>
      </w:r>
      <w:r>
        <w:rPr>
          <w:rFonts w:hint="eastAsia" w:ascii="仿宋_GB2312" w:hAnsi="仿宋_GB2312" w:eastAsia="仿宋_GB2312" w:cs="仿宋_GB2312"/>
          <w:b w:val="0"/>
          <w:bCs w:val="0"/>
          <w:color w:val="000000"/>
          <w:sz w:val="32"/>
          <w:szCs w:val="32"/>
          <w:lang w:val="en-US" w:eastAsia="zh-CN"/>
        </w:rPr>
        <w:t xml:space="preserve">  招商中介奖励。</w:t>
      </w:r>
      <w:r>
        <w:rPr>
          <w:rFonts w:hint="eastAsia" w:ascii="仿宋_GB2312" w:hAnsi="仿宋_GB2312" w:eastAsia="仿宋_GB2312" w:cs="仿宋_GB2312"/>
          <w:b w:val="0"/>
          <w:bCs w:val="0"/>
          <w:color w:val="000000"/>
          <w:sz w:val="32"/>
          <w:szCs w:val="32"/>
        </w:rPr>
        <w:t>鼓励投资促进机构、国际国内知名咨询服务机构、地区级以上行业协会</w:t>
      </w:r>
      <w:r>
        <w:rPr>
          <w:rFonts w:hint="eastAsia" w:ascii="仿宋_GB2312" w:hAnsi="仿宋_GB2312" w:eastAsia="仿宋_GB2312" w:cs="仿宋_GB2312"/>
          <w:b w:val="0"/>
          <w:bCs w:val="0"/>
          <w:color w:val="000000"/>
          <w:sz w:val="32"/>
          <w:szCs w:val="32"/>
          <w:lang w:eastAsia="zh-CN"/>
        </w:rPr>
        <w:t>、商会</w:t>
      </w:r>
      <w:r>
        <w:rPr>
          <w:rFonts w:hint="eastAsia" w:ascii="仿宋_GB2312" w:hAnsi="仿宋_GB2312" w:eastAsia="仿宋_GB2312" w:cs="仿宋_GB2312"/>
          <w:b w:val="0"/>
          <w:bCs w:val="0"/>
          <w:color w:val="000000"/>
          <w:sz w:val="32"/>
          <w:szCs w:val="32"/>
        </w:rPr>
        <w:t>等专业第三方机构就重大项目引进、招商信息推送、大型营销活动协办、小分队招商活动协办、招商咨询服务等事宜与</w:t>
      </w:r>
      <w:r>
        <w:rPr>
          <w:rFonts w:hint="eastAsia" w:ascii="仿宋_GB2312" w:hAnsi="仿宋_GB2312" w:eastAsia="仿宋_GB2312" w:cs="仿宋_GB2312"/>
          <w:b w:val="0"/>
          <w:bCs w:val="0"/>
          <w:color w:val="000000"/>
          <w:sz w:val="32"/>
          <w:szCs w:val="32"/>
          <w:lang w:eastAsia="zh-CN"/>
        </w:rPr>
        <w:t>康巴什</w:t>
      </w:r>
      <w:r>
        <w:rPr>
          <w:rFonts w:hint="eastAsia" w:ascii="仿宋_GB2312" w:hAnsi="仿宋_GB2312" w:eastAsia="仿宋_GB2312" w:cs="仿宋_GB2312"/>
          <w:b w:val="0"/>
          <w:bCs w:val="0"/>
          <w:color w:val="000000"/>
          <w:sz w:val="32"/>
          <w:szCs w:val="32"/>
        </w:rPr>
        <w:t>区开展</w:t>
      </w:r>
      <w:r>
        <w:rPr>
          <w:rFonts w:hint="eastAsia" w:ascii="仿宋_GB2312" w:hAnsi="仿宋_GB2312" w:eastAsia="仿宋_GB2312" w:cs="仿宋_GB2312"/>
          <w:b w:val="0"/>
          <w:bCs w:val="0"/>
          <w:color w:val="000000"/>
          <w:sz w:val="32"/>
          <w:szCs w:val="32"/>
          <w:lang w:eastAsia="zh-CN"/>
        </w:rPr>
        <w:t>招商引资</w:t>
      </w:r>
      <w:r>
        <w:rPr>
          <w:rFonts w:hint="eastAsia" w:ascii="仿宋_GB2312" w:hAnsi="仿宋_GB2312" w:eastAsia="仿宋_GB2312" w:cs="仿宋_GB2312"/>
          <w:b w:val="0"/>
          <w:bCs w:val="0"/>
          <w:color w:val="000000"/>
          <w:sz w:val="32"/>
          <w:szCs w:val="32"/>
        </w:rPr>
        <w:t>合作，企业（项目）落成后，</w:t>
      </w:r>
      <w:r>
        <w:rPr>
          <w:rFonts w:hint="eastAsia" w:ascii="仿宋_GB2312" w:hAnsi="仿宋_GB2312" w:eastAsia="仿宋_GB2312" w:cs="仿宋_GB2312"/>
          <w:b w:val="0"/>
          <w:bCs w:val="0"/>
          <w:color w:val="000000"/>
          <w:sz w:val="32"/>
          <w:szCs w:val="32"/>
          <w:lang w:eastAsia="zh-CN"/>
        </w:rPr>
        <w:t>根据</w:t>
      </w:r>
      <w:r>
        <w:rPr>
          <w:rFonts w:hint="eastAsia" w:ascii="仿宋_GB2312" w:hAnsi="仿宋_GB2312" w:eastAsia="仿宋_GB2312" w:cs="仿宋_GB2312"/>
          <w:b w:val="0"/>
          <w:bCs w:val="0"/>
          <w:color w:val="000000"/>
          <w:sz w:val="32"/>
          <w:szCs w:val="32"/>
        </w:rPr>
        <w:t>其</w:t>
      </w:r>
      <w:r>
        <w:rPr>
          <w:rFonts w:hint="eastAsia" w:ascii="仿宋_GB2312" w:hAnsi="仿宋_GB2312" w:eastAsia="仿宋_GB2312" w:cs="仿宋_GB2312"/>
          <w:b w:val="0"/>
          <w:bCs w:val="0"/>
          <w:color w:val="000000"/>
          <w:sz w:val="32"/>
          <w:szCs w:val="32"/>
          <w:lang w:eastAsia="zh-CN"/>
        </w:rPr>
        <w:t>引导落地企业（项目）正常经营起一个完整纳税年度在康巴什</w:t>
      </w:r>
      <w:r>
        <w:rPr>
          <w:rFonts w:hint="eastAsia" w:ascii="仿宋_GB2312" w:hAnsi="仿宋_GB2312" w:eastAsia="仿宋_GB2312" w:cs="仿宋_GB2312"/>
          <w:b w:val="0"/>
          <w:bCs w:val="0"/>
          <w:color w:val="000000"/>
          <w:sz w:val="32"/>
          <w:szCs w:val="32"/>
        </w:rPr>
        <w:t>区本级贡献留成部分为参照数，</w:t>
      </w:r>
      <w:r>
        <w:rPr>
          <w:rFonts w:hint="eastAsia" w:ascii="仿宋_GB2312" w:hAnsi="仿宋_GB2312" w:eastAsia="仿宋_GB2312" w:cs="仿宋_GB2312"/>
          <w:b w:val="0"/>
          <w:bCs w:val="0"/>
          <w:color w:val="000000"/>
          <w:sz w:val="32"/>
          <w:szCs w:val="32"/>
          <w:lang w:eastAsia="zh-CN"/>
        </w:rPr>
        <w:t>一次性</w:t>
      </w:r>
      <w:r>
        <w:rPr>
          <w:rFonts w:hint="eastAsia" w:ascii="仿宋_GB2312" w:hAnsi="仿宋_GB2312" w:eastAsia="仿宋_GB2312" w:cs="仿宋_GB2312"/>
          <w:b w:val="0"/>
          <w:bCs w:val="0"/>
          <w:color w:val="000000"/>
          <w:sz w:val="32"/>
          <w:szCs w:val="32"/>
        </w:rPr>
        <w:t>给予</w:t>
      </w:r>
      <w:r>
        <w:rPr>
          <w:rFonts w:hint="eastAsia" w:ascii="仿宋_GB2312" w:hAnsi="仿宋_GB2312" w:eastAsia="仿宋_GB2312" w:cs="仿宋_GB2312"/>
          <w:b w:val="0"/>
          <w:bCs w:val="0"/>
          <w:color w:val="000000"/>
          <w:sz w:val="32"/>
          <w:szCs w:val="32"/>
          <w:lang w:val="en-US" w:eastAsia="zh-CN"/>
        </w:rPr>
        <w:t>2%</w:t>
      </w:r>
      <w:r>
        <w:rPr>
          <w:rFonts w:hint="eastAsia" w:ascii="仿宋_GB2312" w:hAnsi="仿宋_GB2312" w:eastAsia="仿宋_GB2312" w:cs="仿宋_GB2312"/>
          <w:b w:val="0"/>
          <w:bCs w:val="0"/>
          <w:color w:val="000000"/>
          <w:sz w:val="32"/>
          <w:szCs w:val="32"/>
          <w:lang w:eastAsia="zh-CN"/>
        </w:rPr>
        <w:t>奖励，单户企业</w:t>
      </w:r>
      <w:r>
        <w:rPr>
          <w:rFonts w:hint="eastAsia" w:ascii="仿宋_GB2312" w:hAnsi="仿宋_GB2312" w:eastAsia="仿宋_GB2312" w:cs="仿宋_GB2312"/>
          <w:b w:val="0"/>
          <w:bCs w:val="0"/>
          <w:color w:val="000000"/>
          <w:sz w:val="32"/>
          <w:szCs w:val="32"/>
        </w:rPr>
        <w:t>（项目）</w:t>
      </w:r>
      <w:r>
        <w:rPr>
          <w:rFonts w:hint="eastAsia" w:ascii="仿宋_GB2312" w:hAnsi="仿宋_GB2312" w:eastAsia="仿宋_GB2312" w:cs="仿宋_GB2312"/>
          <w:b w:val="0"/>
          <w:bCs w:val="0"/>
          <w:color w:val="000000"/>
          <w:sz w:val="32"/>
          <w:szCs w:val="32"/>
          <w:lang w:eastAsia="zh-CN"/>
        </w:rPr>
        <w:t>奖励金额最高不超过</w:t>
      </w:r>
      <w:r>
        <w:rPr>
          <w:rFonts w:hint="eastAsia" w:ascii="仿宋_GB2312" w:hAnsi="仿宋_GB2312" w:eastAsia="仿宋_GB2312" w:cs="仿宋_GB2312"/>
          <w:b w:val="0"/>
          <w:bCs w:val="0"/>
          <w:color w:val="000000"/>
          <w:sz w:val="32"/>
          <w:szCs w:val="32"/>
          <w:lang w:val="en-US" w:eastAsia="zh-CN"/>
        </w:rPr>
        <w:t>20万元</w:t>
      </w:r>
      <w:r>
        <w:rPr>
          <w:rFonts w:hint="eastAsia" w:ascii="仿宋_GB2312" w:hAnsi="仿宋_GB2312" w:eastAsia="仿宋_GB2312" w:cs="仿宋_GB2312"/>
          <w:b w:val="0"/>
          <w:bCs w:val="0"/>
          <w:color w:val="000000"/>
          <w:sz w:val="32"/>
          <w:szCs w:val="32"/>
          <w:lang w:eastAsia="zh-CN"/>
        </w:rPr>
        <w:t>。</w:t>
      </w:r>
    </w:p>
    <w:p>
      <w:pPr>
        <w:widowControl w:val="0"/>
        <w:wordWrap/>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rPr>
        <w:t>第</w:t>
      </w:r>
      <w:r>
        <w:rPr>
          <w:rFonts w:hint="eastAsia" w:ascii="黑体" w:hAnsi="黑体" w:eastAsia="黑体" w:cs="黑体"/>
          <w:b w:val="0"/>
          <w:bCs w:val="0"/>
          <w:color w:val="000000"/>
          <w:sz w:val="32"/>
          <w:szCs w:val="32"/>
          <w:lang w:eastAsia="zh-CN"/>
        </w:rPr>
        <w:t>七</w:t>
      </w:r>
      <w:r>
        <w:rPr>
          <w:rFonts w:hint="eastAsia" w:ascii="黑体" w:hAnsi="黑体" w:eastAsia="黑体" w:cs="黑体"/>
          <w:b w:val="0"/>
          <w:bCs w:val="0"/>
          <w:color w:val="000000"/>
          <w:sz w:val="32"/>
          <w:szCs w:val="32"/>
        </w:rPr>
        <w:t>条</w:t>
      </w:r>
      <w:r>
        <w:rPr>
          <w:rFonts w:hint="eastAsia" w:ascii="仿宋_GB2312" w:hAnsi="仿宋_GB2312" w:eastAsia="仿宋_GB2312" w:cs="仿宋_GB2312"/>
          <w:b w:val="0"/>
          <w:bCs w:val="0"/>
          <w:color w:val="000000"/>
          <w:sz w:val="32"/>
          <w:szCs w:val="32"/>
          <w:lang w:val="en-US" w:eastAsia="zh-CN"/>
        </w:rPr>
        <w:t xml:space="preserve">  用工</w:t>
      </w:r>
      <w:r>
        <w:rPr>
          <w:rFonts w:hint="eastAsia" w:ascii="仿宋_GB2312" w:hAnsi="仿宋_GB2312" w:eastAsia="仿宋_GB2312" w:cs="仿宋_GB2312"/>
          <w:b w:val="0"/>
          <w:bCs w:val="0"/>
          <w:color w:val="000000"/>
          <w:sz w:val="32"/>
          <w:szCs w:val="32"/>
          <w:highlight w:val="none"/>
          <w:lang w:val="en-US" w:eastAsia="zh-CN"/>
        </w:rPr>
        <w:t>奖励</w:t>
      </w:r>
      <w:r>
        <w:rPr>
          <w:rFonts w:hint="eastAsia" w:ascii="仿宋_GB2312" w:hAnsi="仿宋_GB2312" w:eastAsia="仿宋_GB2312" w:cs="仿宋_GB2312"/>
          <w:b w:val="0"/>
          <w:bCs w:val="0"/>
          <w:color w:val="000000"/>
          <w:sz w:val="32"/>
          <w:szCs w:val="32"/>
          <w:lang w:val="en-US" w:eastAsia="zh-CN"/>
        </w:rPr>
        <w:t>。对新引进企业与员工签订一年以上劳动合同且由用工企业在康巴什区足额缴纳社会保险的，吸纳就业人数达到20人以上，按照人才等级及类别，对取得对口专业的高级职称(高级技师)、中级职称(技师)的用工企业分别给予3000元/人/月、2000元/人/月</w:t>
      </w:r>
      <w:r>
        <w:rPr>
          <w:rFonts w:hint="eastAsia" w:ascii="仿宋_GB2312" w:hAnsi="仿宋_GB2312" w:eastAsia="仿宋_GB2312" w:cs="仿宋_GB2312"/>
          <w:b w:val="0"/>
          <w:bCs w:val="0"/>
          <w:color w:val="000000"/>
          <w:sz w:val="32"/>
          <w:szCs w:val="32"/>
          <w:highlight w:val="none"/>
          <w:lang w:val="en-US" w:eastAsia="zh-CN"/>
        </w:rPr>
        <w:t>奖励</w:t>
      </w:r>
      <w:r>
        <w:rPr>
          <w:rFonts w:hint="eastAsia" w:ascii="仿宋_GB2312" w:hAnsi="仿宋_GB2312" w:eastAsia="仿宋_GB2312" w:cs="仿宋_GB2312"/>
          <w:b w:val="0"/>
          <w:bCs w:val="0"/>
          <w:color w:val="000000"/>
          <w:sz w:val="32"/>
          <w:szCs w:val="32"/>
          <w:lang w:val="en-US" w:eastAsia="zh-CN"/>
        </w:rPr>
        <w:t>。单户企业累计</w:t>
      </w:r>
      <w:r>
        <w:rPr>
          <w:rFonts w:hint="eastAsia" w:ascii="仿宋_GB2312" w:hAnsi="仿宋_GB2312" w:eastAsia="仿宋_GB2312" w:cs="仿宋_GB2312"/>
          <w:b w:val="0"/>
          <w:bCs w:val="0"/>
          <w:color w:val="000000"/>
          <w:sz w:val="32"/>
          <w:szCs w:val="32"/>
          <w:highlight w:val="none"/>
          <w:lang w:val="en-US" w:eastAsia="zh-CN"/>
        </w:rPr>
        <w:t>奖励</w:t>
      </w:r>
      <w:r>
        <w:rPr>
          <w:rFonts w:hint="eastAsia" w:ascii="仿宋_GB2312" w:hAnsi="仿宋_GB2312" w:eastAsia="仿宋_GB2312" w:cs="仿宋_GB2312"/>
          <w:b w:val="0"/>
          <w:bCs w:val="0"/>
          <w:color w:val="000000"/>
          <w:sz w:val="32"/>
          <w:szCs w:val="32"/>
          <w:lang w:val="en-US" w:eastAsia="zh-CN"/>
        </w:rPr>
        <w:t>不超过三年，每年最多</w:t>
      </w:r>
      <w:r>
        <w:rPr>
          <w:rFonts w:hint="eastAsia" w:ascii="仿宋_GB2312" w:hAnsi="仿宋_GB2312" w:eastAsia="仿宋_GB2312" w:cs="仿宋_GB2312"/>
          <w:b w:val="0"/>
          <w:bCs w:val="0"/>
          <w:color w:val="000000"/>
          <w:sz w:val="32"/>
          <w:szCs w:val="32"/>
          <w:highlight w:val="none"/>
          <w:lang w:val="en-US" w:eastAsia="zh-CN"/>
        </w:rPr>
        <w:t>奖励</w:t>
      </w:r>
      <w:r>
        <w:rPr>
          <w:rFonts w:hint="eastAsia" w:ascii="仿宋_GB2312" w:hAnsi="仿宋_GB2312" w:eastAsia="仿宋_GB2312" w:cs="仿宋_GB2312"/>
          <w:b w:val="0"/>
          <w:bCs w:val="0"/>
          <w:color w:val="000000"/>
          <w:sz w:val="32"/>
          <w:szCs w:val="32"/>
          <w:lang w:val="en-US" w:eastAsia="zh-CN"/>
        </w:rPr>
        <w:t>50人。</w:t>
      </w:r>
    </w:p>
    <w:p>
      <w:pPr>
        <w:pStyle w:val="4"/>
        <w:widowControl/>
        <w:shd w:val="clear" w:color="auto" w:fill="FFFFFF"/>
        <w:spacing w:line="560" w:lineRule="exact"/>
        <w:ind w:firstLine="640" w:firstLineChars="200"/>
        <w:jc w:val="both"/>
        <w:rPr>
          <w:rFonts w:hint="eastAsia" w:ascii="仿宋_GB2312" w:hAnsi="仿宋_GB2312" w:eastAsia="仿宋_GB2312" w:cs="仿宋_GB2312"/>
          <w:b w:val="0"/>
          <w:bCs w:val="0"/>
          <w:color w:val="000000"/>
          <w:sz w:val="32"/>
          <w:szCs w:val="32"/>
        </w:rPr>
      </w:pPr>
      <w:r>
        <w:rPr>
          <w:rFonts w:hint="eastAsia" w:ascii="黑体" w:hAnsi="黑体" w:eastAsia="黑体" w:cs="黑体"/>
          <w:color w:val="000000"/>
          <w:kern w:val="2"/>
          <w:sz w:val="32"/>
          <w:szCs w:val="32"/>
          <w:lang w:eastAsia="zh-CN"/>
        </w:rPr>
        <w:t>第八条</w:t>
      </w:r>
      <w:r>
        <w:rPr>
          <w:rFonts w:hint="eastAsia" w:ascii="仿宋_GB2312" w:hAnsi="仿宋_GB2312" w:eastAsia="仿宋_GB2312" w:cs="仿宋_GB2312"/>
          <w:color w:val="000000"/>
          <w:kern w:val="2"/>
          <w:sz w:val="32"/>
          <w:szCs w:val="32"/>
          <w:lang w:val="en-US" w:eastAsia="zh-CN"/>
        </w:rPr>
        <w:t xml:space="preserve">  </w:t>
      </w:r>
      <w:r>
        <w:rPr>
          <w:rFonts w:hint="eastAsia" w:ascii="仿宋_GB2312" w:hAnsi="仿宋_GB2312" w:eastAsia="仿宋_GB2312" w:cs="仿宋_GB2312"/>
          <w:b w:val="0"/>
          <w:bCs w:val="0"/>
          <w:color w:val="000000"/>
          <w:sz w:val="32"/>
          <w:szCs w:val="32"/>
          <w:lang w:val="en-US" w:eastAsia="zh-CN"/>
        </w:rPr>
        <w:t>购房租房</w:t>
      </w:r>
      <w:r>
        <w:rPr>
          <w:rFonts w:hint="eastAsia" w:ascii="仿宋_GB2312" w:hAnsi="仿宋_GB2312" w:eastAsia="仿宋_GB2312" w:cs="仿宋_GB2312"/>
          <w:b w:val="0"/>
          <w:bCs w:val="0"/>
          <w:color w:val="000000"/>
          <w:sz w:val="32"/>
          <w:szCs w:val="32"/>
          <w:highlight w:val="none"/>
          <w:lang w:val="en-US" w:eastAsia="zh-CN"/>
        </w:rPr>
        <w:t>奖励</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rPr>
        <w:t>符合本</w:t>
      </w:r>
      <w:r>
        <w:rPr>
          <w:rFonts w:hint="eastAsia" w:ascii="仿宋_GB2312" w:hAnsi="仿宋_GB2312" w:eastAsia="仿宋_GB2312" w:cs="仿宋_GB2312"/>
          <w:b w:val="0"/>
          <w:bCs w:val="0"/>
          <w:color w:val="000000"/>
          <w:sz w:val="32"/>
          <w:szCs w:val="32"/>
          <w:lang w:eastAsia="zh-CN"/>
        </w:rPr>
        <w:t>措施</w:t>
      </w:r>
      <w:r>
        <w:rPr>
          <w:rFonts w:hint="eastAsia" w:ascii="仿宋_GB2312" w:hAnsi="仿宋_GB2312" w:eastAsia="仿宋_GB2312" w:cs="仿宋_GB2312"/>
          <w:b w:val="0"/>
          <w:bCs w:val="0"/>
          <w:color w:val="000000"/>
          <w:sz w:val="32"/>
          <w:szCs w:val="32"/>
        </w:rPr>
        <w:t>第二</w:t>
      </w:r>
      <w:r>
        <w:rPr>
          <w:rFonts w:hint="eastAsia" w:ascii="仿宋_GB2312" w:hAnsi="仿宋_GB2312" w:eastAsia="仿宋_GB2312" w:cs="仿宋_GB2312"/>
          <w:b w:val="0"/>
          <w:bCs w:val="0"/>
          <w:color w:val="000000"/>
          <w:sz w:val="32"/>
          <w:szCs w:val="32"/>
          <w:lang w:eastAsia="zh-CN"/>
        </w:rPr>
        <w:t>、三</w:t>
      </w:r>
      <w:r>
        <w:rPr>
          <w:rFonts w:hint="eastAsia" w:ascii="仿宋_GB2312" w:hAnsi="仿宋_GB2312" w:eastAsia="仿宋_GB2312" w:cs="仿宋_GB2312"/>
          <w:b w:val="0"/>
          <w:bCs w:val="0"/>
          <w:color w:val="000000"/>
          <w:sz w:val="32"/>
          <w:szCs w:val="32"/>
        </w:rPr>
        <w:t>条之规定的新办企业以及经康巴什区</w:t>
      </w:r>
      <w:r>
        <w:rPr>
          <w:rFonts w:ascii="仿宋_GB2312" w:hAnsi="仿宋_GB2312" w:eastAsia="仿宋_GB2312" w:cs="仿宋_GB2312"/>
          <w:color w:val="000000"/>
          <w:sz w:val="32"/>
          <w:szCs w:val="32"/>
        </w:rPr>
        <w:t>人民</w:t>
      </w:r>
      <w:r>
        <w:rPr>
          <w:rFonts w:hint="eastAsia" w:ascii="仿宋_GB2312" w:hAnsi="仿宋_GB2312" w:eastAsia="仿宋_GB2312" w:cs="仿宋_GB2312"/>
          <w:b w:val="0"/>
          <w:bCs w:val="0"/>
          <w:color w:val="000000"/>
          <w:sz w:val="32"/>
          <w:szCs w:val="32"/>
        </w:rPr>
        <w:t>政府认定的重点优势企业，在符合相关法律法规及政策条件的前提下，新购置办公用房的(不包括经营用房)</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给予一次性购房</w:t>
      </w:r>
      <w:r>
        <w:rPr>
          <w:rFonts w:hint="eastAsia" w:ascii="仿宋_GB2312" w:hAnsi="仿宋_GB2312" w:eastAsia="仿宋_GB2312" w:cs="仿宋_GB2312"/>
          <w:b w:val="0"/>
          <w:bCs w:val="0"/>
          <w:color w:val="000000"/>
          <w:sz w:val="32"/>
          <w:szCs w:val="32"/>
          <w:highlight w:val="none"/>
          <w:lang w:eastAsia="zh-CN"/>
        </w:rPr>
        <w:t>奖励</w:t>
      </w:r>
      <w:r>
        <w:rPr>
          <w:rFonts w:hint="eastAsia" w:ascii="仿宋_GB2312" w:hAnsi="仿宋_GB2312" w:eastAsia="仿宋_GB2312" w:cs="仿宋_GB2312"/>
          <w:b w:val="0"/>
          <w:bCs w:val="0"/>
          <w:color w:val="000000"/>
          <w:sz w:val="32"/>
          <w:szCs w:val="32"/>
          <w:lang w:eastAsia="zh-CN"/>
        </w:rPr>
        <w:t>，最高不超过</w:t>
      </w:r>
      <w:r>
        <w:rPr>
          <w:rFonts w:hint="eastAsia" w:ascii="仿宋_GB2312" w:hAnsi="仿宋_GB2312" w:eastAsia="仿宋_GB2312" w:cs="仿宋_GB2312"/>
          <w:b w:val="0"/>
          <w:bCs w:val="0"/>
          <w:color w:val="000000"/>
          <w:sz w:val="32"/>
          <w:szCs w:val="32"/>
        </w:rPr>
        <w:t>500元/平方米,</w:t>
      </w:r>
      <w:r>
        <w:rPr>
          <w:rFonts w:hint="eastAsia" w:ascii="仿宋_GB2312" w:hAnsi="仿宋_GB2312" w:eastAsia="仿宋_GB2312" w:cs="仿宋_GB2312"/>
          <w:b w:val="0"/>
          <w:bCs w:val="0"/>
          <w:color w:val="000000"/>
          <w:sz w:val="32"/>
          <w:szCs w:val="32"/>
          <w:highlight w:val="none"/>
          <w:lang w:eastAsia="zh-CN"/>
        </w:rPr>
        <w:t>奖励</w:t>
      </w:r>
      <w:r>
        <w:rPr>
          <w:rFonts w:hint="eastAsia" w:ascii="仿宋_GB2312" w:hAnsi="仿宋_GB2312" w:eastAsia="仿宋_GB2312" w:cs="仿宋_GB2312"/>
          <w:b w:val="0"/>
          <w:bCs w:val="0"/>
          <w:color w:val="000000"/>
          <w:sz w:val="32"/>
          <w:szCs w:val="32"/>
        </w:rPr>
        <w:t>面积不超过2000平方米</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租赁办公用房给予租房</w:t>
      </w:r>
      <w:r>
        <w:rPr>
          <w:rFonts w:hint="eastAsia" w:ascii="仿宋_GB2312" w:hAnsi="仿宋_GB2312" w:eastAsia="仿宋_GB2312" w:cs="仿宋_GB2312"/>
          <w:b w:val="0"/>
          <w:bCs w:val="0"/>
          <w:color w:val="000000"/>
          <w:sz w:val="32"/>
          <w:szCs w:val="32"/>
          <w:highlight w:val="none"/>
          <w:lang w:eastAsia="zh-CN"/>
        </w:rPr>
        <w:t>奖励</w:t>
      </w:r>
      <w:r>
        <w:rPr>
          <w:rFonts w:hint="eastAsia" w:ascii="仿宋_GB2312" w:hAnsi="仿宋_GB2312" w:eastAsia="仿宋_GB2312" w:cs="仿宋_GB2312"/>
          <w:b w:val="0"/>
          <w:bCs w:val="0"/>
          <w:color w:val="000000"/>
          <w:sz w:val="32"/>
          <w:szCs w:val="32"/>
        </w:rPr>
        <w:t>，最高不超过</w:t>
      </w:r>
      <w:r>
        <w:rPr>
          <w:rFonts w:hint="eastAsia"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color w:val="000000"/>
          <w:sz w:val="32"/>
          <w:szCs w:val="32"/>
        </w:rPr>
        <w:t>0元/月/平方米，</w:t>
      </w:r>
      <w:r>
        <w:rPr>
          <w:rFonts w:hint="eastAsia" w:ascii="仿宋_GB2312" w:hAnsi="仿宋_GB2312" w:eastAsia="仿宋_GB2312" w:cs="仿宋_GB2312"/>
          <w:b w:val="0"/>
          <w:bCs w:val="0"/>
          <w:color w:val="000000"/>
          <w:sz w:val="32"/>
          <w:szCs w:val="32"/>
          <w:highlight w:val="none"/>
          <w:lang w:eastAsia="zh-CN"/>
        </w:rPr>
        <w:t>奖励</w:t>
      </w:r>
      <w:r>
        <w:rPr>
          <w:rFonts w:hint="eastAsia" w:ascii="仿宋_GB2312" w:hAnsi="仿宋_GB2312" w:eastAsia="仿宋_GB2312" w:cs="仿宋_GB2312"/>
          <w:b w:val="0"/>
          <w:bCs w:val="0"/>
          <w:color w:val="000000"/>
          <w:sz w:val="32"/>
          <w:szCs w:val="32"/>
        </w:rPr>
        <w:t>面积不超过</w:t>
      </w:r>
      <w:r>
        <w:rPr>
          <w:rFonts w:hint="eastAsia" w:ascii="仿宋_GB2312" w:hAnsi="仿宋_GB2312" w:eastAsia="仿宋_GB2312" w:cs="仿宋_GB2312"/>
          <w:b w:val="0"/>
          <w:bCs w:val="0"/>
          <w:color w:val="000000"/>
          <w:sz w:val="32"/>
          <w:szCs w:val="32"/>
          <w:lang w:val="en-US" w:eastAsia="zh-CN"/>
        </w:rPr>
        <w:t>2</w:t>
      </w:r>
      <w:r>
        <w:rPr>
          <w:rFonts w:hint="eastAsia" w:ascii="仿宋_GB2312" w:hAnsi="仿宋_GB2312" w:eastAsia="仿宋_GB2312" w:cs="仿宋_GB2312"/>
          <w:b w:val="0"/>
          <w:bCs w:val="0"/>
          <w:color w:val="000000"/>
          <w:sz w:val="32"/>
          <w:szCs w:val="32"/>
        </w:rPr>
        <w:t>000平方米</w:t>
      </w:r>
      <w:r>
        <w:rPr>
          <w:rFonts w:hint="eastAsia" w:ascii="仿宋_GB2312" w:hAnsi="仿宋_GB2312" w:eastAsia="仿宋_GB2312" w:cs="仿宋_GB2312"/>
          <w:b w:val="0"/>
          <w:bCs w:val="0"/>
          <w:color w:val="000000"/>
          <w:sz w:val="32"/>
          <w:szCs w:val="32"/>
          <w:lang w:eastAsia="zh-CN"/>
        </w:rPr>
        <w:t>。购房、租房据实</w:t>
      </w:r>
      <w:r>
        <w:rPr>
          <w:rFonts w:hint="eastAsia" w:ascii="仿宋_GB2312" w:hAnsi="仿宋_GB2312" w:eastAsia="仿宋_GB2312" w:cs="仿宋_GB2312"/>
          <w:b w:val="0"/>
          <w:bCs w:val="0"/>
          <w:color w:val="000000"/>
          <w:sz w:val="32"/>
          <w:szCs w:val="32"/>
          <w:highlight w:val="none"/>
          <w:lang w:eastAsia="zh-CN"/>
        </w:rPr>
        <w:t>奖励</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时限</w:t>
      </w:r>
      <w:r>
        <w:rPr>
          <w:rFonts w:hint="eastAsia" w:ascii="仿宋_GB2312" w:hAnsi="仿宋_GB2312" w:eastAsia="仿宋_GB2312" w:cs="仿宋_GB2312"/>
          <w:b w:val="0"/>
          <w:bCs w:val="0"/>
          <w:color w:val="000000"/>
          <w:sz w:val="32"/>
          <w:szCs w:val="32"/>
          <w:lang w:eastAsia="zh-CN"/>
        </w:rPr>
        <w:t>不超过三</w:t>
      </w:r>
      <w:r>
        <w:rPr>
          <w:rFonts w:hint="eastAsia" w:ascii="仿宋_GB2312" w:hAnsi="仿宋_GB2312" w:eastAsia="仿宋_GB2312" w:cs="仿宋_GB2312"/>
          <w:b w:val="0"/>
          <w:bCs w:val="0"/>
          <w:color w:val="000000"/>
          <w:sz w:val="32"/>
          <w:szCs w:val="32"/>
        </w:rPr>
        <w:t>年。</w:t>
      </w:r>
    </w:p>
    <w:p>
      <w:pPr>
        <w:pStyle w:val="4"/>
        <w:widowControl/>
        <w:shd w:val="clear" w:color="auto" w:fill="FFFFFF"/>
        <w:spacing w:line="560" w:lineRule="exact"/>
        <w:ind w:firstLine="640" w:firstLineChars="200"/>
        <w:jc w:val="both"/>
        <w:rPr>
          <w:rFonts w:hint="eastAsia"/>
          <w:color w:val="000000"/>
        </w:rPr>
      </w:pPr>
      <w:r>
        <w:rPr>
          <w:rFonts w:hint="eastAsia" w:ascii="黑体" w:hAnsi="黑体" w:eastAsia="黑体" w:cs="黑体"/>
          <w:b w:val="0"/>
          <w:bCs w:val="0"/>
          <w:color w:val="000000"/>
          <w:sz w:val="32"/>
          <w:szCs w:val="32"/>
          <w:lang w:eastAsia="zh-CN"/>
        </w:rPr>
        <w:t>第九条</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对</w:t>
      </w:r>
      <w:r>
        <w:rPr>
          <w:rFonts w:hint="eastAsia" w:ascii="仿宋_GB2312" w:hAnsi="仿宋_GB2312" w:eastAsia="仿宋_GB2312" w:cs="仿宋_GB2312"/>
          <w:b w:val="0"/>
          <w:bCs w:val="0"/>
          <w:color w:val="000000"/>
          <w:sz w:val="32"/>
          <w:szCs w:val="32"/>
        </w:rPr>
        <w:t>经康巴什区人民政府认定的</w:t>
      </w:r>
      <w:r>
        <w:rPr>
          <w:rFonts w:hint="eastAsia" w:ascii="仿宋_GB2312" w:hAnsi="仿宋_GB2312" w:eastAsia="仿宋_GB2312" w:cs="仿宋_GB2312"/>
          <w:b w:val="0"/>
          <w:bCs w:val="0"/>
          <w:color w:val="000000"/>
          <w:sz w:val="32"/>
          <w:szCs w:val="32"/>
          <w:lang w:eastAsia="zh-CN"/>
        </w:rPr>
        <w:t>其他</w:t>
      </w:r>
      <w:r>
        <w:rPr>
          <w:rFonts w:hint="eastAsia" w:ascii="仿宋_GB2312" w:hAnsi="仿宋_GB2312" w:eastAsia="仿宋_GB2312" w:cs="仿宋_GB2312"/>
          <w:color w:val="000000"/>
          <w:sz w:val="32"/>
          <w:szCs w:val="32"/>
        </w:rPr>
        <w:t>重大</w:t>
      </w:r>
      <w:r>
        <w:rPr>
          <w:rFonts w:hint="eastAsia" w:ascii="仿宋_GB2312" w:hAnsi="仿宋_GB2312" w:eastAsia="仿宋_GB2312" w:cs="仿宋_GB2312"/>
          <w:color w:val="000000"/>
          <w:sz w:val="32"/>
          <w:szCs w:val="32"/>
          <w:lang w:eastAsia="zh-CN"/>
        </w:rPr>
        <w:t>招商引资</w:t>
      </w:r>
      <w:r>
        <w:rPr>
          <w:rFonts w:hint="eastAsia" w:ascii="仿宋_GB2312" w:hAnsi="仿宋_GB2312" w:eastAsia="仿宋_GB2312" w:cs="仿宋_GB2312"/>
          <w:color w:val="000000"/>
          <w:sz w:val="32"/>
          <w:szCs w:val="32"/>
        </w:rPr>
        <w:t>项目</w:t>
      </w:r>
      <w:r>
        <w:rPr>
          <w:rFonts w:hint="eastAsia" w:ascii="仿宋_GB2312" w:hAnsi="仿宋_GB2312" w:eastAsia="仿宋_GB2312" w:cs="仿宋_GB2312"/>
          <w:color w:val="000000"/>
          <w:sz w:val="32"/>
          <w:szCs w:val="32"/>
          <w:lang w:eastAsia="zh-CN"/>
        </w:rPr>
        <w:t>，采取</w:t>
      </w:r>
      <w:r>
        <w:rPr>
          <w:rFonts w:hint="eastAsia" w:ascii="仿宋_GB2312" w:hAnsi="仿宋_GB2312" w:eastAsia="仿宋_GB2312" w:cs="仿宋_GB2312"/>
          <w:color w:val="000000"/>
          <w:sz w:val="32"/>
          <w:szCs w:val="32"/>
        </w:rPr>
        <w:t>“一事一议”</w:t>
      </w:r>
      <w:r>
        <w:rPr>
          <w:rFonts w:hint="eastAsia" w:ascii="仿宋_GB2312" w:hAnsi="仿宋_GB2312" w:eastAsia="仿宋_GB2312" w:cs="仿宋_GB2312"/>
          <w:color w:val="000000"/>
          <w:sz w:val="32"/>
          <w:szCs w:val="32"/>
          <w:lang w:eastAsia="zh-CN"/>
        </w:rPr>
        <w:t>的方式给予支持</w:t>
      </w:r>
      <w:r>
        <w:rPr>
          <w:rFonts w:hint="eastAsia" w:ascii="仿宋_GB2312" w:hAnsi="仿宋_GB2312" w:eastAsia="仿宋_GB2312" w:cs="仿宋_GB2312"/>
          <w:color w:val="000000"/>
          <w:sz w:val="32"/>
          <w:szCs w:val="32"/>
        </w:rPr>
        <w:t>。</w:t>
      </w:r>
    </w:p>
    <w:p>
      <w:pPr>
        <w:widowControl w:val="0"/>
        <w:wordWrap/>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000000"/>
          <w:sz w:val="32"/>
          <w:szCs w:val="32"/>
        </w:rPr>
        <w:t>第</w:t>
      </w:r>
      <w:r>
        <w:rPr>
          <w:rFonts w:hint="eastAsia" w:ascii="黑体" w:hAnsi="黑体" w:eastAsia="黑体" w:cs="黑体"/>
          <w:b w:val="0"/>
          <w:bCs w:val="0"/>
          <w:color w:val="000000"/>
          <w:sz w:val="32"/>
          <w:szCs w:val="32"/>
          <w:lang w:val="en-US" w:eastAsia="zh-CN"/>
        </w:rPr>
        <w:t>十</w:t>
      </w:r>
      <w:r>
        <w:rPr>
          <w:rFonts w:hint="eastAsia" w:ascii="黑体" w:hAnsi="黑体" w:eastAsia="黑体" w:cs="黑体"/>
          <w:b w:val="0"/>
          <w:bCs w:val="0"/>
          <w:color w:val="000000"/>
          <w:sz w:val="32"/>
          <w:szCs w:val="32"/>
        </w:rPr>
        <w:t>条</w:t>
      </w:r>
      <w:r>
        <w:rPr>
          <w:rFonts w:hint="eastAsia" w:ascii="仿宋_GB2312" w:hAnsi="仿宋_GB2312" w:eastAsia="仿宋_GB2312" w:cs="仿宋_GB2312"/>
          <w:b w:val="0"/>
          <w:bCs w:val="0"/>
          <w:color w:val="000000"/>
          <w:sz w:val="32"/>
          <w:szCs w:val="32"/>
          <w:lang w:val="en-US" w:eastAsia="zh-CN"/>
        </w:rPr>
        <w:t xml:space="preserve">  康巴什区对于依照《鄂尔多斯市支持产业集群发展若干政策》所获奖补资金，全部用于支持企业发展。</w:t>
      </w:r>
    </w:p>
    <w:p>
      <w:pPr>
        <w:widowControl w:val="0"/>
        <w:wordWrap/>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第十一条</w:t>
      </w:r>
      <w:r>
        <w:rPr>
          <w:rFonts w:hint="eastAsia" w:ascii="仿宋_GB2312" w:hAnsi="仿宋_GB2312" w:eastAsia="仿宋_GB2312" w:cs="仿宋_GB2312"/>
          <w:b w:val="0"/>
          <w:bCs w:val="0"/>
          <w:color w:val="000000"/>
          <w:sz w:val="32"/>
          <w:szCs w:val="32"/>
          <w:lang w:val="en-US" w:eastAsia="zh-CN"/>
        </w:rPr>
        <w:t xml:space="preserve">  附则</w:t>
      </w:r>
    </w:p>
    <w:p>
      <w:pPr>
        <w:widowControl w:val="0"/>
        <w:wordWrap/>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rPr>
        <w:t>享受本</w:t>
      </w:r>
      <w:r>
        <w:rPr>
          <w:rFonts w:hint="eastAsia" w:ascii="仿宋_GB2312" w:hAnsi="仿宋_GB2312" w:eastAsia="仿宋_GB2312" w:cs="仿宋_GB2312"/>
          <w:b w:val="0"/>
          <w:bCs w:val="0"/>
          <w:color w:val="000000"/>
          <w:sz w:val="32"/>
          <w:szCs w:val="32"/>
          <w:lang w:eastAsia="zh-CN"/>
        </w:rPr>
        <w:t>措施</w:t>
      </w:r>
      <w:r>
        <w:rPr>
          <w:rFonts w:hint="eastAsia" w:ascii="仿宋_GB2312" w:hAnsi="仿宋_GB2312" w:eastAsia="仿宋_GB2312" w:cs="仿宋_GB2312"/>
          <w:b w:val="0"/>
          <w:bCs w:val="0"/>
          <w:color w:val="000000"/>
          <w:sz w:val="32"/>
          <w:szCs w:val="32"/>
        </w:rPr>
        <w:t>各类扶持</w:t>
      </w:r>
      <w:r>
        <w:rPr>
          <w:rFonts w:hint="eastAsia" w:ascii="仿宋_GB2312" w:hAnsi="仿宋_GB2312" w:eastAsia="仿宋_GB2312" w:cs="仿宋_GB2312"/>
          <w:b w:val="0"/>
          <w:bCs w:val="0"/>
          <w:color w:val="000000"/>
          <w:sz w:val="32"/>
          <w:szCs w:val="32"/>
          <w:lang w:eastAsia="zh-CN"/>
        </w:rPr>
        <w:t>政策</w:t>
      </w:r>
      <w:r>
        <w:rPr>
          <w:rFonts w:hint="eastAsia" w:ascii="仿宋_GB2312" w:hAnsi="仿宋_GB2312" w:eastAsia="仿宋_GB2312" w:cs="仿宋_GB2312"/>
          <w:b w:val="0"/>
          <w:bCs w:val="0"/>
          <w:color w:val="000000"/>
          <w:sz w:val="32"/>
          <w:szCs w:val="32"/>
        </w:rPr>
        <w:t>的企业，</w:t>
      </w:r>
      <w:r>
        <w:rPr>
          <w:rFonts w:hint="eastAsia" w:ascii="仿宋_GB2312" w:hAnsi="仿宋_GB2312" w:eastAsia="仿宋_GB2312" w:cs="仿宋_GB2312"/>
          <w:b w:val="0"/>
          <w:bCs w:val="0"/>
          <w:color w:val="000000"/>
          <w:sz w:val="32"/>
          <w:szCs w:val="32"/>
          <w:lang w:eastAsia="zh-CN"/>
        </w:rPr>
        <w:t>必须</w:t>
      </w:r>
      <w:r>
        <w:rPr>
          <w:rFonts w:hint="eastAsia" w:ascii="仿宋_GB2312" w:hAnsi="仿宋_GB2312" w:eastAsia="仿宋_GB2312" w:cs="仿宋_GB2312"/>
          <w:b w:val="0"/>
          <w:bCs w:val="0"/>
          <w:color w:val="000000"/>
          <w:sz w:val="32"/>
          <w:szCs w:val="32"/>
        </w:rPr>
        <w:t>具有独立法人资格、实行独立核算</w:t>
      </w:r>
      <w:r>
        <w:rPr>
          <w:rFonts w:hint="eastAsia" w:ascii="仿宋_GB2312" w:hAnsi="仿宋_GB2312" w:eastAsia="仿宋_GB2312" w:cs="仿宋_GB2312"/>
          <w:b w:val="0"/>
          <w:bCs w:val="0"/>
          <w:color w:val="000000"/>
          <w:sz w:val="32"/>
          <w:szCs w:val="32"/>
          <w:lang w:val="en-US" w:eastAsia="zh-CN"/>
        </w:rPr>
        <w:t>的招商引资企业。</w:t>
      </w:r>
    </w:p>
    <w:p>
      <w:pPr>
        <w:widowControl w:val="0"/>
        <w:wordWrap/>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同时满足本措施及国家、内蒙古自治区、鄂尔多斯市、康巴什区其他优惠政策，按照从优不重复的原则予以兑现。所涉币种皆为人民币，奖励金额均为税前金额。</w:t>
      </w:r>
    </w:p>
    <w:p>
      <w:pPr>
        <w:widowControl w:val="0"/>
        <w:wordWrap/>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本措施自发布之日起30日后实施，有效期5年，具体执行期后延至政策兑现结束，并另行制定配套兑现细则，根据执行情况适时修订。</w:t>
      </w:r>
      <w:r>
        <w:rPr>
          <w:rFonts w:hint="eastAsia" w:ascii="仿宋_GB2312" w:hAnsi="仿宋_GB2312" w:eastAsia="仿宋_GB2312" w:cs="仿宋_GB2312"/>
          <w:b w:val="0"/>
          <w:bCs w:val="0"/>
          <w:color w:val="000000"/>
          <w:sz w:val="32"/>
          <w:szCs w:val="32"/>
          <w:lang w:eastAsia="zh-CN"/>
        </w:rPr>
        <w:t>本措施与法律法规及上位政策冲突时，以法律法规和上位政策为准。</w:t>
      </w:r>
    </w:p>
    <w:p>
      <w:pPr>
        <w:widowControl w:val="0"/>
        <w:wordWrap/>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000000"/>
          <w:sz w:val="32"/>
          <w:szCs w:val="32"/>
        </w:rPr>
        <w:t>本</w:t>
      </w:r>
      <w:r>
        <w:rPr>
          <w:rFonts w:hint="eastAsia" w:ascii="仿宋_GB2312" w:hAnsi="仿宋_GB2312" w:eastAsia="仿宋_GB2312" w:cs="仿宋_GB2312"/>
          <w:b w:val="0"/>
          <w:bCs w:val="0"/>
          <w:color w:val="000000"/>
          <w:sz w:val="32"/>
          <w:szCs w:val="32"/>
          <w:lang w:eastAsia="zh-CN"/>
        </w:rPr>
        <w:t>措施</w:t>
      </w:r>
      <w:r>
        <w:rPr>
          <w:rFonts w:hint="eastAsia" w:ascii="仿宋_GB2312" w:hAnsi="仿宋_GB2312" w:eastAsia="仿宋_GB2312" w:cs="仿宋_GB2312"/>
          <w:b w:val="0"/>
          <w:bCs w:val="0"/>
          <w:color w:val="000000"/>
          <w:sz w:val="32"/>
          <w:szCs w:val="32"/>
        </w:rPr>
        <w:t>最终解释权归康巴什区</w:t>
      </w:r>
      <w:r>
        <w:rPr>
          <w:rFonts w:hint="eastAsia" w:ascii="仿宋_GB2312" w:hAnsi="仿宋_GB2312" w:eastAsia="仿宋_GB2312" w:cs="仿宋_GB2312"/>
          <w:b w:val="0"/>
          <w:bCs w:val="0"/>
          <w:color w:val="000000"/>
          <w:sz w:val="32"/>
          <w:szCs w:val="32"/>
          <w:lang w:eastAsia="zh-CN"/>
        </w:rPr>
        <w:t>商务局</w:t>
      </w:r>
      <w:r>
        <w:rPr>
          <w:rFonts w:hint="eastAsia" w:ascii="仿宋_GB2312" w:hAnsi="仿宋_GB2312" w:eastAsia="仿宋_GB2312" w:cs="仿宋_GB2312"/>
          <w:b w:val="0"/>
          <w:bCs w:val="0"/>
          <w:color w:val="000000"/>
          <w:sz w:val="32"/>
          <w:szCs w:val="32"/>
        </w:rPr>
        <w:t>。</w:t>
      </w:r>
    </w:p>
    <w:p>
      <w:pPr>
        <w:widowControl w:val="0"/>
        <w:wordWrap/>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p>
    <w:p>
      <w:pPr>
        <w:widowControl w:val="0"/>
        <w:wordWrap/>
        <w:snapToGrid/>
        <w:spacing w:line="560" w:lineRule="exact"/>
        <w:textAlignment w:val="auto"/>
        <w:rPr>
          <w:rFonts w:hint="default" w:ascii="仿宋_GB2312" w:hAnsi="仿宋_GB2312" w:eastAsia="仿宋_GB2312" w:cs="仿宋_GB2312"/>
          <w:b w:val="0"/>
          <w:bCs w:val="0"/>
          <w:color w:val="auto"/>
          <w:sz w:val="32"/>
          <w:szCs w:val="32"/>
          <w:lang w:val="en-US" w:eastAsia="zh-CN"/>
        </w:rPr>
      </w:pPr>
    </w:p>
    <w:p>
      <w:pPr>
        <w:widowControl w:val="0"/>
        <w:wordWrap/>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p>
    <w:sectPr>
      <w:footerReference r:id="rId4" w:type="default"/>
      <w:pgSz w:w="11906" w:h="16838"/>
      <w:pgMar w:top="1440" w:right="1803" w:bottom="1440" w:left="1803" w:header="851" w:footer="992" w:gutter="0"/>
      <w:pgNumType w:fmt="numberInDash"/>
      <w:cols w:space="720" w:num="1"/>
      <w:docGrid w:type="lines" w:linePitch="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4"/>
        <w:lang w:val="en-US" w:eastAsia="zh-CN" w:bidi="ar-SA"/>
      </w:rPr>
      <w:pict>
        <v:rect id="文本框 1025"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pPr>
                <w:r>
                  <w:fldChar w:fldCharType="begin"/>
                </w:r>
                <w:r>
                  <w:instrText xml:space="preserve"> PAGE  \* MERGEFORMAT </w:instrText>
                </w:r>
                <w:r>
                  <w:fldChar w:fldCharType="separate"/>
                </w:r>
                <w:r>
                  <w:t>1</w:t>
                </w:r>
                <w: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customStyle="1" w:styleId="6">
    <w:name w:val="Default"/>
    <w:qFormat/>
    <w:uiPriority w:val="0"/>
    <w:pPr>
      <w:widowControl w:val="0"/>
      <w:autoSpaceDE w:val="0"/>
      <w:autoSpaceDN w:val="0"/>
      <w:adjustRightInd w:val="0"/>
    </w:pPr>
    <w:rPr>
      <w:rFonts w:hint="eastAsia" w:ascii="仿宋_GB2312" w:hAnsi="Calibri" w:eastAsia="仿宋_GB2312" w:cs="Times New Roman"/>
      <w:color w:val="000000"/>
      <w:sz w:val="24"/>
      <w:szCs w:val="22"/>
      <w:lang w:val="en-US" w:eastAsia="zh-CN" w:bidi="ar-SA"/>
    </w:rPr>
  </w:style>
  <w:style w:type="paragraph" w:customStyle="1" w:styleId="7">
    <w:name w:val="Normal (Web)"/>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2022-01-12T23:36:00Z</dcterms:created>
  <dc:creator>Administrator</dc:creator>
  <cp:lastModifiedBy>Administrator</cp:lastModifiedBy>
  <cp:lastPrinted>2022-05-30T15:40:00Z</cp:lastPrinted>
  <dcterms:modified xsi:type="dcterms:W3CDTF">2022-06-01T07:44:54Z</dcterms:modified>
  <dc:title>成都市武侯区人民政府文件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B80FBAC2257348FB89B93B0DFB891016</vt:lpwstr>
  </property>
</Properties>
</file>