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FE25" w14:textId="77777777" w:rsidR="00500704" w:rsidRPr="00500704" w:rsidRDefault="00500704" w:rsidP="00500704">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500704">
        <w:rPr>
          <w:rFonts w:ascii="微软雅黑" w:eastAsia="微软雅黑" w:hAnsi="微软雅黑" w:cs="宋体" w:hint="eastAsia"/>
          <w:b/>
          <w:bCs/>
          <w:color w:val="333333"/>
          <w:kern w:val="36"/>
          <w:sz w:val="32"/>
          <w:szCs w:val="32"/>
          <w14:ligatures w14:val="none"/>
        </w:rPr>
        <w:t>鄂尔多斯市康巴什区国有资产监督管理委员会关于印发</w:t>
      </w:r>
    </w:p>
    <w:p w14:paraId="3E1DA2E3" w14:textId="3F7AAA67" w:rsidR="00500704" w:rsidRPr="00500704" w:rsidRDefault="00500704" w:rsidP="00500704">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500704">
        <w:rPr>
          <w:rFonts w:ascii="微软雅黑" w:eastAsia="微软雅黑" w:hAnsi="微软雅黑" w:cs="宋体" w:hint="eastAsia"/>
          <w:b/>
          <w:bCs/>
          <w:color w:val="333333"/>
          <w:kern w:val="36"/>
          <w:sz w:val="32"/>
          <w:szCs w:val="32"/>
          <w14:ligatures w14:val="none"/>
        </w:rPr>
        <w:t>《鄂尔多斯市康巴什区国资委出资 监管企业重大项目投资风险监督 管理办法（试行）》的通知</w:t>
      </w:r>
    </w:p>
    <w:p w14:paraId="14983EFB" w14:textId="77777777" w:rsidR="00500704" w:rsidRPr="00500704" w:rsidRDefault="00500704" w:rsidP="00500704">
      <w:pPr>
        <w:widowControl/>
        <w:jc w:val="left"/>
        <w:rPr>
          <w:rFonts w:ascii="仿宋_GB2312" w:eastAsia="仿宋_GB2312" w:hAnsi="宋体" w:cs="宋体"/>
          <w:color w:val="333333"/>
          <w:kern w:val="0"/>
          <w:sz w:val="32"/>
          <w:szCs w:val="32"/>
          <w:bdr w:val="none" w:sz="0" w:space="0" w:color="auto" w:frame="1"/>
          <w:shd w:val="clear" w:color="auto" w:fill="FFFFFF"/>
          <w14:ligatures w14:val="none"/>
        </w:rPr>
      </w:pPr>
    </w:p>
    <w:p w14:paraId="755C3221" w14:textId="66D5011A" w:rsidR="00500704" w:rsidRPr="00500704" w:rsidRDefault="00500704" w:rsidP="00500704">
      <w:pPr>
        <w:widowControl/>
        <w:jc w:val="left"/>
        <w:rPr>
          <w:rFonts w:ascii="宋体" w:eastAsia="宋体" w:hAnsi="宋体" w:cs="宋体"/>
          <w:kern w:val="0"/>
          <w:sz w:val="24"/>
          <w:szCs w:val="24"/>
          <w14:ligatures w14:val="none"/>
        </w:rPr>
      </w:pPr>
      <w:r w:rsidRPr="00500704">
        <w:rPr>
          <w:rFonts w:ascii="仿宋_GB2312" w:eastAsia="仿宋_GB2312" w:hAnsi="宋体" w:cs="宋体" w:hint="eastAsia"/>
          <w:color w:val="333333"/>
          <w:kern w:val="0"/>
          <w:sz w:val="32"/>
          <w:szCs w:val="32"/>
          <w:bdr w:val="none" w:sz="0" w:space="0" w:color="auto" w:frame="1"/>
          <w:shd w:val="clear" w:color="auto" w:fill="FFFFFF"/>
          <w14:ligatures w14:val="none"/>
        </w:rPr>
        <w:t>各区属国有企业：</w:t>
      </w:r>
    </w:p>
    <w:p w14:paraId="6CFC20FC" w14:textId="77777777" w:rsidR="00500704" w:rsidRPr="00500704" w:rsidRDefault="00500704" w:rsidP="00500704">
      <w:pPr>
        <w:widowControl/>
        <w:shd w:val="clear" w:color="auto" w:fill="FFFFFF"/>
        <w:spacing w:line="560" w:lineRule="atLeast"/>
        <w:ind w:firstLine="64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为进一步完善投资监管制度，加强投资风险管控，现将《鄂尔多斯市康巴什区国资委出资监管企业重大项目投资风险监督管理办法（试行）》印发给你们，请认真贯彻执行。各企业要参照本办法，结合实际，加快健全和完善本企业投资管理制度。</w:t>
      </w:r>
    </w:p>
    <w:p w14:paraId="1F8A4D46" w14:textId="77777777" w:rsidR="00500704" w:rsidRPr="00500704" w:rsidRDefault="00500704" w:rsidP="00500704">
      <w:pPr>
        <w:widowControl/>
        <w:shd w:val="clear" w:color="auto" w:fill="FFFFFF"/>
        <w:spacing w:line="560" w:lineRule="atLeast"/>
        <w:ind w:firstLine="42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p>
    <w:p w14:paraId="17C3354C" w14:textId="77777777" w:rsidR="00500704" w:rsidRPr="00500704" w:rsidRDefault="00500704" w:rsidP="00500704">
      <w:pPr>
        <w:widowControl/>
        <w:shd w:val="clear" w:color="auto" w:fill="FFFFFF"/>
        <w:spacing w:line="560" w:lineRule="atLeast"/>
        <w:ind w:firstLine="42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p>
    <w:p w14:paraId="36E0674C" w14:textId="77777777" w:rsidR="00500704" w:rsidRPr="00500704" w:rsidRDefault="00500704" w:rsidP="00500704">
      <w:pPr>
        <w:widowControl/>
        <w:shd w:val="clear" w:color="auto" w:fill="FFFFFF"/>
        <w:spacing w:line="560" w:lineRule="atLeast"/>
        <w:ind w:firstLine="42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p>
    <w:p w14:paraId="59E79B69" w14:textId="77777777" w:rsidR="00500704" w:rsidRPr="00500704" w:rsidRDefault="00500704" w:rsidP="00500704">
      <w:pPr>
        <w:widowControl/>
        <w:shd w:val="clear" w:color="auto" w:fill="FFFFFF"/>
        <w:spacing w:line="560" w:lineRule="atLeast"/>
        <w:ind w:firstLine="420"/>
        <w:jc w:val="righ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鄂尔多斯市康巴什区国有资产监督管理委员会</w:t>
      </w:r>
    </w:p>
    <w:p w14:paraId="2541EBF4" w14:textId="77777777" w:rsidR="00500704" w:rsidRPr="00500704" w:rsidRDefault="00500704" w:rsidP="00500704">
      <w:pPr>
        <w:widowControl/>
        <w:shd w:val="clear" w:color="auto" w:fill="FFFFFF"/>
        <w:spacing w:line="560" w:lineRule="atLeast"/>
        <w:jc w:val="righ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2021年8月18日</w:t>
      </w:r>
    </w:p>
    <w:p w14:paraId="6D05BD30" w14:textId="77777777" w:rsidR="00500704" w:rsidRPr="00500704" w:rsidRDefault="00500704" w:rsidP="00500704">
      <w:pPr>
        <w:widowControl/>
        <w:shd w:val="clear" w:color="auto" w:fill="FFFFFF"/>
        <w:spacing w:line="560" w:lineRule="atLeast"/>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p>
    <w:p w14:paraId="1037DA91" w14:textId="77777777" w:rsidR="00500704" w:rsidRPr="00500704" w:rsidRDefault="00500704" w:rsidP="00500704">
      <w:pPr>
        <w:widowControl/>
        <w:shd w:val="clear" w:color="auto" w:fill="FFFFFF"/>
        <w:jc w:val="left"/>
        <w:rPr>
          <w:rFonts w:ascii="微软雅黑" w:eastAsia="微软雅黑" w:hAnsi="微软雅黑" w:cs="宋体"/>
          <w:color w:val="333333"/>
          <w:kern w:val="0"/>
          <w:szCs w:val="21"/>
          <w14:ligatures w14:val="none"/>
        </w:rPr>
      </w:pPr>
      <w:r w:rsidRPr="00500704">
        <w:rPr>
          <w:rFonts w:ascii="微软雅黑" w:eastAsia="微软雅黑" w:hAnsi="微软雅黑" w:cs="宋体" w:hint="eastAsia"/>
          <w:color w:val="333333"/>
          <w:kern w:val="0"/>
          <w:szCs w:val="21"/>
          <w:bdr w:val="none" w:sz="0" w:space="0" w:color="auto" w:frame="1"/>
          <w14:ligatures w14:val="none"/>
        </w:rPr>
        <w:t> </w:t>
      </w:r>
    </w:p>
    <w:p w14:paraId="49C8B787" w14:textId="77777777" w:rsidR="00500704" w:rsidRPr="00500704" w:rsidRDefault="00500704" w:rsidP="00500704">
      <w:pPr>
        <w:widowControl/>
        <w:shd w:val="clear" w:color="auto" w:fill="FFFFFF"/>
        <w:jc w:val="left"/>
        <w:rPr>
          <w:rFonts w:ascii="微软雅黑" w:eastAsia="微软雅黑" w:hAnsi="微软雅黑" w:cs="宋体" w:hint="eastAsia"/>
          <w:color w:val="333333"/>
          <w:kern w:val="0"/>
          <w:szCs w:val="21"/>
          <w14:ligatures w14:val="none"/>
        </w:rPr>
      </w:pPr>
      <w:r w:rsidRPr="00500704">
        <w:rPr>
          <w:rFonts w:ascii="微软雅黑" w:eastAsia="微软雅黑" w:hAnsi="微软雅黑" w:cs="宋体" w:hint="eastAsia"/>
          <w:color w:val="333333"/>
          <w:kern w:val="0"/>
          <w:szCs w:val="21"/>
          <w:bdr w:val="none" w:sz="0" w:space="0" w:color="auto" w:frame="1"/>
          <w14:ligatures w14:val="none"/>
        </w:rPr>
        <w:t> </w:t>
      </w:r>
    </w:p>
    <w:p w14:paraId="3435A17E" w14:textId="77777777" w:rsidR="00500704" w:rsidRPr="00500704" w:rsidRDefault="00500704" w:rsidP="00500704">
      <w:pPr>
        <w:widowControl/>
        <w:shd w:val="clear" w:color="auto" w:fill="FFFFFF"/>
        <w:wordWrap w:val="0"/>
        <w:spacing w:line="680" w:lineRule="atLeast"/>
        <w:jc w:val="center"/>
        <w:rPr>
          <w:rFonts w:ascii="inherit" w:eastAsia="微软雅黑" w:hAnsi="inherit" w:cs="宋体" w:hint="eastAsia"/>
          <w:color w:val="333333"/>
          <w:kern w:val="0"/>
          <w:szCs w:val="21"/>
          <w14:ligatures w14:val="none"/>
        </w:rPr>
      </w:pPr>
      <w:r w:rsidRPr="00500704">
        <w:rPr>
          <w:rFonts w:ascii="方正小标宋简体" w:eastAsia="方正小标宋简体" w:hAnsi="inherit" w:cs="宋体" w:hint="eastAsia"/>
          <w:color w:val="333333"/>
          <w:kern w:val="0"/>
          <w:sz w:val="44"/>
          <w:szCs w:val="44"/>
          <w:bdr w:val="none" w:sz="0" w:space="0" w:color="auto" w:frame="1"/>
          <w14:ligatures w14:val="none"/>
        </w:rPr>
        <w:t>鄂尔多斯市康巴什区国资委出资监管企业重大项目投资风险监督管理办法（试行）</w:t>
      </w:r>
    </w:p>
    <w:p w14:paraId="08812463" w14:textId="77777777" w:rsidR="00500704" w:rsidRPr="00500704" w:rsidRDefault="00500704" w:rsidP="00500704">
      <w:pPr>
        <w:widowControl/>
        <w:shd w:val="clear" w:color="auto" w:fill="FFFFFF"/>
        <w:spacing w:line="680" w:lineRule="atLeast"/>
        <w:jc w:val="center"/>
        <w:rPr>
          <w:rFonts w:ascii="inherit" w:eastAsia="微软雅黑" w:hAnsi="inherit" w:cs="宋体"/>
          <w:color w:val="333333"/>
          <w:kern w:val="0"/>
          <w:szCs w:val="21"/>
          <w14:ligatures w14:val="none"/>
        </w:rPr>
      </w:pPr>
      <w:r w:rsidRPr="00500704">
        <w:rPr>
          <w:rFonts w:ascii="inherit" w:eastAsia="微软雅黑" w:hAnsi="inherit" w:cs="宋体"/>
          <w:color w:val="333333"/>
          <w:kern w:val="0"/>
          <w:sz w:val="32"/>
          <w:szCs w:val="32"/>
          <w:bdr w:val="none" w:sz="0" w:space="0" w:color="auto" w:frame="1"/>
          <w14:ligatures w14:val="none"/>
        </w:rPr>
        <w:t> </w:t>
      </w:r>
    </w:p>
    <w:p w14:paraId="5D5D93A0" w14:textId="77777777" w:rsidR="00500704" w:rsidRPr="00500704" w:rsidRDefault="00500704" w:rsidP="00500704">
      <w:pPr>
        <w:widowControl/>
        <w:shd w:val="clear" w:color="auto" w:fill="FFFFFF"/>
        <w:spacing w:line="560" w:lineRule="atLeast"/>
        <w:jc w:val="center"/>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lastRenderedPageBreak/>
        <w:t>第一章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总</w:t>
      </w:r>
      <w:r w:rsidRPr="00500704">
        <w:rPr>
          <w:rFonts w:ascii="Calibri" w:eastAsia="黑体" w:hAnsi="Calibri" w:cs="Calibri"/>
          <w:color w:val="333333"/>
          <w:kern w:val="0"/>
          <w:sz w:val="32"/>
          <w:szCs w:val="32"/>
          <w:bdr w:val="none" w:sz="0" w:space="0" w:color="auto" w:frame="1"/>
          <w14:ligatures w14:val="none"/>
        </w:rPr>
        <w:t>  </w:t>
      </w:r>
      <w:r w:rsidRPr="00500704">
        <w:rPr>
          <w:rFonts w:ascii="黑体" w:eastAsia="黑体" w:hAnsi="黑体" w:cs="宋体" w:hint="eastAsia"/>
          <w:color w:val="333333"/>
          <w:kern w:val="0"/>
          <w:sz w:val="32"/>
          <w:szCs w:val="32"/>
          <w:bdr w:val="none" w:sz="0" w:space="0" w:color="auto" w:frame="1"/>
          <w14:ligatures w14:val="none"/>
        </w:rPr>
        <w:t>则</w:t>
      </w:r>
    </w:p>
    <w:p w14:paraId="69F53AA9" w14:textId="77777777" w:rsidR="00500704" w:rsidRPr="00500704" w:rsidRDefault="00500704" w:rsidP="00500704">
      <w:pPr>
        <w:widowControl/>
        <w:shd w:val="clear" w:color="auto" w:fill="FFFFFF"/>
        <w:spacing w:line="560" w:lineRule="atLeast"/>
        <w:ind w:firstLine="630"/>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第一条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为</w:t>
      </w:r>
      <w:r w:rsidRPr="00500704">
        <w:rPr>
          <w:rFonts w:ascii="仿宋_GB2312" w:eastAsia="仿宋_GB2312" w:hAnsi="inherit" w:cs="宋体" w:hint="eastAsia"/>
          <w:color w:val="333333"/>
          <w:kern w:val="0"/>
          <w:sz w:val="32"/>
          <w:szCs w:val="32"/>
          <w:bdr w:val="none" w:sz="0" w:space="0" w:color="auto" w:frame="1"/>
          <w14:ligatures w14:val="none"/>
        </w:rPr>
        <w:t>依法履行出资人职责，规范出资监管企业投资活动，提高企业投资决策的科学性和有效性，有效防范投资风险，确保国有资产保值增值，根据《中华人民共和国公司法》《中华人民共和国企业国有资产法》《中共中央国务院关于深化国有企业改革的指导意见》《国务院关于改革和完善国有资产管理体制的若干意见》《内蒙古自治区国资委出资监管企业重大项目投资风险监督管理办法》《鄂尔多斯市国资委出资监管企业投资监督管理办法》等有关规定，</w:t>
      </w:r>
      <w:r w:rsidRPr="00500704">
        <w:rPr>
          <w:rFonts w:ascii="微软雅黑" w:eastAsia="微软雅黑" w:hAnsi="微软雅黑" w:cs="宋体" w:hint="eastAsia"/>
          <w:color w:val="333333"/>
          <w:kern w:val="0"/>
          <w:sz w:val="32"/>
          <w:szCs w:val="32"/>
          <w:bdr w:val="none" w:sz="0" w:space="0" w:color="auto" w:frame="1"/>
          <w14:ligatures w14:val="none"/>
        </w:rPr>
        <w:t>结合我区实际，制定本办法。</w:t>
      </w:r>
    </w:p>
    <w:p w14:paraId="7FD867EB"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本办法所称企业是指鄂尔多斯市康巴什区国有资产监督管理委员会（以下简称</w:t>
      </w:r>
      <w:r w:rsidRPr="00500704">
        <w:rPr>
          <w:rFonts w:ascii="仿宋_GB2312" w:eastAsia="仿宋_GB2312" w:hAnsi="inherit" w:cs="宋体" w:hint="eastAsia"/>
          <w:color w:val="333333"/>
          <w:kern w:val="0"/>
          <w:sz w:val="32"/>
          <w:szCs w:val="32"/>
          <w:bdr w:val="none" w:sz="0" w:space="0" w:color="auto" w:frame="1"/>
          <w14:ligatures w14:val="none"/>
        </w:rPr>
        <w:t>“区国资委”）依法履行出资人职责的企业。</w:t>
      </w:r>
    </w:p>
    <w:p w14:paraId="2C178C3F"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微软雅黑" w:eastAsia="微软雅黑" w:hAnsi="微软雅黑" w:cs="宋体" w:hint="eastAsia"/>
          <w:b/>
          <w:bCs/>
          <w:color w:val="333333"/>
          <w:kern w:val="0"/>
          <w:sz w:val="32"/>
          <w:szCs w:val="32"/>
          <w:bdr w:val="none" w:sz="0" w:space="0" w:color="auto" w:frame="1"/>
          <w14:ligatures w14:val="none"/>
        </w:rPr>
        <w:t>第三条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本办法所称投资是指企业及其各级子企业以现金、实物、公司股权、无形资产等资源投入市场获取未来收益的行为。主要包括下列投资活动：</w:t>
      </w:r>
    </w:p>
    <w:p w14:paraId="1E6C19B1"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（一）固定资产投资，包括基本建设投资、更新改造投资、房地产开发投资等；</w:t>
      </w:r>
    </w:p>
    <w:p w14:paraId="342255BF"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（二）股权投资，包括受让股权、收购兼并、合资合作、对非出资企业新增投资等，以及设立全资、控股、参股企业投资等。</w:t>
      </w:r>
    </w:p>
    <w:p w14:paraId="24404DF1"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lastRenderedPageBreak/>
        <w:t>所称重大投资项目是指企业按照公司章程及投资管理制度规定，由董事会研究决定的投资项目。</w:t>
      </w:r>
    </w:p>
    <w:p w14:paraId="51FAC9F3"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所称投资风险是指对未来投资收益的不确定性，在投资中可能会遭受收益和本金损失的风险，包括政策风险、决策风险、执行风险、法律风险、债务风险、职业道德风险、延期风险、质量风险、市场风险、合作方信用风险、安全稳定风险等。</w:t>
      </w:r>
    </w:p>
    <w:p w14:paraId="1D226059" w14:textId="77777777" w:rsidR="00500704" w:rsidRPr="00500704" w:rsidRDefault="00500704" w:rsidP="00500704">
      <w:pPr>
        <w:widowControl/>
        <w:shd w:val="clear" w:color="auto" w:fill="FFFFFF"/>
        <w:spacing w:line="560" w:lineRule="atLeast"/>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所称主业是指企业依其发展战略和规划确定并经区国资委确认公布的主要经营业务（含培育业务），非主业是指主业以外的其他经营业务。</w:t>
      </w:r>
    </w:p>
    <w:p w14:paraId="4AD6ED7B"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第四条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区国资委是企业投资活动的监督主体，以把握投资方向、优化资本布局、严格决策程序、规范资本运作、提高资本回报、维护资本安全为重点，主要包括以下职责：</w:t>
      </w:r>
    </w:p>
    <w:p w14:paraId="32615589"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（一）指导企业建立健全投资管理体系和风险管控体系；</w:t>
      </w:r>
    </w:p>
    <w:p w14:paraId="5B1B380B"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（二）督促企业依据其发展战略和规划编报年度投资计划，对企业年度投资计划进行备案，对企业非主业类投资项目和特别监管类项目进行核准，其他项目进行备案；</w:t>
      </w:r>
    </w:p>
    <w:p w14:paraId="3E41DE94"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（三）制定发布企业主业分类方案；</w:t>
      </w:r>
    </w:p>
    <w:p w14:paraId="0004B2C7"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（四）监督检查企业投资管理制度和风险管控制度的执行情况、重大投资项目的决策和实施情况；</w:t>
      </w:r>
    </w:p>
    <w:p w14:paraId="4F4B3C0E"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（五）组织开展对重大投资项目后评价；</w:t>
      </w:r>
    </w:p>
    <w:p w14:paraId="144BD509"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lastRenderedPageBreak/>
        <w:t>（六）对违规投资造成国有资产损失以及其他严重不良后果的进行责任追究；</w:t>
      </w:r>
    </w:p>
    <w:p w14:paraId="3C38637B" w14:textId="77777777" w:rsidR="00500704" w:rsidRPr="00500704" w:rsidRDefault="00500704" w:rsidP="00500704">
      <w:pPr>
        <w:widowControl/>
        <w:shd w:val="clear" w:color="auto" w:fill="FFFFFF"/>
        <w:jc w:val="left"/>
        <w:rPr>
          <w:rFonts w:ascii="微软雅黑" w:eastAsia="微软雅黑" w:hAnsi="微软雅黑" w:cs="宋体"/>
          <w:color w:val="333333"/>
          <w:kern w:val="0"/>
          <w:szCs w:val="21"/>
          <w14:ligatures w14:val="none"/>
        </w:rPr>
      </w:pPr>
      <w:r w:rsidRPr="00500704">
        <w:rPr>
          <w:rFonts w:ascii="仿宋_GB2312" w:eastAsia="仿宋_GB2312" w:hAnsi="微软雅黑" w:cs="宋体" w:hint="eastAsia"/>
          <w:color w:val="333333"/>
          <w:kern w:val="0"/>
          <w:sz w:val="32"/>
          <w:szCs w:val="32"/>
          <w:bdr w:val="none" w:sz="0" w:space="0" w:color="auto" w:frame="1"/>
          <w14:ligatures w14:val="none"/>
        </w:rPr>
        <w:t>（七）其他法定职责。</w:t>
      </w:r>
    </w:p>
    <w:p w14:paraId="5A4D3BC6"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hint="eastAsia"/>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第五条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企业是投资活动的决策主体、实施主体和投资风险管控的责任主体，主要包括以下职责：</w:t>
      </w:r>
    </w:p>
    <w:p w14:paraId="5FFB0FD1"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（一）依法制定并执行企业投资决策程序和投资事前、事中、事后全过程管理与风险管控制度；</w:t>
      </w:r>
    </w:p>
    <w:p w14:paraId="3D9AAC8D"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（二）制定并实施企业发展规划和年度投资计划；根据年度投资计划编制年度投资预算，列入企业全面预算管理，使企业投资计划与财务预算相衔接、与合理的资产负债水平相适应；</w:t>
      </w:r>
    </w:p>
    <w:p w14:paraId="71DA7F14"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（三）组织开展投资项目的可行性研究和法律风险评估，对涉及企业职工群众切身利益且涉及面广、容易引发社会稳定问题的重大投资决策事项必须做好社会稳定风险评估；</w:t>
      </w:r>
    </w:p>
    <w:p w14:paraId="664A04A5"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（四）进行投资决策并承担相应的投资风险，加强投资项目管理和风险控制；</w:t>
      </w:r>
    </w:p>
    <w:p w14:paraId="40A11AD0"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（五）开展投资统计、分析和后评价工作；</w:t>
      </w:r>
    </w:p>
    <w:p w14:paraId="7F8E747A"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（六）报告有关投资完成情况、重大投资项目等投资信息，履行配合监督检查任务；</w:t>
      </w:r>
    </w:p>
    <w:p w14:paraId="17176123"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（七）其他法定职责。</w:t>
      </w:r>
    </w:p>
    <w:p w14:paraId="76F63615"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第六条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企业投资活动应遵循以下原则：</w:t>
      </w:r>
    </w:p>
    <w:p w14:paraId="5E85B093"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lastRenderedPageBreak/>
        <w:t>（一）符合国家产业政策、高质量发展要求和康巴什区国有经济布局优化和结构调整方向；</w:t>
      </w:r>
    </w:p>
    <w:p w14:paraId="49D3D570"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（二）符合企业发展战略规划和主业发展及调整方向；</w:t>
      </w:r>
    </w:p>
    <w:p w14:paraId="5EB001F4"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（三）符合投资决策程序和管理制度；</w:t>
      </w:r>
    </w:p>
    <w:p w14:paraId="2147C66F"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（四）投资规模应当与企业资产经营规划、资产负债水平和实际筹资能力相适应。</w:t>
      </w:r>
    </w:p>
    <w:p w14:paraId="59944D2A"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企业要牢固树立新发展理念，坚定不移走以生态优先绿色发展为导向的高质量发展新路子，紧紧围绕做</w:t>
      </w:r>
      <w:proofErr w:type="gramStart"/>
      <w:r w:rsidRPr="00500704">
        <w:rPr>
          <w:rFonts w:ascii="仿宋_GB2312" w:eastAsia="仿宋_GB2312" w:hAnsi="inherit" w:cs="宋体" w:hint="eastAsia"/>
          <w:color w:val="333333"/>
          <w:kern w:val="0"/>
          <w:sz w:val="32"/>
          <w:szCs w:val="32"/>
          <w:bdr w:val="none" w:sz="0" w:space="0" w:color="auto" w:frame="1"/>
          <w14:ligatures w14:val="none"/>
        </w:rPr>
        <w:t>强做</w:t>
      </w:r>
      <w:proofErr w:type="gramEnd"/>
      <w:r w:rsidRPr="00500704">
        <w:rPr>
          <w:rFonts w:ascii="仿宋_GB2312" w:eastAsia="仿宋_GB2312" w:hAnsi="inherit" w:cs="宋体" w:hint="eastAsia"/>
          <w:color w:val="333333"/>
          <w:kern w:val="0"/>
          <w:sz w:val="32"/>
          <w:szCs w:val="32"/>
          <w:bdr w:val="none" w:sz="0" w:space="0" w:color="auto" w:frame="1"/>
          <w14:ligatures w14:val="none"/>
        </w:rPr>
        <w:t>优做大主业谋划建设项目，严禁投资低效无效项目，高负债企业原则上不得实施推高负债率项目，切实提高建设项目质量，积极推动企业提质增效转型升级，加快企业高质量发展步伐。</w:t>
      </w:r>
    </w:p>
    <w:p w14:paraId="296130FB" w14:textId="77777777" w:rsidR="00500704" w:rsidRPr="00500704" w:rsidRDefault="00500704" w:rsidP="00500704">
      <w:pPr>
        <w:widowControl/>
        <w:shd w:val="clear" w:color="auto" w:fill="FFFFFF"/>
        <w:spacing w:line="560" w:lineRule="atLeas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 </w:t>
      </w:r>
    </w:p>
    <w:p w14:paraId="10A0D62B" w14:textId="77777777" w:rsidR="00500704" w:rsidRPr="00500704" w:rsidRDefault="00500704" w:rsidP="00500704">
      <w:pPr>
        <w:widowControl/>
        <w:shd w:val="clear" w:color="auto" w:fill="FFFFFF"/>
        <w:spacing w:line="560" w:lineRule="atLeast"/>
        <w:jc w:val="center"/>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第二章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投资</w:t>
      </w:r>
      <w:r w:rsidRPr="00500704">
        <w:rPr>
          <w:rFonts w:ascii="黑体" w:eastAsia="黑体" w:hAnsi="黑体" w:cs="宋体" w:hint="eastAsia"/>
          <w:color w:val="333333"/>
          <w:kern w:val="0"/>
          <w:sz w:val="32"/>
          <w:szCs w:val="32"/>
          <w:bdr w:val="none" w:sz="0" w:space="0" w:color="auto" w:frame="1"/>
          <w14:ligatures w14:val="none"/>
        </w:rPr>
        <w:t>风险管控体系建设</w:t>
      </w:r>
    </w:p>
    <w:p w14:paraId="0544DFF4"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第七条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企业应牢固树立投资效益理念和风险防范意识，将投资风险管控作为企业实施全面风险管理、加强廉洁风险防控的重要内容，建立健全投资管理和风险管控制度。应包括以下主要内容：</w:t>
      </w:r>
    </w:p>
    <w:p w14:paraId="3E504D30"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（一）投资应遵循的基本原则；</w:t>
      </w:r>
    </w:p>
    <w:p w14:paraId="29ADF119"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（二）投资管理流程、管理部门及相关职责；</w:t>
      </w:r>
    </w:p>
    <w:p w14:paraId="11070A93"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（三）投资决策程序、决策机构及其职责；</w:t>
      </w:r>
    </w:p>
    <w:p w14:paraId="562D6F9C"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（四）投资信息化管理制度；</w:t>
      </w:r>
    </w:p>
    <w:p w14:paraId="281F9515"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（五）投资风险管控制度；</w:t>
      </w:r>
    </w:p>
    <w:p w14:paraId="5EA6FF33"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lastRenderedPageBreak/>
        <w:t>（六）投资项目完成、中止、终止或退出制度；</w:t>
      </w:r>
    </w:p>
    <w:p w14:paraId="479926B0"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（七）投资项目后评价制度；</w:t>
      </w:r>
    </w:p>
    <w:p w14:paraId="596DFBA3"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（八）违规投资责任追究制度；</w:t>
      </w:r>
    </w:p>
    <w:p w14:paraId="6B5B83EA"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（九）对所属企业投资活动的授权、监督与管理制度。</w:t>
      </w:r>
    </w:p>
    <w:p w14:paraId="30E090D5"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企业投资管理和风险管控制度应经董事会通过后报区国资委备案。</w:t>
      </w:r>
    </w:p>
    <w:p w14:paraId="322119B7" w14:textId="77777777" w:rsidR="00500704" w:rsidRPr="00500704" w:rsidRDefault="00500704" w:rsidP="00500704">
      <w:pPr>
        <w:widowControl/>
        <w:shd w:val="clear" w:color="auto" w:fill="FFFFFF"/>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第八条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区国资委对企业投资计划的项目实行分类分级管理。</w:t>
      </w:r>
    </w:p>
    <w:p w14:paraId="3AE44F42" w14:textId="77777777" w:rsidR="00500704" w:rsidRPr="00500704" w:rsidRDefault="00500704" w:rsidP="00500704">
      <w:pPr>
        <w:widowControl/>
        <w:shd w:val="clear" w:color="auto" w:fill="FFFFFF"/>
        <w:spacing w:line="560" w:lineRule="atLeast"/>
        <w:ind w:left="-10"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（一）备案项目：企业主业类投资项目，除特别监管类项目外实行备案管理；</w:t>
      </w:r>
    </w:p>
    <w:p w14:paraId="63C15F48" w14:textId="77777777" w:rsidR="00500704" w:rsidRPr="00500704" w:rsidRDefault="00500704" w:rsidP="00500704">
      <w:pPr>
        <w:widowControl/>
        <w:shd w:val="clear" w:color="auto" w:fill="FFFFFF"/>
        <w:spacing w:line="560" w:lineRule="atLeast"/>
        <w:ind w:left="-10"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（二）核准项目：企业非主业类投资项目及特别监管类项目，实行核准管理。</w:t>
      </w:r>
    </w:p>
    <w:p w14:paraId="0C7131DD"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特别监管类项目即企业及其各级子企业单项投资额超过</w:t>
      </w:r>
      <w:r w:rsidRPr="00500704">
        <w:rPr>
          <w:rFonts w:ascii="仿宋_GB2312" w:eastAsia="仿宋_GB2312" w:hAnsi="inherit" w:cs="宋体" w:hint="eastAsia"/>
          <w:color w:val="333333"/>
          <w:kern w:val="0"/>
          <w:sz w:val="32"/>
          <w:szCs w:val="32"/>
          <w:bdr w:val="none" w:sz="0" w:space="0" w:color="auto" w:frame="1"/>
          <w14:ligatures w14:val="none"/>
        </w:rPr>
        <w:t>5000万元的投资项目，由企业履行</w:t>
      </w:r>
      <w:proofErr w:type="gramStart"/>
      <w:r w:rsidRPr="00500704">
        <w:rPr>
          <w:rFonts w:ascii="仿宋_GB2312" w:eastAsia="仿宋_GB2312" w:hAnsi="inherit" w:cs="宋体" w:hint="eastAsia"/>
          <w:color w:val="333333"/>
          <w:kern w:val="0"/>
          <w:sz w:val="32"/>
          <w:szCs w:val="32"/>
          <w:bdr w:val="none" w:sz="0" w:space="0" w:color="auto" w:frame="1"/>
          <w14:ligatures w14:val="none"/>
        </w:rPr>
        <w:t>完内部</w:t>
      </w:r>
      <w:proofErr w:type="gramEnd"/>
      <w:r w:rsidRPr="00500704">
        <w:rPr>
          <w:rFonts w:ascii="仿宋_GB2312" w:eastAsia="仿宋_GB2312" w:hAnsi="inherit" w:cs="宋体" w:hint="eastAsia"/>
          <w:color w:val="333333"/>
          <w:kern w:val="0"/>
          <w:sz w:val="32"/>
          <w:szCs w:val="32"/>
          <w:bdr w:val="none" w:sz="0" w:space="0" w:color="auto" w:frame="1"/>
          <w14:ligatures w14:val="none"/>
        </w:rPr>
        <w:t>决策程序后报请区人民政府，区国资委在区人民政府出具相关意见后实行核准管理。</w:t>
      </w:r>
    </w:p>
    <w:p w14:paraId="6D92A38E"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核准项目须把区国资委核准作为申请行业核准的前置条件。备案项目由企业以报告的形式上报区国资委。</w:t>
      </w:r>
    </w:p>
    <w:p w14:paraId="2D99683C"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第九条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企业应接受区国资委、社会和企业广大职工对企业投资行为的监督。区国资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委每年</w:t>
      </w:r>
      <w:proofErr w:type="gramEnd"/>
      <w:r w:rsidRPr="00500704">
        <w:rPr>
          <w:rFonts w:ascii="仿宋_GB2312" w:eastAsia="仿宋_GB2312" w:hAnsi="inherit" w:cs="宋体" w:hint="eastAsia"/>
          <w:color w:val="333333"/>
          <w:kern w:val="0"/>
          <w:sz w:val="32"/>
          <w:szCs w:val="32"/>
          <w:bdr w:val="none" w:sz="0" w:space="0" w:color="auto" w:frame="1"/>
          <w14:ligatures w14:val="none"/>
        </w:rPr>
        <w:t>对企业投资监管制度执行情况进行随机抽查，抽查情况形成专题报告并向区国资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委党委</w:t>
      </w:r>
      <w:proofErr w:type="gramEnd"/>
      <w:r w:rsidRPr="00500704">
        <w:rPr>
          <w:rFonts w:ascii="仿宋_GB2312" w:eastAsia="仿宋_GB2312" w:hAnsi="inherit" w:cs="宋体" w:hint="eastAsia"/>
          <w:color w:val="333333"/>
          <w:kern w:val="0"/>
          <w:sz w:val="32"/>
          <w:szCs w:val="32"/>
          <w:bdr w:val="none" w:sz="0" w:space="0" w:color="auto" w:frame="1"/>
          <w14:ligatures w14:val="none"/>
        </w:rPr>
        <w:t>汇报，研究发现主要问题的处理意见。</w:t>
      </w:r>
    </w:p>
    <w:p w14:paraId="7140A421"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lastRenderedPageBreak/>
        <w:t>第十条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委建立</w:t>
      </w:r>
      <w:proofErr w:type="gramEnd"/>
      <w:r w:rsidRPr="00500704">
        <w:rPr>
          <w:rFonts w:ascii="仿宋_GB2312" w:eastAsia="仿宋_GB2312" w:hAnsi="inherit" w:cs="宋体" w:hint="eastAsia"/>
          <w:color w:val="333333"/>
          <w:kern w:val="0"/>
          <w:sz w:val="32"/>
          <w:szCs w:val="32"/>
          <w:bdr w:val="none" w:sz="0" w:space="0" w:color="auto" w:frame="1"/>
          <w14:ligatures w14:val="none"/>
        </w:rPr>
        <w:t>完善投资监管联动机制，发挥战略规划、法律合</w:t>
      </w:r>
      <w:proofErr w:type="gramStart"/>
      <w:r w:rsidRPr="00500704">
        <w:rPr>
          <w:rFonts w:ascii="仿宋_GB2312" w:eastAsia="仿宋_GB2312" w:hAnsi="inherit" w:cs="宋体" w:hint="eastAsia"/>
          <w:color w:val="333333"/>
          <w:kern w:val="0"/>
          <w:sz w:val="32"/>
          <w:szCs w:val="32"/>
          <w:bdr w:val="none" w:sz="0" w:space="0" w:color="auto" w:frame="1"/>
          <w14:ligatures w14:val="none"/>
        </w:rPr>
        <w:t>规</w:t>
      </w:r>
      <w:proofErr w:type="gramEnd"/>
      <w:r w:rsidRPr="00500704">
        <w:rPr>
          <w:rFonts w:ascii="仿宋_GB2312" w:eastAsia="仿宋_GB2312" w:hAnsi="inherit" w:cs="宋体" w:hint="eastAsia"/>
          <w:color w:val="333333"/>
          <w:kern w:val="0"/>
          <w:sz w:val="32"/>
          <w:szCs w:val="32"/>
          <w:bdr w:val="none" w:sz="0" w:space="0" w:color="auto" w:frame="1"/>
          <w14:ligatures w14:val="none"/>
        </w:rPr>
        <w:t>、财务监督、产权管理、考核分配、资本运营、干部管理、审计、纪检监察、巡视巡察等相关监管职能合力，实现对企业投资活动全过程全方位监督，及时发现投资风险，减少投资损失。</w:t>
      </w:r>
    </w:p>
    <w:p w14:paraId="57E57A20" w14:textId="77777777" w:rsidR="00500704" w:rsidRPr="00500704" w:rsidRDefault="00500704" w:rsidP="00500704">
      <w:pPr>
        <w:widowControl/>
        <w:shd w:val="clear" w:color="auto" w:fill="FFFFFF"/>
        <w:spacing w:line="560" w:lineRule="atLeas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 </w:t>
      </w:r>
    </w:p>
    <w:p w14:paraId="198B0C72" w14:textId="77777777" w:rsidR="00500704" w:rsidRPr="00500704" w:rsidRDefault="00500704" w:rsidP="00500704">
      <w:pPr>
        <w:widowControl/>
        <w:shd w:val="clear" w:color="auto" w:fill="FFFFFF"/>
        <w:spacing w:line="560" w:lineRule="atLeast"/>
        <w:jc w:val="center"/>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第三章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投资事前</w:t>
      </w:r>
      <w:r w:rsidRPr="00500704">
        <w:rPr>
          <w:rFonts w:ascii="黑体" w:eastAsia="黑体" w:hAnsi="黑体" w:cs="宋体" w:hint="eastAsia"/>
          <w:color w:val="333333"/>
          <w:kern w:val="0"/>
          <w:sz w:val="32"/>
          <w:szCs w:val="32"/>
          <w:bdr w:val="none" w:sz="0" w:space="0" w:color="auto" w:frame="1"/>
          <w14:ligatures w14:val="none"/>
        </w:rPr>
        <w:t>风险管理</w:t>
      </w:r>
    </w:p>
    <w:p w14:paraId="06693DB2"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第十一条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企业应当按照本企业发展战略和规划编制年度投资计划，未纳入年度投资计划的投资项目原则上不得投资，确需追加投资项目的应调整年度投资计划，履行企业内部决策程序后上报区国资委。</w:t>
      </w:r>
    </w:p>
    <w:p w14:paraId="0E7085B2"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第十二条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企业应当每年</w:t>
      </w:r>
      <w:r w:rsidRPr="00500704">
        <w:rPr>
          <w:rFonts w:ascii="仿宋_GB2312" w:eastAsia="仿宋_GB2312" w:hAnsi="inherit" w:cs="宋体" w:hint="eastAsia"/>
          <w:color w:val="333333"/>
          <w:kern w:val="0"/>
          <w:sz w:val="32"/>
          <w:szCs w:val="32"/>
          <w:bdr w:val="none" w:sz="0" w:space="0" w:color="auto" w:frame="1"/>
          <w14:ligatures w14:val="none"/>
        </w:rPr>
        <w:t>2月底前将经董事会审议通过的年度投资计划及其文字说明以文件形式报送区国资委。主要内容包括但不限于以下内容：</w:t>
      </w:r>
    </w:p>
    <w:p w14:paraId="0DC5C1B4"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（一）年度投资的总体目标，包括投资计划对企业发展质量与效益提升的预期贡献等；</w:t>
      </w:r>
    </w:p>
    <w:p w14:paraId="76A4C72A" w14:textId="77777777" w:rsidR="00500704" w:rsidRPr="00500704" w:rsidRDefault="00500704" w:rsidP="00500704">
      <w:pPr>
        <w:widowControl/>
        <w:shd w:val="clear" w:color="auto" w:fill="FFFFFF"/>
        <w:spacing w:line="560" w:lineRule="atLeast"/>
        <w:ind w:firstLine="64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（二）投资规模、资金来源及资产负债水平，包括年度计划完成投资总额、资金来源及构成、企业资产负债率等；</w:t>
      </w:r>
    </w:p>
    <w:p w14:paraId="2A799FFA" w14:textId="77777777" w:rsidR="00500704" w:rsidRPr="00500704" w:rsidRDefault="00500704" w:rsidP="00500704">
      <w:pPr>
        <w:widowControl/>
        <w:shd w:val="clear" w:color="auto" w:fill="FFFFFF"/>
        <w:spacing w:line="560" w:lineRule="atLeast"/>
        <w:ind w:firstLine="64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（三）投资方向与结构，包括固定资产投资、股权投资、技改投资等，产业投资额与比重，主业投资额与比重，企业本部及子企业投资额等；</w:t>
      </w:r>
    </w:p>
    <w:p w14:paraId="16FB0E44" w14:textId="77777777" w:rsidR="00500704" w:rsidRPr="00500704" w:rsidRDefault="00500704" w:rsidP="00500704">
      <w:pPr>
        <w:widowControl/>
        <w:shd w:val="clear" w:color="auto" w:fill="FFFFFF"/>
        <w:spacing w:line="560" w:lineRule="atLeast"/>
        <w:ind w:firstLine="640"/>
        <w:jc w:val="lef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lastRenderedPageBreak/>
        <w:t>（四）计划投资项目情况，包括企业本部及其各级子企业拟于当年投资的重大固定资产投资项目、股权投资项目，计划投资项目应明确投资的主体企业、基本内容、投资额、实施年限、预期投资收益等情况，同时编制年度计划投资项目表。</w:t>
      </w:r>
    </w:p>
    <w:p w14:paraId="385F1561" w14:textId="77777777" w:rsidR="00500704" w:rsidRPr="00500704" w:rsidRDefault="00500704" w:rsidP="00500704">
      <w:pPr>
        <w:widowControl/>
        <w:shd w:val="clear" w:color="auto" w:fill="FFFFFF"/>
        <w:spacing w:line="560" w:lineRule="atLeast"/>
        <w:ind w:firstLine="643"/>
        <w:jc w:val="lef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第十三条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区国资委对企业的年度投资计划实施备案管理。</w:t>
      </w:r>
    </w:p>
    <w:p w14:paraId="32C3F970"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委依据</w:t>
      </w:r>
      <w:proofErr w:type="gramEnd"/>
      <w:r w:rsidRPr="00500704">
        <w:rPr>
          <w:rFonts w:ascii="仿宋_GB2312" w:eastAsia="仿宋_GB2312" w:hAnsi="inherit" w:cs="宋体" w:hint="eastAsia"/>
          <w:color w:val="333333"/>
          <w:kern w:val="0"/>
          <w:sz w:val="32"/>
          <w:szCs w:val="32"/>
          <w:bdr w:val="none" w:sz="0" w:space="0" w:color="auto" w:frame="1"/>
          <w14:ligatures w14:val="none"/>
        </w:rPr>
        <w:t>相关规定以及企业发展战略和规划，从企业投资方向、投资规模、投资结构和投资能力等方面，对企业年度投资计划进行备案管理；</w:t>
      </w:r>
    </w:p>
    <w:p w14:paraId="2345174E" w14:textId="77777777" w:rsidR="00500704" w:rsidRPr="00500704" w:rsidRDefault="00500704" w:rsidP="00500704">
      <w:pPr>
        <w:widowControl/>
        <w:shd w:val="clear" w:color="auto" w:fill="FFFFFF"/>
        <w:wordWrap w:val="0"/>
        <w:spacing w:line="560" w:lineRule="atLeast"/>
        <w:ind w:firstLine="640"/>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（二）对年度投资计划存在问题的企业，区国资委在收到年度投资计划后的</w:t>
      </w:r>
      <w:r w:rsidRPr="00500704">
        <w:rPr>
          <w:rFonts w:ascii="仿宋_GB2312" w:eastAsia="仿宋_GB2312" w:hAnsi="inherit" w:cs="宋体" w:hint="eastAsia"/>
          <w:color w:val="333333"/>
          <w:kern w:val="0"/>
          <w:sz w:val="32"/>
          <w:szCs w:val="32"/>
          <w:bdr w:val="none" w:sz="0" w:space="0" w:color="auto" w:frame="1"/>
          <w14:ligatures w14:val="none"/>
        </w:rPr>
        <w:t>20个工作日内，向有关企业反馈书面意见。企业应根据区国资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委意见</w:t>
      </w:r>
      <w:proofErr w:type="gramEnd"/>
      <w:r w:rsidRPr="00500704">
        <w:rPr>
          <w:rFonts w:ascii="仿宋_GB2312" w:eastAsia="仿宋_GB2312" w:hAnsi="inherit" w:cs="宋体" w:hint="eastAsia"/>
          <w:color w:val="333333"/>
          <w:kern w:val="0"/>
          <w:sz w:val="32"/>
          <w:szCs w:val="32"/>
          <w:bdr w:val="none" w:sz="0" w:space="0" w:color="auto" w:frame="1"/>
          <w14:ligatures w14:val="none"/>
        </w:rPr>
        <w:t>对年度投资计划</w:t>
      </w:r>
      <w:proofErr w:type="gramStart"/>
      <w:r w:rsidRPr="00500704">
        <w:rPr>
          <w:rFonts w:ascii="仿宋_GB2312" w:eastAsia="仿宋_GB2312" w:hAnsi="inherit" w:cs="宋体" w:hint="eastAsia"/>
          <w:color w:val="333333"/>
          <w:kern w:val="0"/>
          <w:sz w:val="32"/>
          <w:szCs w:val="32"/>
          <w:bdr w:val="none" w:sz="0" w:space="0" w:color="auto" w:frame="1"/>
          <w14:ligatures w14:val="none"/>
        </w:rPr>
        <w:t>作出</w:t>
      </w:r>
      <w:proofErr w:type="gramEnd"/>
      <w:r w:rsidRPr="00500704">
        <w:rPr>
          <w:rFonts w:ascii="仿宋_GB2312" w:eastAsia="仿宋_GB2312" w:hAnsi="inherit" w:cs="宋体" w:hint="eastAsia"/>
          <w:color w:val="333333"/>
          <w:kern w:val="0"/>
          <w:sz w:val="32"/>
          <w:szCs w:val="32"/>
          <w:bdr w:val="none" w:sz="0" w:space="0" w:color="auto" w:frame="1"/>
          <w14:ligatures w14:val="none"/>
        </w:rPr>
        <w:t>修改后重新上报区国资委备案。</w:t>
      </w:r>
    </w:p>
    <w:p w14:paraId="2C9BC81B"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第十四条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企业在投资事前，应当围绕重大投资项目选择、前期论证、立项三个重点强化风险管理。</w:t>
      </w:r>
    </w:p>
    <w:p w14:paraId="6F587332" w14:textId="77777777" w:rsidR="00500704" w:rsidRPr="00500704" w:rsidRDefault="00500704" w:rsidP="00500704">
      <w:pPr>
        <w:widowControl/>
        <w:shd w:val="clear" w:color="auto" w:fill="FFFFFF"/>
        <w:spacing w:line="560" w:lineRule="atLeast"/>
        <w:ind w:left="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（一）企业重大投资项目选择，应遵循企业投资活动原则；</w:t>
      </w:r>
    </w:p>
    <w:p w14:paraId="2F4838A1"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（二）企业对于拟实施的重大投资项目，应委托具备相应资质的专业机构编制可行性研究报告，从国家政策、市场环境、工艺技术、经济效益、风险因素等方面进行科学论证，测算预期收益率，</w:t>
      </w:r>
      <w:proofErr w:type="gramStart"/>
      <w:r w:rsidRPr="00500704">
        <w:rPr>
          <w:rFonts w:ascii="仿宋_GB2312" w:eastAsia="仿宋_GB2312" w:hAnsi="inherit" w:cs="宋体" w:hint="eastAsia"/>
          <w:color w:val="333333"/>
          <w:kern w:val="0"/>
          <w:sz w:val="32"/>
          <w:szCs w:val="32"/>
          <w:bdr w:val="none" w:sz="0" w:space="0" w:color="auto" w:frame="1"/>
          <w14:ligatures w14:val="none"/>
        </w:rPr>
        <w:t>作出</w:t>
      </w:r>
      <w:proofErr w:type="gramEnd"/>
      <w:r w:rsidRPr="00500704">
        <w:rPr>
          <w:rFonts w:ascii="仿宋_GB2312" w:eastAsia="仿宋_GB2312" w:hAnsi="inherit" w:cs="宋体" w:hint="eastAsia"/>
          <w:color w:val="333333"/>
          <w:kern w:val="0"/>
          <w:sz w:val="32"/>
          <w:szCs w:val="32"/>
          <w:bdr w:val="none" w:sz="0" w:space="0" w:color="auto" w:frame="1"/>
          <w14:ligatures w14:val="none"/>
        </w:rPr>
        <w:t>可行性评价结论。企业自行编制可行</w:t>
      </w:r>
      <w:r w:rsidRPr="00500704">
        <w:rPr>
          <w:rFonts w:ascii="仿宋_GB2312" w:eastAsia="仿宋_GB2312" w:hAnsi="inherit" w:cs="宋体" w:hint="eastAsia"/>
          <w:color w:val="333333"/>
          <w:kern w:val="0"/>
          <w:sz w:val="32"/>
          <w:szCs w:val="32"/>
          <w:bdr w:val="none" w:sz="0" w:space="0" w:color="auto" w:frame="1"/>
          <w14:ligatures w14:val="none"/>
        </w:rPr>
        <w:lastRenderedPageBreak/>
        <w:t>性研究报告的，应经董事会批准。新投资项目应当深入进行技术、市场、财务和法律等方面的可行性研究论证，其中股权类投资项目、合资合作类投资项目应当开展必要的尽职调查和风险评估，并按要求履行资产评估或估值程序；</w:t>
      </w:r>
    </w:p>
    <w:p w14:paraId="00B14EE3"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w:t>
      </w:r>
      <w:r w:rsidRPr="00500704">
        <w:rPr>
          <w:rFonts w:ascii="微软雅黑" w:eastAsia="微软雅黑" w:hAnsi="微软雅黑" w:cs="宋体" w:hint="eastAsia"/>
          <w:color w:val="333333"/>
          <w:kern w:val="0"/>
          <w:sz w:val="32"/>
          <w:szCs w:val="32"/>
          <w:bdr w:val="none" w:sz="0" w:space="0" w:color="auto" w:frame="1"/>
          <w14:ligatures w14:val="none"/>
        </w:rPr>
        <w:t>企业应聘请专家对投资项目可行性研究报告进行审查论证，并出具相应的专家审查论证意见，审查论证意见实行</w:t>
      </w:r>
      <w:r w:rsidRPr="00500704">
        <w:rPr>
          <w:rFonts w:ascii="仿宋_GB2312" w:eastAsia="仿宋_GB2312" w:hAnsi="inherit" w:cs="宋体" w:hint="eastAsia"/>
          <w:color w:val="333333"/>
          <w:kern w:val="0"/>
          <w:sz w:val="32"/>
          <w:szCs w:val="32"/>
          <w:bdr w:val="none" w:sz="0" w:space="0" w:color="auto" w:frame="1"/>
          <w14:ligatures w14:val="none"/>
        </w:rPr>
        <w:t>“署名制”，作为投资决策的主要依据。委托具备相关资质的第三方评审机构对项目可行性研究报告进行评审的，评审机构应出具评审报告，也可作为投资决策的主要依据；</w:t>
      </w:r>
    </w:p>
    <w:p w14:paraId="2D2BF823"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企业应根据重大投资项目审查论证意见、尽职调查报告、资产评估报告等相关资料，编写投资项目审议说明。按照企业章程规定，提交党委会前置审查、董事会审议决策。董事会授权经理层研究决定的投资项目按董事会要求履行决策程序。</w:t>
      </w:r>
    </w:p>
    <w:p w14:paraId="0ADB2DDC" w14:textId="77777777" w:rsidR="00500704" w:rsidRPr="00500704" w:rsidRDefault="00500704" w:rsidP="00500704">
      <w:pPr>
        <w:widowControl/>
        <w:shd w:val="clear" w:color="auto" w:fill="FFFFFF"/>
        <w:spacing w:line="560" w:lineRule="atLeast"/>
        <w:ind w:firstLine="643"/>
        <w:rPr>
          <w:rFonts w:ascii="inherit" w:eastAsia="微软雅黑" w:hAnsi="inherit" w:cs="宋体"/>
          <w:color w:val="333333"/>
          <w:kern w:val="0"/>
          <w:szCs w:val="21"/>
          <w14:ligatures w14:val="none"/>
        </w:rPr>
      </w:pPr>
      <w:r w:rsidRPr="00500704">
        <w:rPr>
          <w:rFonts w:ascii="微软雅黑" w:eastAsia="微软雅黑" w:hAnsi="微软雅黑" w:cs="宋体" w:hint="eastAsia"/>
          <w:b/>
          <w:bCs/>
          <w:color w:val="333333"/>
          <w:kern w:val="0"/>
          <w:sz w:val="32"/>
          <w:szCs w:val="32"/>
          <w:bdr w:val="none" w:sz="0" w:space="0" w:color="auto" w:frame="1"/>
          <w14:ligatures w14:val="none"/>
        </w:rPr>
        <w:t>第十五条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企业应当按</w:t>
      </w:r>
      <w:r w:rsidRPr="00500704">
        <w:rPr>
          <w:rFonts w:ascii="仿宋_GB2312" w:eastAsia="仿宋_GB2312" w:hAnsi="inherit" w:cs="宋体" w:hint="eastAsia"/>
          <w:color w:val="333333"/>
          <w:kern w:val="0"/>
          <w:sz w:val="32"/>
          <w:szCs w:val="32"/>
          <w:bdr w:val="none" w:sz="0" w:space="0" w:color="auto" w:frame="1"/>
          <w14:ligatures w14:val="none"/>
        </w:rPr>
        <w:t>“三重一大”决策制度建立并严格执行投资决策机制，对投资决策实行统一管理，向下授权投资决策的企业管理层级原则上不超过一级。企业董事会是重大投资项目的最终决策机构并对决策结果承担责任。企业董事会应按照公司章程和企业投资管理制度规定对重大投资项目进行审议，投资项目原则上一事一议，不得以</w:t>
      </w:r>
      <w:proofErr w:type="gramStart"/>
      <w:r w:rsidRPr="00500704">
        <w:rPr>
          <w:rFonts w:ascii="仿宋_GB2312" w:eastAsia="仿宋_GB2312" w:hAnsi="inherit" w:cs="宋体" w:hint="eastAsia"/>
          <w:color w:val="333333"/>
          <w:kern w:val="0"/>
          <w:sz w:val="32"/>
          <w:szCs w:val="32"/>
          <w:bdr w:val="none" w:sz="0" w:space="0" w:color="auto" w:frame="1"/>
          <w14:ligatures w14:val="none"/>
        </w:rPr>
        <w:t>传签方式</w:t>
      </w:r>
      <w:proofErr w:type="gramEnd"/>
      <w:r w:rsidRPr="00500704">
        <w:rPr>
          <w:rFonts w:ascii="仿宋_GB2312" w:eastAsia="仿宋_GB2312" w:hAnsi="inherit" w:cs="宋体" w:hint="eastAsia"/>
          <w:color w:val="333333"/>
          <w:kern w:val="0"/>
          <w:sz w:val="32"/>
          <w:szCs w:val="32"/>
          <w:bdr w:val="none" w:sz="0" w:space="0" w:color="auto" w:frame="1"/>
          <w14:ligatures w14:val="none"/>
        </w:rPr>
        <w:t>代替现场董事会审议。参会董事应充分发表意见，董事应对</w:t>
      </w:r>
      <w:r w:rsidRPr="00500704">
        <w:rPr>
          <w:rFonts w:ascii="仿宋_GB2312" w:eastAsia="仿宋_GB2312" w:hAnsi="inherit" w:cs="宋体" w:hint="eastAsia"/>
          <w:color w:val="333333"/>
          <w:kern w:val="0"/>
          <w:sz w:val="32"/>
          <w:szCs w:val="32"/>
          <w:bdr w:val="none" w:sz="0" w:space="0" w:color="auto" w:frame="1"/>
          <w14:ligatures w14:val="none"/>
        </w:rPr>
        <w:lastRenderedPageBreak/>
        <w:t>其发表的意见承担责任。董事会形成的决议复印件连同项目材料一并归档保存，确保有案可查。</w:t>
      </w:r>
    </w:p>
    <w:p w14:paraId="157B196B"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第十六条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实行核准的重大投资项目，企业应在履行</w:t>
      </w:r>
      <w:proofErr w:type="gramStart"/>
      <w:r w:rsidRPr="00500704">
        <w:rPr>
          <w:rFonts w:ascii="仿宋_GB2312" w:eastAsia="仿宋_GB2312" w:hAnsi="inherit" w:cs="宋体" w:hint="eastAsia"/>
          <w:color w:val="333333"/>
          <w:kern w:val="0"/>
          <w:sz w:val="32"/>
          <w:szCs w:val="32"/>
          <w:bdr w:val="none" w:sz="0" w:space="0" w:color="auto" w:frame="1"/>
          <w14:ligatures w14:val="none"/>
        </w:rPr>
        <w:t>完内部</w:t>
      </w:r>
      <w:proofErr w:type="gramEnd"/>
      <w:r w:rsidRPr="00500704">
        <w:rPr>
          <w:rFonts w:ascii="仿宋_GB2312" w:eastAsia="仿宋_GB2312" w:hAnsi="inherit" w:cs="宋体" w:hint="eastAsia"/>
          <w:color w:val="333333"/>
          <w:kern w:val="0"/>
          <w:sz w:val="32"/>
          <w:szCs w:val="32"/>
          <w:bdr w:val="none" w:sz="0" w:space="0" w:color="auto" w:frame="1"/>
          <w14:ligatures w14:val="none"/>
        </w:rPr>
        <w:t>决策程序后，向区国资委报送以下材料：</w:t>
      </w:r>
    </w:p>
    <w:p w14:paraId="2E8ADA74"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（一）申请核准的请示，包括但不限于项目基本情况、项目资金来源、该项投资对企业资产负债规模及资产负债率的影响情况分析、投资风险评估及管控措施等内容；</w:t>
      </w:r>
    </w:p>
    <w:p w14:paraId="1FEB554B"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（二）项目的可行性研究报告，并</w:t>
      </w:r>
      <w:proofErr w:type="gramStart"/>
      <w:r w:rsidRPr="00500704">
        <w:rPr>
          <w:rFonts w:ascii="仿宋_GB2312" w:eastAsia="仿宋_GB2312" w:hAnsi="inherit" w:cs="宋体" w:hint="eastAsia"/>
          <w:color w:val="333333"/>
          <w:kern w:val="0"/>
          <w:sz w:val="32"/>
          <w:szCs w:val="32"/>
          <w:bdr w:val="none" w:sz="0" w:space="0" w:color="auto" w:frame="1"/>
          <w14:ligatures w14:val="none"/>
        </w:rPr>
        <w:t>附专家</w:t>
      </w:r>
      <w:proofErr w:type="gramEnd"/>
      <w:r w:rsidRPr="00500704">
        <w:rPr>
          <w:rFonts w:ascii="仿宋_GB2312" w:eastAsia="仿宋_GB2312" w:hAnsi="inherit" w:cs="宋体" w:hint="eastAsia"/>
          <w:color w:val="333333"/>
          <w:kern w:val="0"/>
          <w:sz w:val="32"/>
          <w:szCs w:val="32"/>
          <w:bdr w:val="none" w:sz="0" w:space="0" w:color="auto" w:frame="1"/>
          <w14:ligatures w14:val="none"/>
        </w:rPr>
        <w:t>结论、专家名单及其签名复印件等；</w:t>
      </w:r>
    </w:p>
    <w:p w14:paraId="2233E278"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（三）法律意见书；</w:t>
      </w:r>
    </w:p>
    <w:p w14:paraId="3B83EAFA"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（四）企业董事会决议；</w:t>
      </w:r>
    </w:p>
    <w:p w14:paraId="4EDA3EB1"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（五）特别监管类项目需取得区人民政府相关意见；</w:t>
      </w:r>
    </w:p>
    <w:p w14:paraId="25A3E192"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（六）股权投资项目涉及的尽职调查报告、财务审计、清产核资、资产评估等专业报告；</w:t>
      </w:r>
    </w:p>
    <w:p w14:paraId="1B116CA4"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（七）其他必要的材料。</w:t>
      </w:r>
    </w:p>
    <w:p w14:paraId="068197D0" w14:textId="77777777" w:rsidR="00500704" w:rsidRPr="00500704" w:rsidRDefault="00500704" w:rsidP="00500704">
      <w:pPr>
        <w:widowControl/>
        <w:shd w:val="clear" w:color="auto" w:fill="FFFFFF"/>
        <w:spacing w:line="560" w:lineRule="atLeast"/>
        <w:ind w:firstLine="640"/>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区国资</w:t>
      </w:r>
      <w:proofErr w:type="gramStart"/>
      <w:r w:rsidRPr="00500704">
        <w:rPr>
          <w:rFonts w:ascii="微软雅黑" w:eastAsia="微软雅黑" w:hAnsi="微软雅黑" w:cs="宋体" w:hint="eastAsia"/>
          <w:color w:val="333333"/>
          <w:kern w:val="0"/>
          <w:sz w:val="32"/>
          <w:szCs w:val="32"/>
          <w:bdr w:val="none" w:sz="0" w:space="0" w:color="auto" w:frame="1"/>
          <w14:ligatures w14:val="none"/>
        </w:rPr>
        <w:t>委收到</w:t>
      </w:r>
      <w:proofErr w:type="gramEnd"/>
      <w:r w:rsidRPr="00500704">
        <w:rPr>
          <w:rFonts w:ascii="微软雅黑" w:eastAsia="微软雅黑" w:hAnsi="微软雅黑" w:cs="宋体" w:hint="eastAsia"/>
          <w:color w:val="333333"/>
          <w:kern w:val="0"/>
          <w:sz w:val="32"/>
          <w:szCs w:val="32"/>
          <w:bdr w:val="none" w:sz="0" w:space="0" w:color="auto" w:frame="1"/>
          <w14:ligatures w14:val="none"/>
        </w:rPr>
        <w:t>企业投资项目申请核准的请示及相关完整材料后，应在</w:t>
      </w:r>
      <w:r w:rsidRPr="00500704">
        <w:rPr>
          <w:rFonts w:ascii="仿宋_GB2312" w:eastAsia="仿宋_GB2312" w:hAnsi="inherit" w:cs="宋体" w:hint="eastAsia"/>
          <w:color w:val="333333"/>
          <w:kern w:val="0"/>
          <w:sz w:val="32"/>
          <w:szCs w:val="32"/>
          <w:bdr w:val="none" w:sz="0" w:space="0" w:color="auto" w:frame="1"/>
          <w14:ligatures w14:val="none"/>
        </w:rPr>
        <w:t>20个工作日内向企业反馈书面意见。区国资委认为有必要时，可委托第三</w:t>
      </w:r>
      <w:proofErr w:type="gramStart"/>
      <w:r w:rsidRPr="00500704">
        <w:rPr>
          <w:rFonts w:ascii="仿宋_GB2312" w:eastAsia="仿宋_GB2312" w:hAnsi="inherit" w:cs="宋体" w:hint="eastAsia"/>
          <w:color w:val="333333"/>
          <w:kern w:val="0"/>
          <w:sz w:val="32"/>
          <w:szCs w:val="32"/>
          <w:bdr w:val="none" w:sz="0" w:space="0" w:color="auto" w:frame="1"/>
          <w14:ligatures w14:val="none"/>
        </w:rPr>
        <w:t>方咨询</w:t>
      </w:r>
      <w:proofErr w:type="gramEnd"/>
      <w:r w:rsidRPr="00500704">
        <w:rPr>
          <w:rFonts w:ascii="仿宋_GB2312" w:eastAsia="仿宋_GB2312" w:hAnsi="inherit" w:cs="宋体" w:hint="eastAsia"/>
          <w:color w:val="333333"/>
          <w:kern w:val="0"/>
          <w:sz w:val="32"/>
          <w:szCs w:val="32"/>
          <w:bdr w:val="none" w:sz="0" w:space="0" w:color="auto" w:frame="1"/>
          <w14:ligatures w14:val="none"/>
        </w:rPr>
        <w:t>机构对投资项目进行论证。</w:t>
      </w:r>
    </w:p>
    <w:p w14:paraId="34A9BDEF" w14:textId="77777777" w:rsidR="00500704" w:rsidRPr="00500704" w:rsidRDefault="00500704" w:rsidP="00500704">
      <w:pPr>
        <w:widowControl/>
        <w:shd w:val="clear" w:color="auto" w:fill="FFFFFF"/>
        <w:spacing w:line="560" w:lineRule="atLeast"/>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 </w:t>
      </w:r>
    </w:p>
    <w:p w14:paraId="6EE85C94" w14:textId="77777777" w:rsidR="00500704" w:rsidRPr="00500704" w:rsidRDefault="00500704" w:rsidP="00500704">
      <w:pPr>
        <w:widowControl/>
        <w:shd w:val="clear" w:color="auto" w:fill="FFFFFF"/>
        <w:spacing w:line="560" w:lineRule="atLeast"/>
        <w:jc w:val="center"/>
        <w:rPr>
          <w:rFonts w:ascii="inherit" w:eastAsia="微软雅黑" w:hAnsi="inherit" w:cs="宋体"/>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第四章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投资事中</w:t>
      </w:r>
      <w:r w:rsidRPr="00500704">
        <w:rPr>
          <w:rFonts w:ascii="黑体" w:eastAsia="黑体" w:hAnsi="黑体" w:cs="宋体" w:hint="eastAsia"/>
          <w:color w:val="333333"/>
          <w:kern w:val="0"/>
          <w:sz w:val="32"/>
          <w:szCs w:val="32"/>
          <w:bdr w:val="none" w:sz="0" w:space="0" w:color="auto" w:frame="1"/>
          <w14:ligatures w14:val="none"/>
        </w:rPr>
        <w:t>风险管理</w:t>
      </w:r>
      <w:r w:rsidRPr="00500704">
        <w:rPr>
          <w:rFonts w:ascii="Calibri" w:eastAsia="黑体" w:hAnsi="Calibri" w:cs="Calibri"/>
          <w:color w:val="333333"/>
          <w:kern w:val="0"/>
          <w:sz w:val="32"/>
          <w:szCs w:val="32"/>
          <w:bdr w:val="none" w:sz="0" w:space="0" w:color="auto" w:frame="1"/>
          <w14:ligatures w14:val="none"/>
        </w:rPr>
        <w:t>  </w:t>
      </w:r>
    </w:p>
    <w:p w14:paraId="6334830A" w14:textId="77777777" w:rsidR="00500704" w:rsidRPr="00500704" w:rsidRDefault="00500704" w:rsidP="00500704">
      <w:pPr>
        <w:widowControl/>
        <w:shd w:val="clear" w:color="auto" w:fill="FFFFFF"/>
        <w:wordWrap w:val="0"/>
        <w:spacing w:line="56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lastRenderedPageBreak/>
        <w:t>第十七条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应定期对实施、运营中的重大投资项目进行跟踪分析，针对内外部环境和投资项目本身情况变化，及时进行再决策。如出现影响投资项目实现的重大不利变化时，应重新履行投资决策程序，必要时应启动中止、终止或退出机制，并将有关情况报告区国资委。</w:t>
      </w:r>
    </w:p>
    <w:p w14:paraId="7093F869" w14:textId="77777777" w:rsidR="00500704" w:rsidRPr="00500704" w:rsidRDefault="00500704" w:rsidP="00500704">
      <w:pPr>
        <w:widowControl/>
        <w:shd w:val="clear" w:color="auto" w:fill="FFFFFF"/>
        <w:wordWrap w:val="0"/>
        <w:spacing w:line="500" w:lineRule="atLeast"/>
        <w:ind w:firstLine="643"/>
        <w:jc w:val="lef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第十八</w:t>
      </w:r>
      <w:r w:rsidRPr="00500704">
        <w:rPr>
          <w:rFonts w:ascii="微软雅黑" w:eastAsia="微软雅黑" w:hAnsi="微软雅黑" w:cs="宋体" w:hint="eastAsia"/>
          <w:b/>
          <w:bCs/>
          <w:color w:val="333333"/>
          <w:kern w:val="0"/>
          <w:sz w:val="32"/>
          <w:szCs w:val="32"/>
          <w:bdr w:val="none" w:sz="0" w:space="0" w:color="auto" w:frame="1"/>
          <w14:ligatures w14:val="none"/>
        </w:rPr>
        <w:t>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企业应当按照区国资委要求，分别于每年7月10日前将上半年投资进展情况以</w:t>
      </w:r>
      <w:proofErr w:type="gramStart"/>
      <w:r w:rsidRPr="00500704">
        <w:rPr>
          <w:rFonts w:ascii="仿宋_GB2312" w:eastAsia="仿宋_GB2312" w:hAnsi="inherit" w:cs="宋体" w:hint="eastAsia"/>
          <w:color w:val="333333"/>
          <w:kern w:val="0"/>
          <w:sz w:val="32"/>
          <w:szCs w:val="32"/>
          <w:bdr w:val="none" w:sz="0" w:space="0" w:color="auto" w:frame="1"/>
          <w14:ligatures w14:val="none"/>
        </w:rPr>
        <w:t>纸件形式</w:t>
      </w:r>
      <w:proofErr w:type="gramEnd"/>
      <w:r w:rsidRPr="00500704">
        <w:rPr>
          <w:rFonts w:ascii="仿宋_GB2312" w:eastAsia="仿宋_GB2312" w:hAnsi="inherit" w:cs="宋体" w:hint="eastAsia"/>
          <w:color w:val="333333"/>
          <w:kern w:val="0"/>
          <w:sz w:val="32"/>
          <w:szCs w:val="32"/>
          <w:bdr w:val="none" w:sz="0" w:space="0" w:color="auto" w:frame="1"/>
          <w14:ligatures w14:val="none"/>
        </w:rPr>
        <w:t>报送区国资委。投资进展情况主要包括固定资产投资、股权投资、产权收购、合资合作等重大投资项目完成情况，存在问题以及需要报告的其它事项等内容。区国资委对发现的问题向企业进行提示，企业要按要求进行整改。</w:t>
      </w:r>
    </w:p>
    <w:p w14:paraId="77ADD5EB" w14:textId="77777777" w:rsidR="00500704" w:rsidRPr="00500704" w:rsidRDefault="00500704" w:rsidP="00500704">
      <w:pPr>
        <w:widowControl/>
        <w:shd w:val="clear" w:color="auto" w:fill="FFFFFF"/>
        <w:jc w:val="left"/>
        <w:rPr>
          <w:rFonts w:ascii="微软雅黑" w:eastAsia="微软雅黑" w:hAnsi="微软雅黑" w:cs="宋体"/>
          <w:color w:val="333333"/>
          <w:kern w:val="0"/>
          <w:szCs w:val="21"/>
          <w14:ligatures w14:val="none"/>
        </w:rPr>
      </w:pPr>
      <w:r w:rsidRPr="00500704">
        <w:rPr>
          <w:rFonts w:ascii="微软雅黑" w:eastAsia="微软雅黑" w:hAnsi="微软雅黑" w:cs="宋体" w:hint="eastAsia"/>
          <w:color w:val="333333"/>
          <w:kern w:val="0"/>
          <w:szCs w:val="21"/>
          <w:bdr w:val="none" w:sz="0" w:space="0" w:color="auto" w:frame="1"/>
          <w14:ligatures w14:val="none"/>
        </w:rPr>
        <w:t> </w:t>
      </w:r>
    </w:p>
    <w:p w14:paraId="62F48949" w14:textId="77777777" w:rsidR="00500704" w:rsidRPr="00500704" w:rsidRDefault="00500704" w:rsidP="00500704">
      <w:pPr>
        <w:widowControl/>
        <w:shd w:val="clear" w:color="auto" w:fill="FFFFFF"/>
        <w:spacing w:line="520" w:lineRule="atLeast"/>
        <w:jc w:val="center"/>
        <w:rPr>
          <w:rFonts w:ascii="inherit" w:eastAsia="微软雅黑" w:hAnsi="inherit" w:cs="宋体" w:hint="eastAsia"/>
          <w:color w:val="333333"/>
          <w:kern w:val="0"/>
          <w:szCs w:val="21"/>
          <w14:ligatures w14:val="none"/>
        </w:rPr>
      </w:pPr>
      <w:r w:rsidRPr="00500704">
        <w:rPr>
          <w:rFonts w:ascii="微软雅黑" w:eastAsia="微软雅黑" w:hAnsi="微软雅黑" w:cs="宋体" w:hint="eastAsia"/>
          <w:color w:val="333333"/>
          <w:kern w:val="0"/>
          <w:sz w:val="32"/>
          <w:szCs w:val="32"/>
          <w:bdr w:val="none" w:sz="0" w:space="0" w:color="auto" w:frame="1"/>
          <w14:ligatures w14:val="none"/>
        </w:rPr>
        <w:t>第五章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投资事后</w:t>
      </w:r>
      <w:r w:rsidRPr="00500704">
        <w:rPr>
          <w:rFonts w:ascii="黑体" w:eastAsia="黑体" w:hAnsi="黑体" w:cs="宋体" w:hint="eastAsia"/>
          <w:color w:val="333333"/>
          <w:kern w:val="0"/>
          <w:sz w:val="32"/>
          <w:szCs w:val="32"/>
          <w:bdr w:val="none" w:sz="0" w:space="0" w:color="auto" w:frame="1"/>
          <w14:ligatures w14:val="none"/>
        </w:rPr>
        <w:t>风险管理</w:t>
      </w:r>
    </w:p>
    <w:p w14:paraId="5A43AB88" w14:textId="77777777" w:rsidR="00500704" w:rsidRPr="00500704" w:rsidRDefault="00500704" w:rsidP="00500704">
      <w:pPr>
        <w:widowControl/>
        <w:shd w:val="clear" w:color="auto" w:fill="FFFFFF"/>
        <w:wordWrap w:val="0"/>
        <w:spacing w:line="52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第十九条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投资项目实施完成后，企业应围绕项目后评价、项目审计、投资回报三个重点强化风险管理。</w:t>
      </w:r>
    </w:p>
    <w:p w14:paraId="71185D77" w14:textId="77777777" w:rsidR="00500704" w:rsidRPr="00500704" w:rsidRDefault="00500704" w:rsidP="00500704">
      <w:pPr>
        <w:widowControl/>
        <w:shd w:val="clear" w:color="auto" w:fill="FFFFFF"/>
        <w:spacing w:line="50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企业应当每年选择部分已完成重大投资项目开展后评价，形成后评价专项报告。通过项目后评价，完善监管企业投资决策机制，提高投资项目成功率和投资收益，总结投资经验，为后续投资活动提供参考，提高投资管理水平；</w:t>
      </w:r>
    </w:p>
    <w:p w14:paraId="4EC68EFF" w14:textId="77777777" w:rsidR="00500704" w:rsidRPr="00500704" w:rsidRDefault="00500704" w:rsidP="00500704">
      <w:pPr>
        <w:widowControl/>
        <w:shd w:val="clear" w:color="auto" w:fill="FFFFFF"/>
        <w:spacing w:line="50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（二）企业应开展投资项目专项审计，重点审计投资决策、资金使用、投资收益、风险管控等关键环节；</w:t>
      </w:r>
    </w:p>
    <w:p w14:paraId="3268B4B7" w14:textId="77777777" w:rsidR="00500704" w:rsidRPr="00500704" w:rsidRDefault="00500704" w:rsidP="00500704">
      <w:pPr>
        <w:widowControl/>
        <w:shd w:val="clear" w:color="auto" w:fill="FFFFFF"/>
        <w:spacing w:line="50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lastRenderedPageBreak/>
        <w:t>（三）企业投资项目完成后，应当要求所投资企业积极实施利润分配，切实保障投资收益。</w:t>
      </w:r>
    </w:p>
    <w:p w14:paraId="75E98F6B" w14:textId="77777777" w:rsidR="00500704" w:rsidRPr="00500704" w:rsidRDefault="00500704" w:rsidP="00500704">
      <w:pPr>
        <w:widowControl/>
        <w:shd w:val="clear" w:color="auto" w:fill="FFFFFF"/>
        <w:wordWrap w:val="0"/>
        <w:spacing w:line="52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第二十</w:t>
      </w:r>
      <w:r w:rsidRPr="00500704">
        <w:rPr>
          <w:rFonts w:ascii="微软雅黑" w:eastAsia="微软雅黑" w:hAnsi="微软雅黑" w:cs="宋体" w:hint="eastAsia"/>
          <w:b/>
          <w:bCs/>
          <w:color w:val="333333"/>
          <w:kern w:val="0"/>
          <w:sz w:val="32"/>
          <w:szCs w:val="32"/>
          <w:bdr w:val="none" w:sz="0" w:space="0" w:color="auto" w:frame="1"/>
          <w14:ligatures w14:val="none"/>
        </w:rPr>
        <w:t>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企业在年度投资完成后，应编制年度投资完成</w:t>
      </w:r>
      <w:r w:rsidRPr="00500704">
        <w:rPr>
          <w:rFonts w:ascii="微软雅黑" w:eastAsia="微软雅黑" w:hAnsi="微软雅黑" w:cs="宋体" w:hint="eastAsia"/>
          <w:color w:val="333333"/>
          <w:kern w:val="0"/>
          <w:sz w:val="32"/>
          <w:szCs w:val="32"/>
          <w:bdr w:val="none" w:sz="0" w:space="0" w:color="auto" w:frame="1"/>
          <w14:ligatures w14:val="none"/>
        </w:rPr>
        <w:t>情况报告，并于下一年</w:t>
      </w:r>
      <w:r w:rsidRPr="00500704">
        <w:rPr>
          <w:rFonts w:ascii="仿宋_GB2312" w:eastAsia="仿宋_GB2312" w:hAnsi="inherit" w:cs="宋体" w:hint="eastAsia"/>
          <w:color w:val="333333"/>
          <w:kern w:val="0"/>
          <w:sz w:val="32"/>
          <w:szCs w:val="32"/>
          <w:bdr w:val="none" w:sz="0" w:space="0" w:color="auto" w:frame="1"/>
          <w14:ligatures w14:val="none"/>
        </w:rPr>
        <w:t>1月31日前以书面形式报送区国资委。年度投资完成情况报告包括但不限于以下内容：</w:t>
      </w:r>
    </w:p>
    <w:p w14:paraId="1C2FEBE4" w14:textId="77777777" w:rsidR="00500704" w:rsidRPr="00500704" w:rsidRDefault="00500704" w:rsidP="00500704">
      <w:pPr>
        <w:widowControl/>
        <w:shd w:val="clear" w:color="auto" w:fill="FFFFFF"/>
        <w:wordWrap w:val="0"/>
        <w:spacing w:line="52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（一）年度投资完成总体情况；</w:t>
      </w:r>
    </w:p>
    <w:p w14:paraId="75795295" w14:textId="77777777" w:rsidR="00500704" w:rsidRPr="00500704" w:rsidRDefault="00500704" w:rsidP="00500704">
      <w:pPr>
        <w:widowControl/>
        <w:shd w:val="clear" w:color="auto" w:fill="FFFFFF"/>
        <w:wordWrap w:val="0"/>
        <w:spacing w:line="52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（二）年度投资效果分析；</w:t>
      </w:r>
    </w:p>
    <w:p w14:paraId="4A620647" w14:textId="77777777" w:rsidR="00500704" w:rsidRPr="00500704" w:rsidRDefault="00500704" w:rsidP="00500704">
      <w:pPr>
        <w:widowControl/>
        <w:shd w:val="clear" w:color="auto" w:fill="FFFFFF"/>
        <w:wordWrap w:val="0"/>
        <w:spacing w:line="52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（三）重大投资项目进展情况；</w:t>
      </w:r>
    </w:p>
    <w:p w14:paraId="2D97BE37" w14:textId="77777777" w:rsidR="00500704" w:rsidRPr="00500704" w:rsidRDefault="00500704" w:rsidP="00500704">
      <w:pPr>
        <w:widowControl/>
        <w:shd w:val="clear" w:color="auto" w:fill="FFFFFF"/>
        <w:wordWrap w:val="0"/>
        <w:spacing w:line="52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（四）年度投资后评价工作开展情况；</w:t>
      </w:r>
    </w:p>
    <w:p w14:paraId="31691774" w14:textId="77777777" w:rsidR="00500704" w:rsidRPr="00500704" w:rsidRDefault="00500704" w:rsidP="00500704">
      <w:pPr>
        <w:widowControl/>
        <w:shd w:val="clear" w:color="auto" w:fill="FFFFFF"/>
        <w:wordWrap w:val="0"/>
        <w:spacing w:line="52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（五）年度投资存在的主要问题、整改措施及有关建议；</w:t>
      </w:r>
    </w:p>
    <w:p w14:paraId="27B57DF5" w14:textId="77777777" w:rsidR="00500704" w:rsidRPr="00500704" w:rsidRDefault="00500704" w:rsidP="00500704">
      <w:pPr>
        <w:widowControl/>
        <w:shd w:val="clear" w:color="auto" w:fill="FFFFFF"/>
        <w:spacing w:line="520" w:lineRule="atLeast"/>
        <w:ind w:firstLine="640"/>
        <w:rPr>
          <w:rFonts w:ascii="inherit" w:eastAsia="微软雅黑" w:hAnsi="inherit" w:cs="宋体"/>
          <w:color w:val="333333"/>
          <w:kern w:val="0"/>
          <w:szCs w:val="21"/>
          <w14:ligatures w14:val="none"/>
        </w:rPr>
      </w:pPr>
      <w:r w:rsidRPr="00500704">
        <w:rPr>
          <w:rFonts w:ascii="仿宋_GB2312" w:eastAsia="仿宋_GB2312" w:hAnsi="inherit" w:cs="宋体" w:hint="eastAsia"/>
          <w:color w:val="333333"/>
          <w:kern w:val="0"/>
          <w:sz w:val="32"/>
          <w:szCs w:val="32"/>
          <w:bdr w:val="none" w:sz="0" w:space="0" w:color="auto" w:frame="1"/>
          <w14:ligatures w14:val="none"/>
        </w:rPr>
        <w:t>（六）年度投资完成情况表（具体要求见附表）。</w:t>
      </w:r>
    </w:p>
    <w:p w14:paraId="78ADD80C" w14:textId="77777777" w:rsidR="00500704" w:rsidRPr="00500704" w:rsidRDefault="00500704" w:rsidP="00500704">
      <w:pPr>
        <w:widowControl/>
        <w:shd w:val="clear" w:color="auto" w:fill="FFFFFF"/>
        <w:wordWrap w:val="0"/>
        <w:spacing w:line="520" w:lineRule="atLeast"/>
        <w:ind w:firstLine="643"/>
        <w:jc w:val="lef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第二十一</w:t>
      </w:r>
      <w:r w:rsidRPr="00500704">
        <w:rPr>
          <w:rFonts w:ascii="微软雅黑" w:eastAsia="微软雅黑" w:hAnsi="微软雅黑" w:cs="宋体" w:hint="eastAsia"/>
          <w:b/>
          <w:bCs/>
          <w:color w:val="333333"/>
          <w:kern w:val="0"/>
          <w:sz w:val="32"/>
          <w:szCs w:val="32"/>
          <w:bdr w:val="none" w:sz="0" w:space="0" w:color="auto" w:frame="1"/>
          <w14:ligatures w14:val="none"/>
        </w:rPr>
        <w:t>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区国资委负责指导、管理企业投资项目后评价工作，督促检查监管企业建立后评价制度和开展后评价工作，可根据需要对企业已完成的投资项目有选择地开展后评价，并向企业通报后评价结果。</w:t>
      </w:r>
    </w:p>
    <w:p w14:paraId="40463F78" w14:textId="77777777" w:rsidR="00500704" w:rsidRPr="00500704" w:rsidRDefault="00500704" w:rsidP="00500704">
      <w:pPr>
        <w:widowControl/>
        <w:shd w:val="clear" w:color="auto" w:fill="FFFFFF"/>
        <w:jc w:val="left"/>
        <w:rPr>
          <w:rFonts w:ascii="微软雅黑" w:eastAsia="微软雅黑" w:hAnsi="微软雅黑" w:cs="宋体"/>
          <w:color w:val="333333"/>
          <w:kern w:val="0"/>
          <w:szCs w:val="21"/>
          <w14:ligatures w14:val="none"/>
        </w:rPr>
      </w:pPr>
      <w:r w:rsidRPr="00500704">
        <w:rPr>
          <w:rFonts w:ascii="微软雅黑" w:eastAsia="微软雅黑" w:hAnsi="微软雅黑" w:cs="宋体" w:hint="eastAsia"/>
          <w:color w:val="333333"/>
          <w:kern w:val="0"/>
          <w:szCs w:val="21"/>
          <w:bdr w:val="none" w:sz="0" w:space="0" w:color="auto" w:frame="1"/>
          <w14:ligatures w14:val="none"/>
        </w:rPr>
        <w:t> </w:t>
      </w:r>
    </w:p>
    <w:p w14:paraId="61FDA2DA" w14:textId="77777777" w:rsidR="00500704" w:rsidRPr="00500704" w:rsidRDefault="00500704" w:rsidP="00500704">
      <w:pPr>
        <w:widowControl/>
        <w:shd w:val="clear" w:color="auto" w:fill="FFFFFF"/>
        <w:spacing w:line="520" w:lineRule="atLeast"/>
        <w:jc w:val="center"/>
        <w:rPr>
          <w:rFonts w:ascii="inherit" w:eastAsia="微软雅黑" w:hAnsi="inherit" w:cs="宋体" w:hint="eastAsia"/>
          <w:color w:val="333333"/>
          <w:kern w:val="0"/>
          <w:szCs w:val="21"/>
          <w14:ligatures w14:val="none"/>
        </w:rPr>
      </w:pPr>
      <w:r w:rsidRPr="00500704">
        <w:rPr>
          <w:rFonts w:ascii="黑体" w:eastAsia="黑体" w:hAnsi="黑体" w:cs="宋体" w:hint="eastAsia"/>
          <w:color w:val="333333"/>
          <w:kern w:val="0"/>
          <w:sz w:val="32"/>
          <w:szCs w:val="32"/>
          <w:bdr w:val="none" w:sz="0" w:space="0" w:color="auto" w:frame="1"/>
          <w14:ligatures w14:val="none"/>
        </w:rPr>
        <w:t>第六</w:t>
      </w:r>
      <w:r w:rsidRPr="00500704">
        <w:rPr>
          <w:rFonts w:ascii="微软雅黑" w:eastAsia="微软雅黑" w:hAnsi="微软雅黑" w:cs="宋体" w:hint="eastAsia"/>
          <w:color w:val="333333"/>
          <w:kern w:val="0"/>
          <w:sz w:val="32"/>
          <w:szCs w:val="32"/>
          <w:bdr w:val="none" w:sz="0" w:space="0" w:color="auto" w:frame="1"/>
          <w14:ligatures w14:val="none"/>
        </w:rPr>
        <w:t>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责任追究</w:t>
      </w:r>
    </w:p>
    <w:p w14:paraId="5A5D713E" w14:textId="77777777" w:rsidR="00500704" w:rsidRPr="00500704" w:rsidRDefault="00500704" w:rsidP="00500704">
      <w:pPr>
        <w:widowControl/>
        <w:shd w:val="clear" w:color="auto" w:fill="FFFFFF"/>
        <w:wordWrap w:val="0"/>
        <w:spacing w:line="52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第二十二</w:t>
      </w:r>
      <w:r w:rsidRPr="00500704">
        <w:rPr>
          <w:rFonts w:ascii="微软雅黑" w:eastAsia="微软雅黑" w:hAnsi="微软雅黑" w:cs="宋体" w:hint="eastAsia"/>
          <w:b/>
          <w:bCs/>
          <w:color w:val="333333"/>
          <w:kern w:val="0"/>
          <w:sz w:val="32"/>
          <w:szCs w:val="32"/>
          <w:bdr w:val="none" w:sz="0" w:space="0" w:color="auto" w:frame="1"/>
          <w14:ligatures w14:val="none"/>
        </w:rPr>
        <w:t>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企业应建立投资决策终身责任追究及责任倒查机制，对违反本办法规定，未履行或未正确履行投资管理职责，通过下沉项目、拆分项目等形式有意逃避监督，造成国有资产损失以及其他严重不良后果的，依照《中华人民共和国企业国有资产法》《国有企业领导人员廉洁从业若干</w:t>
      </w:r>
      <w:r w:rsidRPr="00500704">
        <w:rPr>
          <w:rFonts w:ascii="仿宋_GB2312" w:eastAsia="仿宋_GB2312" w:hAnsi="inherit" w:cs="宋体" w:hint="eastAsia"/>
          <w:color w:val="333333"/>
          <w:kern w:val="0"/>
          <w:sz w:val="32"/>
          <w:szCs w:val="32"/>
          <w:bdr w:val="none" w:sz="0" w:space="0" w:color="auto" w:frame="1"/>
          <w14:ligatures w14:val="none"/>
        </w:rPr>
        <w:lastRenderedPageBreak/>
        <w:t>规定》等有关规定，由有关部门追究企业经营管理人员的责任。</w:t>
      </w:r>
    </w:p>
    <w:p w14:paraId="4DCE2E84" w14:textId="77777777" w:rsidR="00500704" w:rsidRPr="00500704" w:rsidRDefault="00500704" w:rsidP="00500704">
      <w:pPr>
        <w:widowControl/>
        <w:shd w:val="clear" w:color="auto" w:fill="FFFFFF"/>
        <w:wordWrap w:val="0"/>
        <w:spacing w:line="52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第二十三</w:t>
      </w:r>
      <w:r w:rsidRPr="00500704">
        <w:rPr>
          <w:rFonts w:ascii="微软雅黑" w:eastAsia="微软雅黑" w:hAnsi="微软雅黑" w:cs="宋体" w:hint="eastAsia"/>
          <w:b/>
          <w:bCs/>
          <w:color w:val="333333"/>
          <w:kern w:val="0"/>
          <w:sz w:val="32"/>
          <w:szCs w:val="32"/>
          <w:bdr w:val="none" w:sz="0" w:space="0" w:color="auto" w:frame="1"/>
          <w14:ligatures w14:val="none"/>
        </w:rPr>
        <w:t>条</w:t>
      </w:r>
      <w:r w:rsidRPr="00500704">
        <w:rPr>
          <w:rFonts w:ascii="仿宋_GB2312" w:eastAsia="仿宋_GB2312" w:hAnsi="inherit" w:cs="宋体" w:hint="eastAsia"/>
          <w:b/>
          <w:bCs/>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委相关</w:t>
      </w:r>
      <w:proofErr w:type="gramEnd"/>
      <w:r w:rsidRPr="00500704">
        <w:rPr>
          <w:rFonts w:ascii="仿宋_GB2312" w:eastAsia="仿宋_GB2312" w:hAnsi="inherit" w:cs="宋体" w:hint="eastAsia"/>
          <w:color w:val="333333"/>
          <w:kern w:val="0"/>
          <w:sz w:val="32"/>
          <w:szCs w:val="32"/>
          <w:bdr w:val="none" w:sz="0" w:space="0" w:color="auto" w:frame="1"/>
          <w14:ligatures w14:val="none"/>
        </w:rPr>
        <w:t>工作人员违反本办法规定造成不良影响的，由区国资委责令其改正；造成国有资产损失的，按照干部管理权限对其进行责任追究；涉嫌犯罪的，依法移送司法机关处理。</w:t>
      </w:r>
    </w:p>
    <w:p w14:paraId="79DB535E" w14:textId="77777777" w:rsidR="00500704" w:rsidRPr="00500704" w:rsidRDefault="00500704" w:rsidP="00500704">
      <w:pPr>
        <w:widowControl/>
        <w:shd w:val="clear" w:color="auto" w:fill="FFFFFF"/>
        <w:spacing w:line="520" w:lineRule="atLeas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 </w:t>
      </w:r>
    </w:p>
    <w:p w14:paraId="6E1A400C" w14:textId="77777777" w:rsidR="00500704" w:rsidRPr="00500704" w:rsidRDefault="00500704" w:rsidP="00500704">
      <w:pPr>
        <w:widowControl/>
        <w:shd w:val="clear" w:color="auto" w:fill="FFFFFF"/>
        <w:spacing w:line="520" w:lineRule="atLeast"/>
        <w:jc w:val="center"/>
        <w:rPr>
          <w:rFonts w:ascii="inherit" w:eastAsia="微软雅黑" w:hAnsi="inherit" w:cs="宋体"/>
          <w:color w:val="333333"/>
          <w:kern w:val="0"/>
          <w:szCs w:val="21"/>
          <w14:ligatures w14:val="none"/>
        </w:rPr>
      </w:pPr>
      <w:r w:rsidRPr="00500704">
        <w:rPr>
          <w:rFonts w:ascii="黑体" w:eastAsia="黑体" w:hAnsi="黑体" w:cs="宋体" w:hint="eastAsia"/>
          <w:color w:val="333333"/>
          <w:kern w:val="0"/>
          <w:sz w:val="32"/>
          <w:szCs w:val="32"/>
          <w:bdr w:val="none" w:sz="0" w:space="0" w:color="auto" w:frame="1"/>
          <w14:ligatures w14:val="none"/>
        </w:rPr>
        <w:t>第七</w:t>
      </w:r>
      <w:r w:rsidRPr="00500704">
        <w:rPr>
          <w:rFonts w:ascii="微软雅黑" w:eastAsia="微软雅黑" w:hAnsi="微软雅黑" w:cs="宋体" w:hint="eastAsia"/>
          <w:color w:val="333333"/>
          <w:kern w:val="0"/>
          <w:sz w:val="32"/>
          <w:szCs w:val="32"/>
          <w:bdr w:val="none" w:sz="0" w:space="0" w:color="auto" w:frame="1"/>
          <w14:ligatures w14:val="none"/>
        </w:rPr>
        <w:t>章</w:t>
      </w:r>
      <w:r w:rsidRPr="00500704">
        <w:rPr>
          <w:rFonts w:ascii="Calibri" w:eastAsia="黑体" w:hAnsi="Calibri" w:cs="Calibri"/>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附</w:t>
      </w:r>
      <w:r w:rsidRPr="00500704">
        <w:rPr>
          <w:rFonts w:ascii="Calibri" w:eastAsia="黑体" w:hAnsi="Calibri" w:cs="Calibri"/>
          <w:color w:val="333333"/>
          <w:kern w:val="0"/>
          <w:sz w:val="32"/>
          <w:szCs w:val="32"/>
          <w:bdr w:val="none" w:sz="0" w:space="0" w:color="auto" w:frame="1"/>
          <w14:ligatures w14:val="none"/>
        </w:rPr>
        <w:t>  </w:t>
      </w:r>
      <w:r w:rsidRPr="00500704">
        <w:rPr>
          <w:rFonts w:ascii="黑体" w:eastAsia="黑体" w:hAnsi="黑体" w:cs="宋体" w:hint="eastAsia"/>
          <w:color w:val="333333"/>
          <w:kern w:val="0"/>
          <w:sz w:val="32"/>
          <w:szCs w:val="32"/>
          <w:bdr w:val="none" w:sz="0" w:space="0" w:color="auto" w:frame="1"/>
          <w14:ligatures w14:val="none"/>
        </w:rPr>
        <w:t>则</w:t>
      </w:r>
    </w:p>
    <w:p w14:paraId="0017F2CA" w14:textId="77777777" w:rsidR="00500704" w:rsidRPr="00500704" w:rsidRDefault="00500704" w:rsidP="00500704">
      <w:pPr>
        <w:widowControl/>
        <w:shd w:val="clear" w:color="auto" w:fill="FFFFFF"/>
        <w:wordWrap w:val="0"/>
        <w:spacing w:line="520" w:lineRule="atLeast"/>
        <w:ind w:firstLine="643"/>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第二十四条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仿宋_GB2312" w:eastAsia="仿宋_GB2312" w:hAnsi="inherit" w:cs="宋体" w:hint="eastAsia"/>
          <w:color w:val="333333"/>
          <w:kern w:val="0"/>
          <w:sz w:val="32"/>
          <w:szCs w:val="32"/>
          <w:bdr w:val="none" w:sz="0" w:space="0" w:color="auto" w:frame="1"/>
          <w14:ligatures w14:val="none"/>
        </w:rPr>
        <w:t>区国资委应按照本办法对企业的投资活动进行监管，企业应按照本办法要求和时限，及时将审核或备案材料报送至区国资</w:t>
      </w:r>
      <w:proofErr w:type="gramStart"/>
      <w:r w:rsidRPr="00500704">
        <w:rPr>
          <w:rFonts w:ascii="仿宋_GB2312" w:eastAsia="仿宋_GB2312" w:hAnsi="inherit" w:cs="宋体" w:hint="eastAsia"/>
          <w:color w:val="333333"/>
          <w:kern w:val="0"/>
          <w:sz w:val="32"/>
          <w:szCs w:val="32"/>
          <w:bdr w:val="none" w:sz="0" w:space="0" w:color="auto" w:frame="1"/>
          <w14:ligatures w14:val="none"/>
        </w:rPr>
        <w:t>委履行</w:t>
      </w:r>
      <w:proofErr w:type="gramEnd"/>
      <w:r w:rsidRPr="00500704">
        <w:rPr>
          <w:rFonts w:ascii="仿宋_GB2312" w:eastAsia="仿宋_GB2312" w:hAnsi="inherit" w:cs="宋体" w:hint="eastAsia"/>
          <w:color w:val="333333"/>
          <w:kern w:val="0"/>
          <w:sz w:val="32"/>
          <w:szCs w:val="32"/>
          <w:bdr w:val="none" w:sz="0" w:space="0" w:color="auto" w:frame="1"/>
          <w14:ligatures w14:val="none"/>
        </w:rPr>
        <w:t>审核或备案程序。</w:t>
      </w:r>
    </w:p>
    <w:p w14:paraId="31C9EE8C" w14:textId="77777777" w:rsidR="00500704" w:rsidRPr="00500704" w:rsidRDefault="00500704" w:rsidP="00500704">
      <w:pPr>
        <w:widowControl/>
        <w:shd w:val="clear" w:color="auto" w:fill="FFFFFF"/>
        <w:wordWrap w:val="0"/>
        <w:spacing w:line="520" w:lineRule="atLeast"/>
        <w:ind w:firstLine="643"/>
        <w:jc w:val="left"/>
        <w:rPr>
          <w:rFonts w:ascii="inherit" w:eastAsia="微软雅黑" w:hAnsi="inherit" w:cs="宋体"/>
          <w:color w:val="333333"/>
          <w:kern w:val="0"/>
          <w:szCs w:val="21"/>
          <w14:ligatures w14:val="none"/>
        </w:rPr>
      </w:pPr>
      <w:r w:rsidRPr="00500704">
        <w:rPr>
          <w:rFonts w:ascii="仿宋_GB2312" w:eastAsia="仿宋_GB2312" w:hAnsi="inherit" w:cs="宋体" w:hint="eastAsia"/>
          <w:b/>
          <w:bCs/>
          <w:color w:val="333333"/>
          <w:kern w:val="0"/>
          <w:sz w:val="32"/>
          <w:szCs w:val="32"/>
          <w:bdr w:val="none" w:sz="0" w:space="0" w:color="auto" w:frame="1"/>
          <w14:ligatures w14:val="none"/>
        </w:rPr>
        <w:t>第二十五条</w:t>
      </w:r>
      <w:r w:rsidRPr="00500704">
        <w:rPr>
          <w:rFonts w:ascii="仿宋_GB2312" w:eastAsia="仿宋_GB2312" w:hAnsi="inherit" w:cs="宋体" w:hint="eastAsia"/>
          <w:color w:val="333333"/>
          <w:kern w:val="0"/>
          <w:sz w:val="32"/>
          <w:szCs w:val="32"/>
          <w:bdr w:val="none" w:sz="0" w:space="0" w:color="auto" w:frame="1"/>
          <w14:ligatures w14:val="none"/>
        </w:rPr>
        <w:t> </w:t>
      </w:r>
      <w:r w:rsidRPr="00500704">
        <w:rPr>
          <w:rFonts w:ascii="微软雅黑" w:eastAsia="微软雅黑" w:hAnsi="微软雅黑" w:cs="宋体" w:hint="eastAsia"/>
          <w:color w:val="333333"/>
          <w:kern w:val="0"/>
          <w:sz w:val="32"/>
          <w:szCs w:val="32"/>
          <w:bdr w:val="none" w:sz="0" w:space="0" w:color="auto" w:frame="1"/>
          <w14:ligatures w14:val="none"/>
        </w:rPr>
        <w:t>本办法由</w:t>
      </w:r>
      <w:r w:rsidRPr="00500704">
        <w:rPr>
          <w:rFonts w:ascii="仿宋_GB2312" w:eastAsia="仿宋_GB2312" w:hAnsi="inherit" w:cs="宋体" w:hint="eastAsia"/>
          <w:color w:val="333333"/>
          <w:kern w:val="0"/>
          <w:sz w:val="32"/>
          <w:szCs w:val="32"/>
          <w:bdr w:val="none" w:sz="0" w:space="0" w:color="auto" w:frame="1"/>
          <w14:ligatures w14:val="none"/>
        </w:rPr>
        <w:t>区国资委负责解释，自发布之日起施行</w:t>
      </w:r>
      <w:r w:rsidRPr="00500704">
        <w:rPr>
          <w:rFonts w:ascii="微软雅黑" w:eastAsia="微软雅黑" w:hAnsi="微软雅黑" w:cs="宋体" w:hint="eastAsia"/>
          <w:color w:val="333333"/>
          <w:kern w:val="0"/>
          <w:szCs w:val="21"/>
          <w:bdr w:val="none" w:sz="0" w:space="0" w:color="auto" w:frame="1"/>
          <w14:ligatures w14:val="none"/>
        </w:rPr>
        <w:t>。</w:t>
      </w:r>
    </w:p>
    <w:p w14:paraId="3279B54F" w14:textId="77777777" w:rsidR="006334DE" w:rsidRPr="00500704" w:rsidRDefault="006334DE"/>
    <w:sectPr w:rsidR="006334DE" w:rsidRPr="00500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inherit">
    <w:altName w:val="Cambria"/>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2F"/>
    <w:rsid w:val="002D232F"/>
    <w:rsid w:val="00500704"/>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E6D8"/>
  <w15:chartTrackingRefBased/>
  <w15:docId w15:val="{D3E72EB4-19EB-4B56-AEC9-F939A8FC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00704"/>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00704"/>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4">
    <w:name w:val="正文文本 字符"/>
    <w:basedOn w:val="a0"/>
    <w:link w:val="a3"/>
    <w:uiPriority w:val="99"/>
    <w:semiHidden/>
    <w:rsid w:val="00500704"/>
    <w:rPr>
      <w:rFonts w:ascii="宋体" w:eastAsia="宋体" w:hAnsi="宋体" w:cs="宋体"/>
      <w:kern w:val="0"/>
      <w:sz w:val="24"/>
      <w:szCs w:val="24"/>
      <w14:ligatures w14:val="none"/>
    </w:rPr>
  </w:style>
  <w:style w:type="paragraph" w:styleId="a5">
    <w:name w:val="footer"/>
    <w:basedOn w:val="a"/>
    <w:link w:val="a6"/>
    <w:uiPriority w:val="99"/>
    <w:semiHidden/>
    <w:unhideWhenUsed/>
    <w:rsid w:val="00500704"/>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6">
    <w:name w:val="页脚 字符"/>
    <w:basedOn w:val="a0"/>
    <w:link w:val="a5"/>
    <w:uiPriority w:val="99"/>
    <w:semiHidden/>
    <w:rsid w:val="00500704"/>
    <w:rPr>
      <w:rFonts w:ascii="宋体" w:eastAsia="宋体" w:hAnsi="宋体" w:cs="宋体"/>
      <w:kern w:val="0"/>
      <w:sz w:val="24"/>
      <w:szCs w:val="24"/>
      <w14:ligatures w14:val="none"/>
    </w:rPr>
  </w:style>
  <w:style w:type="paragraph" w:styleId="TOC9">
    <w:name w:val="toc 9"/>
    <w:basedOn w:val="a"/>
    <w:autoRedefine/>
    <w:uiPriority w:val="39"/>
    <w:semiHidden/>
    <w:unhideWhenUsed/>
    <w:rsid w:val="00500704"/>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500704"/>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9015">
      <w:bodyDiv w:val="1"/>
      <w:marLeft w:val="0"/>
      <w:marRight w:val="0"/>
      <w:marTop w:val="0"/>
      <w:marBottom w:val="0"/>
      <w:divBdr>
        <w:top w:val="none" w:sz="0" w:space="0" w:color="auto"/>
        <w:left w:val="none" w:sz="0" w:space="0" w:color="auto"/>
        <w:bottom w:val="none" w:sz="0" w:space="0" w:color="auto"/>
        <w:right w:val="none" w:sz="0" w:space="0" w:color="auto"/>
      </w:divBdr>
      <w:divsChild>
        <w:div w:id="1064790554">
          <w:marLeft w:val="0"/>
          <w:marRight w:val="0"/>
          <w:marTop w:val="0"/>
          <w:marBottom w:val="0"/>
          <w:divBdr>
            <w:top w:val="none" w:sz="0" w:space="0" w:color="auto"/>
            <w:left w:val="none" w:sz="0" w:space="0" w:color="auto"/>
            <w:bottom w:val="none" w:sz="0" w:space="0" w:color="auto"/>
            <w:right w:val="none" w:sz="0" w:space="0" w:color="auto"/>
          </w:divBdr>
        </w:div>
      </w:divsChild>
    </w:div>
    <w:div w:id="11816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2024-07-18T02:36:00Z</dcterms:created>
  <dcterms:modified xsi:type="dcterms:W3CDTF">2024-07-18T02:36:00Z</dcterms:modified>
</cp:coreProperties>
</file>