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hint="eastAsia" w:eastAsia="华文中宋" w:cs="华文中宋"/>
          <w:b/>
          <w:bCs/>
          <w:snapToGrid w:val="0"/>
          <w:color w:val="000000"/>
          <w:spacing w:val="-2"/>
          <w:kern w:val="0"/>
          <w:sz w:val="48"/>
          <w:szCs w:val="48"/>
          <w:lang w:eastAsia="zh-CN"/>
        </w:rPr>
      </w:pPr>
      <w:r>
        <w:rPr>
          <w:rFonts w:eastAsia="华文中宋" w:cs="华文中宋"/>
          <w:b/>
          <w:bCs/>
          <w:snapToGrid w:val="0"/>
          <w:color w:val="000000"/>
          <w:spacing w:val="-2"/>
          <w:kern w:val="0"/>
          <w:sz w:val="48"/>
          <w:szCs w:val="48"/>
        </w:rPr>
        <w:fldChar w:fldCharType="begin">
          <w:fldData xml:space="preserve">ZQBKAHoAdABYAFEAdAAwAFcAOABXAFoAbgBtAHYASgBrAGoAdwB4AHgAQgBpAFMAdQBLAFkAdABR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</w:fldData>
        </w:fldChar>
      </w:r>
      <w:r>
        <w:rPr>
          <w:rFonts w:hint="eastAsia" w:eastAsia="华文中宋" w:cs="华文中宋"/>
          <w:b/>
          <w:bCs/>
          <w:snapToGrid w:val="0"/>
          <w:color w:val="000000"/>
          <w:spacing w:val="-2"/>
          <w:kern w:val="0"/>
          <w:sz w:val="48"/>
          <w:szCs w:val="48"/>
          <w:lang w:eastAsia="zh-CN"/>
        </w:rPr>
        <w:instrText xml:space="preserve">ADDIN CNKISM.UserStyle</w:instrText>
      </w:r>
      <w:r>
        <w:rPr>
          <w:rFonts w:eastAsia="华文中宋" w:cs="华文中宋"/>
          <w:b/>
          <w:bCs/>
          <w:snapToGrid w:val="0"/>
          <w:color w:val="000000"/>
          <w:spacing w:val="-2"/>
          <w:kern w:val="0"/>
          <w:sz w:val="48"/>
          <w:szCs w:val="48"/>
        </w:rPr>
        <w:fldChar w:fldCharType="separate"/>
      </w:r>
      <w:r>
        <w:rPr>
          <w:rFonts w:eastAsia="华文中宋" w:cs="华文中宋"/>
          <w:b/>
          <w:bCs/>
          <w:snapToGrid w:val="0"/>
          <w:color w:val="000000"/>
          <w:spacing w:val="-2"/>
          <w:kern w:val="0"/>
          <w:sz w:val="48"/>
          <w:szCs w:val="48"/>
        </w:rPr>
        <w:fldChar w:fldCharType="end"/>
      </w:r>
    </w:p>
    <w:p>
      <w:pPr>
        <w:pageBreakBefore w:val="0"/>
        <w:widowControl/>
        <w:kinsoku w:val="0"/>
        <w:wordWrap/>
        <w:topLinePunct w:val="0"/>
        <w:autoSpaceDE w:val="0"/>
        <w:autoSpaceDN w:val="0"/>
        <w:bidi w:val="0"/>
        <w:adjustRightInd w:val="0"/>
        <w:snapToGrid/>
        <w:spacing w:before="172" w:line="360" w:lineRule="auto"/>
        <w:ind w:left="8" w:hanging="8" w:firstLineChars="0"/>
        <w:jc w:val="center"/>
        <w:textAlignment w:val="baseline"/>
        <w:rPr>
          <w:rFonts w:eastAsia="华文中宋" w:cs="华文中宋"/>
          <w:b/>
          <w:bCs/>
          <w:snapToGrid w:val="0"/>
          <w:color w:val="000000"/>
          <w:spacing w:val="-2"/>
          <w:kern w:val="0"/>
          <w:sz w:val="44"/>
          <w:szCs w:val="44"/>
        </w:rPr>
      </w:pPr>
    </w:p>
    <w:p>
      <w:pPr>
        <w:keepNext w:val="0"/>
        <w:keepLines w:val="0"/>
        <w:pageBreakBefore w:val="0"/>
        <w:widowControl/>
        <w:kinsoku w:val="0"/>
        <w:wordWrap/>
        <w:overflowPunct/>
        <w:topLinePunct w:val="0"/>
        <w:autoSpaceDE w:val="0"/>
        <w:autoSpaceDN w:val="0"/>
        <w:bidi w:val="0"/>
        <w:adjustRightInd w:val="0"/>
        <w:snapToGrid w:val="0"/>
        <w:spacing w:before="52" w:line="360" w:lineRule="auto"/>
        <w:ind w:left="6" w:hanging="6" w:firstLineChars="0"/>
        <w:jc w:val="center"/>
        <w:textAlignment w:val="baseline"/>
        <w:rPr>
          <w:rFonts w:hint="eastAsia" w:ascii="方正小标宋_GBK" w:hAnsi="方正小标宋_GBK" w:eastAsia="方正小标宋_GBK" w:cs="方正小标宋_GBK"/>
          <w:b w:val="0"/>
          <w:bCs w:val="0"/>
          <w:snapToGrid w:val="0"/>
          <w:color w:val="000000"/>
          <w:spacing w:val="-2"/>
          <w:kern w:val="0"/>
          <w:sz w:val="44"/>
          <w:szCs w:val="44"/>
        </w:rPr>
      </w:pPr>
      <w:bookmarkStart w:id="398" w:name="_GoBack"/>
      <w:r>
        <w:rPr>
          <w:rFonts w:hint="eastAsia" w:ascii="方正小标宋_GBK" w:hAnsi="方正小标宋_GBK" w:eastAsia="方正小标宋_GBK" w:cs="方正小标宋_GBK"/>
          <w:b w:val="0"/>
          <w:bCs w:val="0"/>
          <w:snapToGrid w:val="0"/>
          <w:color w:val="000000"/>
          <w:spacing w:val="-2"/>
          <w:kern w:val="0"/>
          <w:sz w:val="44"/>
          <w:szCs w:val="44"/>
        </w:rPr>
        <w:t>康巴什区新能源发展规划</w:t>
      </w:r>
    </w:p>
    <w:p>
      <w:pPr>
        <w:keepNext w:val="0"/>
        <w:keepLines w:val="0"/>
        <w:pageBreakBefore w:val="0"/>
        <w:widowControl/>
        <w:kinsoku w:val="0"/>
        <w:wordWrap/>
        <w:overflowPunct/>
        <w:topLinePunct w:val="0"/>
        <w:autoSpaceDE w:val="0"/>
        <w:autoSpaceDN w:val="0"/>
        <w:bidi w:val="0"/>
        <w:adjustRightInd w:val="0"/>
        <w:snapToGrid w:val="0"/>
        <w:spacing w:before="52" w:line="360" w:lineRule="auto"/>
        <w:ind w:left="6" w:hanging="6" w:firstLineChars="0"/>
        <w:jc w:val="center"/>
        <w:textAlignment w:val="baseline"/>
        <w:rPr>
          <w:rFonts w:hint="eastAsia" w:ascii="方正小标宋_GBK" w:hAnsi="方正小标宋_GBK" w:eastAsia="方正小标宋_GBK" w:cs="方正小标宋_GBK"/>
          <w:b w:val="0"/>
          <w:bCs w:val="0"/>
          <w:snapToGrid w:val="0"/>
          <w:color w:val="000000"/>
          <w:spacing w:val="-2"/>
          <w:kern w:val="0"/>
          <w:sz w:val="44"/>
          <w:szCs w:val="44"/>
        </w:rPr>
      </w:pPr>
      <w:r>
        <w:rPr>
          <w:rFonts w:hint="eastAsia" w:ascii="方正小标宋_GBK" w:hAnsi="方正小标宋_GBK" w:eastAsia="方正小标宋_GBK" w:cs="方正小标宋_GBK"/>
          <w:b w:val="0"/>
          <w:bCs w:val="0"/>
          <w:snapToGrid w:val="0"/>
          <w:color w:val="000000"/>
          <w:spacing w:val="-2"/>
          <w:kern w:val="0"/>
          <w:sz w:val="44"/>
          <w:szCs w:val="44"/>
        </w:rPr>
        <w:t>（</w:t>
      </w:r>
      <w:r>
        <w:rPr>
          <w:rFonts w:hint="eastAsia" w:asciiTheme="majorEastAsia" w:hAnsiTheme="majorEastAsia" w:eastAsiaTheme="majorEastAsia" w:cstheme="majorEastAsia"/>
          <w:b/>
          <w:bCs/>
          <w:snapToGrid w:val="0"/>
          <w:color w:val="000000"/>
          <w:spacing w:val="-2"/>
          <w:kern w:val="0"/>
          <w:sz w:val="44"/>
          <w:szCs w:val="44"/>
        </w:rPr>
        <w:t>2024—2035</w:t>
      </w:r>
      <w:r>
        <w:rPr>
          <w:rFonts w:hint="eastAsia" w:ascii="方正小标宋_GBK" w:hAnsi="方正小标宋_GBK" w:eastAsia="方正小标宋_GBK" w:cs="方正小标宋_GBK"/>
          <w:b w:val="0"/>
          <w:bCs w:val="0"/>
          <w:snapToGrid w:val="0"/>
          <w:color w:val="000000"/>
          <w:spacing w:val="-2"/>
          <w:kern w:val="0"/>
          <w:sz w:val="44"/>
          <w:szCs w:val="44"/>
        </w:rPr>
        <w:t>年）</w:t>
      </w:r>
    </w:p>
    <w:bookmarkEnd w:id="398"/>
    <w:p>
      <w:pPr>
        <w:pageBreakBefore w:val="0"/>
        <w:widowControl/>
        <w:kinsoku w:val="0"/>
        <w:wordWrap/>
        <w:topLinePunct w:val="0"/>
        <w:autoSpaceDE w:val="0"/>
        <w:autoSpaceDN w:val="0"/>
        <w:bidi w:val="0"/>
        <w:adjustRightInd w:val="0"/>
        <w:snapToGrid/>
        <w:spacing w:before="172" w:line="240" w:lineRule="auto"/>
        <w:ind w:left="6" w:hanging="6" w:firstLineChars="0"/>
        <w:jc w:val="center"/>
        <w:textAlignment w:val="baseline"/>
        <w:rPr>
          <w:rFonts w:eastAsiaTheme="majorEastAsia" w:cstheme="majorEastAsia"/>
          <w:b/>
          <w:bCs/>
          <w:snapToGrid w:val="0"/>
          <w:color w:val="000000"/>
          <w:spacing w:val="-2"/>
          <w:kern w:val="0"/>
          <w:sz w:val="40"/>
          <w:szCs w:val="40"/>
        </w:rPr>
      </w:pPr>
    </w:p>
    <w:p>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eastAsia="微软雅黑" w:cs="微软雅黑"/>
          <w:snapToGrid w:val="0"/>
          <w:color w:val="000000"/>
          <w:spacing w:val="-2"/>
          <w:kern w:val="0"/>
          <w:sz w:val="40"/>
          <w:szCs w:val="40"/>
        </w:rPr>
      </w:pPr>
    </w:p>
    <w:p>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eastAsia="微软雅黑" w:cs="微软雅黑"/>
          <w:snapToGrid w:val="0"/>
          <w:color w:val="000000"/>
          <w:spacing w:val="-2"/>
          <w:kern w:val="0"/>
          <w:sz w:val="40"/>
          <w:szCs w:val="40"/>
        </w:rPr>
      </w:pPr>
    </w:p>
    <w:p>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eastAsia="微软雅黑" w:cs="微软雅黑"/>
          <w:snapToGrid w:val="0"/>
          <w:color w:val="000000"/>
          <w:spacing w:val="-2"/>
          <w:kern w:val="0"/>
          <w:sz w:val="40"/>
          <w:szCs w:val="40"/>
        </w:rPr>
      </w:pPr>
    </w:p>
    <w:p>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eastAsia="微软雅黑" w:cs="微软雅黑"/>
          <w:snapToGrid w:val="0"/>
          <w:color w:val="000000"/>
          <w:spacing w:val="-2"/>
          <w:kern w:val="0"/>
          <w:sz w:val="40"/>
          <w:szCs w:val="40"/>
        </w:rPr>
      </w:pPr>
    </w:p>
    <w:p>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eastAsia="微软雅黑" w:cs="微软雅黑"/>
          <w:snapToGrid w:val="0"/>
          <w:color w:val="000000"/>
          <w:spacing w:val="-2"/>
          <w:kern w:val="0"/>
          <w:sz w:val="40"/>
          <w:szCs w:val="40"/>
        </w:rPr>
      </w:pPr>
    </w:p>
    <w:p>
      <w:pPr>
        <w:pStyle w:val="8"/>
        <w:pageBreakBefore w:val="0"/>
        <w:wordWrap/>
        <w:topLinePunct w:val="0"/>
        <w:bidi w:val="0"/>
        <w:snapToGrid/>
        <w:spacing w:line="240" w:lineRule="auto"/>
        <w:ind w:left="640" w:firstLine="792"/>
        <w:rPr>
          <w:rFonts w:eastAsia="华文中宋" w:cs="华文中宋"/>
          <w:snapToGrid w:val="0"/>
          <w:color w:val="000000"/>
          <w:spacing w:val="-2"/>
          <w:sz w:val="40"/>
          <w:szCs w:val="40"/>
        </w:rPr>
      </w:pPr>
    </w:p>
    <w:p>
      <w:pPr>
        <w:pageBreakBefore w:val="0"/>
        <w:wordWrap/>
        <w:topLinePunct w:val="0"/>
        <w:bidi w:val="0"/>
        <w:snapToGrid/>
        <w:spacing w:line="240" w:lineRule="auto"/>
        <w:ind w:firstLine="792"/>
        <w:rPr>
          <w:rFonts w:eastAsia="华文中宋" w:cs="华文中宋"/>
          <w:snapToGrid w:val="0"/>
          <w:color w:val="000000"/>
          <w:spacing w:val="-2"/>
          <w:kern w:val="0"/>
          <w:sz w:val="40"/>
          <w:szCs w:val="40"/>
        </w:rPr>
      </w:pPr>
    </w:p>
    <w:p>
      <w:pPr>
        <w:pageBreakBefore w:val="0"/>
        <w:wordWrap/>
        <w:topLinePunct w:val="0"/>
        <w:bidi w:val="0"/>
        <w:snapToGrid/>
        <w:spacing w:line="240" w:lineRule="auto"/>
        <w:ind w:firstLine="792"/>
        <w:rPr>
          <w:rFonts w:eastAsia="华文中宋" w:cs="华文中宋"/>
          <w:snapToGrid w:val="0"/>
          <w:color w:val="000000"/>
          <w:spacing w:val="-2"/>
          <w:kern w:val="0"/>
          <w:sz w:val="40"/>
          <w:szCs w:val="40"/>
        </w:rPr>
      </w:pPr>
    </w:p>
    <w:p>
      <w:pPr>
        <w:pStyle w:val="8"/>
        <w:pageBreakBefore w:val="0"/>
        <w:wordWrap/>
        <w:topLinePunct w:val="0"/>
        <w:bidi w:val="0"/>
        <w:snapToGrid/>
        <w:spacing w:line="240" w:lineRule="auto"/>
        <w:ind w:left="0" w:leftChars="0" w:firstLine="0" w:firstLineChars="0"/>
        <w:rPr>
          <w:rFonts w:eastAsia="华文中宋" w:cs="华文中宋"/>
        </w:rPr>
      </w:pPr>
    </w:p>
    <w:p>
      <w:pPr>
        <w:pageBreakBefore w:val="0"/>
        <w:widowControl/>
        <w:kinsoku w:val="0"/>
        <w:wordWrap/>
        <w:topLinePunct w:val="0"/>
        <w:autoSpaceDE w:val="0"/>
        <w:autoSpaceDN w:val="0"/>
        <w:bidi w:val="0"/>
        <w:adjustRightInd w:val="0"/>
        <w:snapToGrid/>
        <w:spacing w:before="172" w:line="240" w:lineRule="auto"/>
        <w:ind w:left="6" w:hanging="6" w:firstLineChars="0"/>
        <w:jc w:val="center"/>
        <w:textAlignment w:val="baseline"/>
        <w:rPr>
          <w:rFonts w:hint="eastAsia" w:ascii="楷体_GB2312" w:hAnsi="楷体_GB2312" w:eastAsia="楷体_GB2312" w:cs="楷体_GB2312"/>
          <w:b w:val="0"/>
          <w:bCs w:val="0"/>
          <w:snapToGrid w:val="0"/>
          <w:color w:val="000000"/>
          <w:spacing w:val="-2"/>
          <w:kern w:val="0"/>
          <w:sz w:val="36"/>
          <w:szCs w:val="36"/>
        </w:rPr>
      </w:pPr>
      <w:r>
        <w:rPr>
          <w:rFonts w:hint="eastAsia" w:ascii="楷体_GB2312" w:hAnsi="楷体_GB2312" w:eastAsia="楷体_GB2312" w:cs="楷体_GB2312"/>
          <w:b w:val="0"/>
          <w:bCs w:val="0"/>
          <w:snapToGrid w:val="0"/>
          <w:color w:val="000000"/>
          <w:spacing w:val="-2"/>
          <w:kern w:val="0"/>
          <w:sz w:val="36"/>
          <w:szCs w:val="36"/>
        </w:rPr>
        <w:t>2024年</w:t>
      </w:r>
      <w:r>
        <w:rPr>
          <w:rFonts w:hint="eastAsia" w:ascii="楷体_GB2312" w:hAnsi="楷体_GB2312" w:eastAsia="楷体_GB2312" w:cs="楷体_GB2312"/>
          <w:b w:val="0"/>
          <w:bCs w:val="0"/>
          <w:snapToGrid w:val="0"/>
          <w:color w:val="000000"/>
          <w:spacing w:val="-2"/>
          <w:kern w:val="0"/>
          <w:sz w:val="36"/>
          <w:szCs w:val="36"/>
          <w:lang w:val="en-US" w:eastAsia="zh-CN"/>
        </w:rPr>
        <w:t>11</w:t>
      </w:r>
      <w:r>
        <w:rPr>
          <w:rFonts w:hint="eastAsia" w:ascii="楷体_GB2312" w:hAnsi="楷体_GB2312" w:eastAsia="楷体_GB2312" w:cs="楷体_GB2312"/>
          <w:b w:val="0"/>
          <w:bCs w:val="0"/>
          <w:snapToGrid w:val="0"/>
          <w:color w:val="000000"/>
          <w:spacing w:val="-2"/>
          <w:kern w:val="0"/>
          <w:sz w:val="36"/>
          <w:szCs w:val="36"/>
        </w:rPr>
        <w:t>月</w:t>
      </w:r>
    </w:p>
    <w:p>
      <w:pPr>
        <w:pageBreakBefore w:val="0"/>
        <w:widowControl/>
        <w:kinsoku w:val="0"/>
        <w:wordWrap/>
        <w:topLinePunct w:val="0"/>
        <w:autoSpaceDE w:val="0"/>
        <w:autoSpaceDN w:val="0"/>
        <w:bidi w:val="0"/>
        <w:adjustRightInd w:val="0"/>
        <w:snapToGrid/>
        <w:spacing w:before="172" w:line="240" w:lineRule="auto"/>
        <w:ind w:left="6" w:hanging="6" w:firstLineChars="0"/>
        <w:jc w:val="center"/>
        <w:textAlignment w:val="baseline"/>
        <w:rPr>
          <w:rFonts w:eastAsia="华文中宋" w:cs="Times New Roman"/>
          <w:snapToGrid w:val="0"/>
          <w:color w:val="000000"/>
          <w:spacing w:val="-2"/>
          <w:kern w:val="0"/>
          <w:sz w:val="40"/>
          <w:szCs w:val="40"/>
        </w:rPr>
        <w:sectPr>
          <w:headerReference r:id="rId6" w:type="first"/>
          <w:footerReference r:id="rId9" w:type="first"/>
          <w:footerReference r:id="rId7" w:type="default"/>
          <w:headerReference r:id="rId5" w:type="even"/>
          <w:footerReference r:id="rId8" w:type="even"/>
          <w:pgSz w:w="11906" w:h="16838"/>
          <w:pgMar w:top="2098" w:right="1474" w:bottom="1984" w:left="1587" w:header="270" w:footer="1417" w:gutter="0"/>
          <w:pgBorders>
            <w:top w:val="none" w:sz="0" w:space="0"/>
            <w:left w:val="none" w:sz="0" w:space="0"/>
            <w:bottom w:val="none" w:sz="0" w:space="0"/>
            <w:right w:val="none" w:sz="0" w:space="0"/>
          </w:pgBorders>
          <w:pgNumType w:fmt="decimal"/>
          <w:cols w:space="0" w:num="1"/>
          <w:rtlGutter w:val="0"/>
          <w:docGrid w:type="linesAndChars" w:linePitch="607" w:charSpace="-1059"/>
        </w:sectPr>
      </w:pPr>
    </w:p>
    <w:sdt>
      <w:sdtPr>
        <w:rPr>
          <w:rFonts w:hint="eastAsia" w:asciiTheme="majorEastAsia" w:hAnsiTheme="majorEastAsia" w:eastAsiaTheme="majorEastAsia" w:cstheme="majorEastAsia"/>
          <w:b/>
          <w:bCs/>
          <w:sz w:val="36"/>
          <w:szCs w:val="40"/>
        </w:rPr>
        <w:id w:val="147455724"/>
        <w15:color w:val="DBDBDB"/>
        <w:docPartObj>
          <w:docPartGallery w:val="Table of Contents"/>
          <w:docPartUnique/>
        </w:docPartObj>
      </w:sdtPr>
      <w:sdtEndPr>
        <w:rPr>
          <w:rFonts w:hint="eastAsia" w:eastAsia="Arial" w:cs="Arial" w:asciiTheme="majorEastAsia" w:hAnsiTheme="majorEastAsia"/>
          <w:b/>
          <w:bCs/>
          <w:snapToGrid w:val="0"/>
          <w:color w:val="000000"/>
          <w:kern w:val="0"/>
          <w:sz w:val="36"/>
          <w:szCs w:val="21"/>
        </w:rPr>
      </w:sdtEndPr>
      <w:sdtContent>
        <w:p>
          <w:pPr>
            <w:pageBreakBefore w:val="0"/>
            <w:wordWrap/>
            <w:topLinePunct w:val="0"/>
            <w:bidi w:val="0"/>
            <w:snapToGrid/>
            <w:spacing w:line="240" w:lineRule="auto"/>
            <w:ind w:firstLine="0" w:firstLineChars="0"/>
            <w:jc w:val="center"/>
            <w:rPr>
              <w:rFonts w:hint="eastAsia" w:asciiTheme="majorEastAsia" w:hAnsiTheme="majorEastAsia" w:eastAsiaTheme="majorEastAsia" w:cstheme="majorEastAsia"/>
              <w:b/>
              <w:bCs/>
              <w:sz w:val="36"/>
              <w:szCs w:val="40"/>
            </w:rPr>
          </w:pPr>
          <w:r>
            <w:rPr>
              <w:rFonts w:hint="eastAsia" w:asciiTheme="majorEastAsia" w:hAnsiTheme="majorEastAsia" w:eastAsiaTheme="majorEastAsia" w:cstheme="majorEastAsia"/>
              <w:b/>
              <w:bCs/>
              <w:sz w:val="36"/>
              <w:szCs w:val="40"/>
            </w:rPr>
            <w:t>目  录</w:t>
          </w:r>
        </w:p>
        <w:p>
          <w:pPr>
            <w:pStyle w:val="12"/>
            <w:pageBreakBefore w:val="0"/>
            <w:tabs>
              <w:tab w:val="right" w:leader="dot" w:pos="8845"/>
              <w:tab w:val="clear" w:pos="8306"/>
            </w:tabs>
            <w:wordWrap/>
            <w:topLinePunct w:val="0"/>
            <w:bidi w:val="0"/>
            <w:snapToGrid/>
            <w:spacing w:line="240" w:lineRule="auto"/>
          </w:pPr>
          <w:r>
            <w:rPr>
              <w:rFonts w:eastAsia="Arial" w:cs="Arial"/>
              <w:color w:val="000000"/>
              <w:sz w:val="21"/>
              <w:szCs w:val="21"/>
            </w:rPr>
            <w:fldChar w:fldCharType="begin"/>
          </w:r>
          <w:r>
            <w:rPr>
              <w:rFonts w:eastAsia="Arial" w:cs="Arial"/>
              <w:color w:val="000000"/>
              <w:sz w:val="21"/>
              <w:szCs w:val="21"/>
            </w:rPr>
            <w:instrText xml:space="preserve">TOC \o "1-2" \h \u </w:instrText>
          </w:r>
          <w:r>
            <w:rPr>
              <w:rFonts w:eastAsia="Arial" w:cs="Arial"/>
              <w:color w:val="000000"/>
              <w:sz w:val="21"/>
              <w:szCs w:val="21"/>
            </w:rPr>
            <w:fldChar w:fldCharType="separate"/>
          </w:r>
          <w:r>
            <w:rPr>
              <w:rFonts w:eastAsia="Arial" w:cs="Arial"/>
              <w:color w:val="000000"/>
              <w:szCs w:val="21"/>
            </w:rPr>
            <w:fldChar w:fldCharType="begin"/>
          </w:r>
          <w:r>
            <w:rPr>
              <w:rFonts w:eastAsia="Arial" w:cs="Arial"/>
              <w:szCs w:val="21"/>
            </w:rPr>
            <w:instrText xml:space="preserve"> HYPERLINK \l _Toc5813 </w:instrText>
          </w:r>
          <w:r>
            <w:rPr>
              <w:rFonts w:eastAsia="Arial" w:cs="Arial"/>
              <w:szCs w:val="21"/>
            </w:rPr>
            <w:fldChar w:fldCharType="separate"/>
          </w:r>
          <w:r>
            <w:rPr>
              <w:rFonts w:eastAsia="黑体" w:cs="Times New Roman"/>
              <w:snapToGrid w:val="0"/>
              <w:spacing w:val="-2"/>
              <w:kern w:val="0"/>
              <w:szCs w:val="32"/>
            </w:rPr>
            <w:t>一</w:t>
          </w:r>
          <w:r>
            <w:rPr>
              <w:rFonts w:hint="eastAsia" w:eastAsia="黑体" w:cs="黑体"/>
              <w:snapToGrid w:val="0"/>
              <w:spacing w:val="-2"/>
              <w:kern w:val="0"/>
              <w:szCs w:val="32"/>
            </w:rPr>
            <w:t>、规划编制概况</w:t>
          </w:r>
          <w:r>
            <w:tab/>
          </w:r>
          <w:r>
            <w:fldChar w:fldCharType="begin"/>
          </w:r>
          <w:r>
            <w:instrText xml:space="preserve"> PAGEREF _Toc5813 \h </w:instrText>
          </w:r>
          <w:r>
            <w:fldChar w:fldCharType="separate"/>
          </w:r>
          <w:r>
            <w:t>1</w:t>
          </w:r>
          <w:r>
            <w:fldChar w:fldCharType="end"/>
          </w:r>
          <w:r>
            <w:rPr>
              <w:rFonts w:eastAsia="Arial" w:cs="Arial"/>
              <w:color w:val="00000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_Toc1486 </w:instrText>
          </w:r>
          <w:r>
            <w:rPr>
              <w:rFonts w:eastAsia="Arial" w:cs="Arial"/>
              <w:snapToGrid w:val="0"/>
              <w:kern w:val="0"/>
              <w:szCs w:val="21"/>
            </w:rPr>
            <w:fldChar w:fldCharType="separate"/>
          </w:r>
          <w:r>
            <w:rPr>
              <w:rFonts w:hint="eastAsia" w:eastAsia="楷体" w:cs="楷体"/>
            </w:rPr>
            <w:t>（一）规划背景</w:t>
          </w:r>
          <w:r>
            <w:tab/>
          </w:r>
          <w:r>
            <w:fldChar w:fldCharType="begin"/>
          </w:r>
          <w:r>
            <w:instrText xml:space="preserve"> PAGEREF _Toc1486 \h </w:instrText>
          </w:r>
          <w:r>
            <w:fldChar w:fldCharType="separate"/>
          </w:r>
          <w:r>
            <w:t>1</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_Toc3707 </w:instrText>
          </w:r>
          <w:r>
            <w:rPr>
              <w:rFonts w:eastAsia="Arial" w:cs="Arial"/>
              <w:snapToGrid w:val="0"/>
              <w:kern w:val="0"/>
              <w:szCs w:val="21"/>
            </w:rPr>
            <w:fldChar w:fldCharType="separate"/>
          </w:r>
          <w:r>
            <w:rPr>
              <w:rFonts w:hint="eastAsia" w:eastAsia="楷体" w:cs="楷体"/>
            </w:rPr>
            <w:t>（二）编制依据</w:t>
          </w:r>
          <w:r>
            <w:tab/>
          </w:r>
          <w:r>
            <w:fldChar w:fldCharType="begin"/>
          </w:r>
          <w:r>
            <w:instrText xml:space="preserve"> PAGEREF _Toc3707 \h </w:instrText>
          </w:r>
          <w:r>
            <w:fldChar w:fldCharType="separate"/>
          </w:r>
          <w:r>
            <w:t>2</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_Toc25146 </w:instrText>
          </w:r>
          <w:r>
            <w:rPr>
              <w:rFonts w:eastAsia="Arial" w:cs="Arial"/>
              <w:snapToGrid w:val="0"/>
              <w:kern w:val="0"/>
              <w:szCs w:val="21"/>
            </w:rPr>
            <w:fldChar w:fldCharType="separate"/>
          </w:r>
          <w:r>
            <w:rPr>
              <w:rFonts w:hint="eastAsia" w:eastAsia="楷体" w:cs="楷体"/>
            </w:rPr>
            <w:t>（三）规划范围</w:t>
          </w:r>
          <w:r>
            <w:tab/>
          </w:r>
          <w:r>
            <w:fldChar w:fldCharType="begin"/>
          </w:r>
          <w:r>
            <w:instrText xml:space="preserve"> PAGEREF _Toc25146 \h </w:instrText>
          </w:r>
          <w:r>
            <w:fldChar w:fldCharType="separate"/>
          </w:r>
          <w:r>
            <w:t>7</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_Toc3734 </w:instrText>
          </w:r>
          <w:r>
            <w:rPr>
              <w:rFonts w:eastAsia="Arial" w:cs="Arial"/>
              <w:snapToGrid w:val="0"/>
              <w:kern w:val="0"/>
              <w:szCs w:val="21"/>
            </w:rPr>
            <w:fldChar w:fldCharType="separate"/>
          </w:r>
          <w:r>
            <w:rPr>
              <w:rFonts w:hint="eastAsia" w:eastAsia="楷体" w:cs="楷体"/>
            </w:rPr>
            <w:t>（四）规划期限</w:t>
          </w:r>
          <w:r>
            <w:tab/>
          </w:r>
          <w:r>
            <w:fldChar w:fldCharType="begin"/>
          </w:r>
          <w:r>
            <w:instrText xml:space="preserve"> PAGEREF _Toc3734 \h </w:instrText>
          </w:r>
          <w:r>
            <w:fldChar w:fldCharType="separate"/>
          </w:r>
          <w:r>
            <w:t>7</w:t>
          </w:r>
          <w:r>
            <w:fldChar w:fldCharType="end"/>
          </w:r>
          <w:r>
            <w:rPr>
              <w:rFonts w:eastAsia="Arial" w:cs="Arial"/>
              <w:snapToGrid w:val="0"/>
              <w:color w:val="000000"/>
              <w:kern w:val="0"/>
              <w:szCs w:val="21"/>
            </w:rPr>
            <w:fldChar w:fldCharType="end"/>
          </w:r>
        </w:p>
        <w:p>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_Toc32741 </w:instrText>
          </w:r>
          <w:r>
            <w:rPr>
              <w:rFonts w:eastAsia="Arial" w:cs="Arial"/>
              <w:snapToGrid w:val="0"/>
              <w:kern w:val="0"/>
              <w:szCs w:val="21"/>
            </w:rPr>
            <w:fldChar w:fldCharType="separate"/>
          </w:r>
          <w:r>
            <w:rPr>
              <w:rFonts w:hint="eastAsia" w:eastAsia="黑体" w:cs="黑体"/>
              <w:snapToGrid w:val="0"/>
              <w:spacing w:val="-2"/>
              <w:kern w:val="0"/>
              <w:szCs w:val="32"/>
            </w:rPr>
            <w:t>二、指导方针和发展目标</w:t>
          </w:r>
          <w:r>
            <w:tab/>
          </w:r>
          <w:r>
            <w:fldChar w:fldCharType="begin"/>
          </w:r>
          <w:r>
            <w:instrText xml:space="preserve"> PAGEREF _Toc32741 \h </w:instrText>
          </w:r>
          <w:r>
            <w:fldChar w:fldCharType="separate"/>
          </w:r>
          <w:r>
            <w:t>7</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_Toc16703 </w:instrText>
          </w:r>
          <w:r>
            <w:rPr>
              <w:rFonts w:eastAsia="Arial" w:cs="Arial"/>
              <w:snapToGrid w:val="0"/>
              <w:kern w:val="0"/>
              <w:szCs w:val="21"/>
            </w:rPr>
            <w:fldChar w:fldCharType="separate"/>
          </w:r>
          <w:r>
            <w:rPr>
              <w:rFonts w:hint="eastAsia" w:eastAsia="楷体" w:cs="楷体"/>
            </w:rPr>
            <w:t>（一）指导思想</w:t>
          </w:r>
          <w:r>
            <w:tab/>
          </w:r>
          <w:r>
            <w:fldChar w:fldCharType="begin"/>
          </w:r>
          <w:r>
            <w:instrText xml:space="preserve"> PAGEREF _Toc16703 \h </w:instrText>
          </w:r>
          <w:r>
            <w:fldChar w:fldCharType="separate"/>
          </w:r>
          <w:r>
            <w:t>7</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_Toc5137 </w:instrText>
          </w:r>
          <w:r>
            <w:rPr>
              <w:rFonts w:eastAsia="Arial" w:cs="Arial"/>
              <w:snapToGrid w:val="0"/>
              <w:kern w:val="0"/>
              <w:szCs w:val="21"/>
            </w:rPr>
            <w:fldChar w:fldCharType="separate"/>
          </w:r>
          <w:r>
            <w:rPr>
              <w:rFonts w:hint="eastAsia" w:eastAsia="楷体" w:cs="楷体"/>
            </w:rPr>
            <w:t>（二）基本原则</w:t>
          </w:r>
          <w:r>
            <w:tab/>
          </w:r>
          <w:r>
            <w:fldChar w:fldCharType="begin"/>
          </w:r>
          <w:r>
            <w:instrText xml:space="preserve"> PAGEREF _Toc5137 \h </w:instrText>
          </w:r>
          <w:r>
            <w:fldChar w:fldCharType="separate"/>
          </w:r>
          <w:r>
            <w:t>8</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_Toc4847 </w:instrText>
          </w:r>
          <w:r>
            <w:rPr>
              <w:rFonts w:eastAsia="Arial" w:cs="Arial"/>
              <w:snapToGrid w:val="0"/>
              <w:kern w:val="0"/>
              <w:szCs w:val="21"/>
            </w:rPr>
            <w:fldChar w:fldCharType="separate"/>
          </w:r>
          <w:r>
            <w:rPr>
              <w:rFonts w:hint="eastAsia" w:eastAsia="楷体" w:cs="楷体"/>
            </w:rPr>
            <w:t>（三）发展目标</w:t>
          </w:r>
          <w:r>
            <w:tab/>
          </w:r>
          <w:r>
            <w:fldChar w:fldCharType="begin"/>
          </w:r>
          <w:r>
            <w:instrText xml:space="preserve"> PAGEREF _Toc4847 \h </w:instrText>
          </w:r>
          <w:r>
            <w:fldChar w:fldCharType="separate"/>
          </w:r>
          <w:r>
            <w:t>9</w:t>
          </w:r>
          <w:r>
            <w:fldChar w:fldCharType="end"/>
          </w:r>
          <w:r>
            <w:rPr>
              <w:rFonts w:eastAsia="Arial" w:cs="Arial"/>
              <w:snapToGrid w:val="0"/>
              <w:color w:val="000000"/>
              <w:kern w:val="0"/>
              <w:szCs w:val="21"/>
            </w:rPr>
            <w:fldChar w:fldCharType="end"/>
          </w:r>
        </w:p>
        <w:p>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_Toc15493 </w:instrText>
          </w:r>
          <w:r>
            <w:rPr>
              <w:rFonts w:eastAsia="Arial" w:cs="Arial"/>
              <w:snapToGrid w:val="0"/>
              <w:kern w:val="0"/>
              <w:szCs w:val="21"/>
            </w:rPr>
            <w:fldChar w:fldCharType="separate"/>
          </w:r>
          <w:r>
            <w:rPr>
              <w:rFonts w:hint="eastAsia" w:eastAsia="黑体" w:cs="黑体"/>
              <w:snapToGrid w:val="0"/>
              <w:spacing w:val="-2"/>
              <w:kern w:val="0"/>
              <w:szCs w:val="32"/>
            </w:rPr>
            <w:t>三</w:t>
          </w:r>
          <w:r>
            <w:rPr>
              <w:rFonts w:eastAsia="黑体" w:cs="黑体"/>
              <w:snapToGrid w:val="0"/>
              <w:spacing w:val="-2"/>
              <w:kern w:val="0"/>
              <w:szCs w:val="32"/>
            </w:rPr>
            <w:t>、发展基础和发展形势</w:t>
          </w:r>
          <w:r>
            <w:tab/>
          </w:r>
          <w:r>
            <w:fldChar w:fldCharType="begin"/>
          </w:r>
          <w:r>
            <w:instrText xml:space="preserve"> PAGEREF _Toc15493 \h </w:instrText>
          </w:r>
          <w:r>
            <w:fldChar w:fldCharType="separate"/>
          </w:r>
          <w:r>
            <w:t>10</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_Toc26788 </w:instrText>
          </w:r>
          <w:r>
            <w:rPr>
              <w:rFonts w:eastAsia="Arial" w:cs="Arial"/>
              <w:snapToGrid w:val="0"/>
              <w:kern w:val="0"/>
              <w:szCs w:val="21"/>
            </w:rPr>
            <w:fldChar w:fldCharType="separate"/>
          </w:r>
          <w:r>
            <w:rPr>
              <w:rFonts w:hint="eastAsia" w:eastAsia="方正楷体_GB2312" w:cs="方正楷体_GB2312"/>
            </w:rPr>
            <w:t>（一）康巴什区自然环境和社会经济现状</w:t>
          </w:r>
          <w:r>
            <w:tab/>
          </w:r>
          <w:r>
            <w:fldChar w:fldCharType="begin"/>
          </w:r>
          <w:r>
            <w:instrText xml:space="preserve"> PAGEREF _Toc26788 \h </w:instrText>
          </w:r>
          <w:r>
            <w:fldChar w:fldCharType="separate"/>
          </w:r>
          <w:r>
            <w:t>10</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_Toc22359 </w:instrText>
          </w:r>
          <w:r>
            <w:rPr>
              <w:rFonts w:eastAsia="Arial" w:cs="Arial"/>
              <w:snapToGrid w:val="0"/>
              <w:kern w:val="0"/>
              <w:szCs w:val="21"/>
            </w:rPr>
            <w:fldChar w:fldCharType="separate"/>
          </w:r>
          <w:r>
            <w:rPr>
              <w:rFonts w:hint="eastAsia" w:eastAsia="楷体" w:cs="楷体"/>
            </w:rPr>
            <w:t>（二）新能源发展现状</w:t>
          </w:r>
          <w:r>
            <w:tab/>
          </w:r>
          <w:r>
            <w:fldChar w:fldCharType="begin"/>
          </w:r>
          <w:r>
            <w:instrText xml:space="preserve"> PAGEREF _Toc22359 \h </w:instrText>
          </w:r>
          <w:r>
            <w:fldChar w:fldCharType="separate"/>
          </w:r>
          <w:r>
            <w:t>11</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_Toc10490 </w:instrText>
          </w:r>
          <w:r>
            <w:rPr>
              <w:rFonts w:eastAsia="Arial" w:cs="Arial"/>
              <w:snapToGrid w:val="0"/>
              <w:kern w:val="0"/>
              <w:szCs w:val="21"/>
            </w:rPr>
            <w:fldChar w:fldCharType="separate"/>
          </w:r>
          <w:r>
            <w:rPr>
              <w:rFonts w:hint="eastAsia" w:eastAsia="楷体" w:cs="楷体"/>
            </w:rPr>
            <w:t>（三）风光资源禀赋</w:t>
          </w:r>
          <w:r>
            <w:tab/>
          </w:r>
          <w:r>
            <w:fldChar w:fldCharType="begin"/>
          </w:r>
          <w:r>
            <w:instrText xml:space="preserve"> PAGEREF _Toc10490 \h </w:instrText>
          </w:r>
          <w:r>
            <w:fldChar w:fldCharType="separate"/>
          </w:r>
          <w:r>
            <w:t>12</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_Toc13834 </w:instrText>
          </w:r>
          <w:r>
            <w:rPr>
              <w:rFonts w:eastAsia="Arial" w:cs="Arial"/>
              <w:snapToGrid w:val="0"/>
              <w:kern w:val="0"/>
              <w:szCs w:val="21"/>
            </w:rPr>
            <w:fldChar w:fldCharType="separate"/>
          </w:r>
          <w:r>
            <w:rPr>
              <w:rFonts w:hint="eastAsia" w:eastAsia="楷体" w:cs="楷体"/>
            </w:rPr>
            <w:t>（四）电网条件</w:t>
          </w:r>
          <w:r>
            <w:tab/>
          </w:r>
          <w:r>
            <w:fldChar w:fldCharType="begin"/>
          </w:r>
          <w:r>
            <w:instrText xml:space="preserve"> PAGEREF _Toc13834 \h </w:instrText>
          </w:r>
          <w:r>
            <w:fldChar w:fldCharType="separate"/>
          </w:r>
          <w:r>
            <w:t>22</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_Toc14176 </w:instrText>
          </w:r>
          <w:r>
            <w:rPr>
              <w:rFonts w:eastAsia="Arial" w:cs="Arial"/>
              <w:snapToGrid w:val="0"/>
              <w:kern w:val="0"/>
              <w:szCs w:val="21"/>
            </w:rPr>
            <w:fldChar w:fldCharType="separate"/>
          </w:r>
          <w:r>
            <w:rPr>
              <w:rFonts w:hint="eastAsia" w:eastAsia="楷体" w:cs="楷体"/>
            </w:rPr>
            <w:t>（五）土地资源条件</w:t>
          </w:r>
          <w:r>
            <w:tab/>
          </w:r>
          <w:r>
            <w:fldChar w:fldCharType="begin"/>
          </w:r>
          <w:r>
            <w:instrText xml:space="preserve"> PAGEREF _Toc14176 \h </w:instrText>
          </w:r>
          <w:r>
            <w:fldChar w:fldCharType="separate"/>
          </w:r>
          <w:r>
            <w:t>26</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_Toc28285 </w:instrText>
          </w:r>
          <w:r>
            <w:rPr>
              <w:rFonts w:eastAsia="Arial" w:cs="Arial"/>
              <w:snapToGrid w:val="0"/>
              <w:kern w:val="0"/>
              <w:szCs w:val="21"/>
            </w:rPr>
            <w:fldChar w:fldCharType="separate"/>
          </w:r>
          <w:r>
            <w:rPr>
              <w:rFonts w:hint="eastAsia" w:eastAsia="楷体" w:cs="楷体"/>
            </w:rPr>
            <w:t>（六）发展形势</w:t>
          </w:r>
          <w:r>
            <w:tab/>
          </w:r>
          <w:r>
            <w:fldChar w:fldCharType="begin"/>
          </w:r>
          <w:r>
            <w:instrText xml:space="preserve"> PAGEREF _Toc28285 \h </w:instrText>
          </w:r>
          <w:r>
            <w:fldChar w:fldCharType="separate"/>
          </w:r>
          <w:r>
            <w:t>27</w:t>
          </w:r>
          <w:r>
            <w:fldChar w:fldCharType="end"/>
          </w:r>
          <w:r>
            <w:rPr>
              <w:rFonts w:eastAsia="Arial" w:cs="Arial"/>
              <w:snapToGrid w:val="0"/>
              <w:color w:val="000000"/>
              <w:kern w:val="0"/>
              <w:szCs w:val="21"/>
            </w:rPr>
            <w:fldChar w:fldCharType="end"/>
          </w:r>
        </w:p>
        <w:p>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_Toc14776 </w:instrText>
          </w:r>
          <w:r>
            <w:rPr>
              <w:rFonts w:eastAsia="Arial" w:cs="Arial"/>
              <w:snapToGrid w:val="0"/>
              <w:kern w:val="0"/>
              <w:szCs w:val="21"/>
            </w:rPr>
            <w:fldChar w:fldCharType="separate"/>
          </w:r>
          <w:r>
            <w:rPr>
              <w:rFonts w:hint="eastAsia" w:eastAsia="黑体" w:cs="黑体"/>
              <w:snapToGrid w:val="0"/>
              <w:spacing w:val="-2"/>
              <w:kern w:val="0"/>
              <w:szCs w:val="32"/>
            </w:rPr>
            <w:t>四、总体布局</w:t>
          </w:r>
          <w:r>
            <w:tab/>
          </w:r>
          <w:r>
            <w:fldChar w:fldCharType="begin"/>
          </w:r>
          <w:r>
            <w:instrText xml:space="preserve"> PAGEREF _Toc14776 \h </w:instrText>
          </w:r>
          <w:r>
            <w:fldChar w:fldCharType="separate"/>
          </w:r>
          <w:r>
            <w:t>27</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_Toc24708 </w:instrText>
          </w:r>
          <w:r>
            <w:rPr>
              <w:rFonts w:eastAsia="Arial" w:cs="Arial"/>
              <w:snapToGrid w:val="0"/>
              <w:kern w:val="0"/>
              <w:szCs w:val="21"/>
            </w:rPr>
            <w:fldChar w:fldCharType="separate"/>
          </w:r>
          <w:r>
            <w:rPr>
              <w:rFonts w:hint="eastAsia" w:ascii="Times New Roman" w:hAnsi="Times New Roman"/>
            </w:rPr>
            <w:t>（一）布局</w:t>
          </w:r>
          <w:r>
            <w:rPr>
              <w:rFonts w:hint="eastAsia" w:ascii="Times New Roman" w:hAnsi="Times New Roman" w:cs="仿宋_GB2312"/>
            </w:rPr>
            <w:t>原则</w:t>
          </w:r>
          <w:r>
            <w:tab/>
          </w:r>
          <w:r>
            <w:fldChar w:fldCharType="begin"/>
          </w:r>
          <w:r>
            <w:instrText xml:space="preserve"> PAGEREF _Toc24708 \h </w:instrText>
          </w:r>
          <w:r>
            <w:fldChar w:fldCharType="separate"/>
          </w:r>
          <w:r>
            <w:t>27</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_Toc1049 </w:instrText>
          </w:r>
          <w:r>
            <w:rPr>
              <w:rFonts w:eastAsia="Arial" w:cs="Arial"/>
              <w:snapToGrid w:val="0"/>
              <w:kern w:val="0"/>
              <w:szCs w:val="21"/>
            </w:rPr>
            <w:fldChar w:fldCharType="separate"/>
          </w:r>
          <w:r>
            <w:rPr>
              <w:rFonts w:hint="eastAsia" w:ascii="Times New Roman" w:hAnsi="Times New Roman"/>
            </w:rPr>
            <w:t>（二）布局成果</w:t>
          </w:r>
          <w:r>
            <w:tab/>
          </w:r>
          <w:r>
            <w:fldChar w:fldCharType="begin"/>
          </w:r>
          <w:r>
            <w:instrText xml:space="preserve"> PAGEREF _Toc1049 \h </w:instrText>
          </w:r>
          <w:r>
            <w:fldChar w:fldCharType="separate"/>
          </w:r>
          <w:r>
            <w:t>29</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_Toc32036 </w:instrText>
          </w:r>
          <w:r>
            <w:rPr>
              <w:rFonts w:eastAsia="Arial" w:cs="Arial"/>
              <w:snapToGrid w:val="0"/>
              <w:kern w:val="0"/>
              <w:szCs w:val="21"/>
            </w:rPr>
            <w:fldChar w:fldCharType="separate"/>
          </w:r>
          <w:r>
            <w:rPr>
              <w:rFonts w:hint="eastAsia" w:ascii="Times New Roman" w:hAnsi="Times New Roman"/>
            </w:rPr>
            <w:t>（三）建设时序</w:t>
          </w:r>
          <w:r>
            <w:tab/>
          </w:r>
          <w:r>
            <w:fldChar w:fldCharType="begin"/>
          </w:r>
          <w:r>
            <w:instrText xml:space="preserve"> PAGEREF _Toc32036 \h </w:instrText>
          </w:r>
          <w:r>
            <w:fldChar w:fldCharType="separate"/>
          </w:r>
          <w:r>
            <w:t>31</w:t>
          </w:r>
          <w:r>
            <w:fldChar w:fldCharType="end"/>
          </w:r>
          <w:r>
            <w:rPr>
              <w:rFonts w:eastAsia="Arial" w:cs="Arial"/>
              <w:snapToGrid w:val="0"/>
              <w:color w:val="000000"/>
              <w:kern w:val="0"/>
              <w:szCs w:val="21"/>
            </w:rPr>
            <w:fldChar w:fldCharType="end"/>
          </w:r>
        </w:p>
        <w:p>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_Toc9107 </w:instrText>
          </w:r>
          <w:r>
            <w:rPr>
              <w:rFonts w:eastAsia="Arial" w:cs="Arial"/>
              <w:snapToGrid w:val="0"/>
              <w:kern w:val="0"/>
              <w:szCs w:val="21"/>
            </w:rPr>
            <w:fldChar w:fldCharType="separate"/>
          </w:r>
          <w:r>
            <w:rPr>
              <w:rFonts w:hint="eastAsia" w:eastAsia="黑体" w:cs="黑体"/>
              <w:snapToGrid w:val="0"/>
              <w:spacing w:val="-2"/>
              <w:kern w:val="0"/>
              <w:szCs w:val="32"/>
            </w:rPr>
            <w:t>五、加大集中式新能源开发力度</w:t>
          </w:r>
          <w:r>
            <w:tab/>
          </w:r>
          <w:r>
            <w:fldChar w:fldCharType="begin"/>
          </w:r>
          <w:r>
            <w:instrText xml:space="preserve"> PAGEREF _Toc9107 \h </w:instrText>
          </w:r>
          <w:r>
            <w:fldChar w:fldCharType="separate"/>
          </w:r>
          <w:r>
            <w:t>32</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_Toc1220 </w:instrText>
          </w:r>
          <w:r>
            <w:rPr>
              <w:rFonts w:eastAsia="Arial" w:cs="Arial"/>
              <w:snapToGrid w:val="0"/>
              <w:kern w:val="0"/>
              <w:szCs w:val="21"/>
            </w:rPr>
            <w:fldChar w:fldCharType="separate"/>
          </w:r>
          <w:r>
            <w:rPr>
              <w:rFonts w:hint="eastAsia" w:ascii="Times New Roman" w:hAnsi="Times New Roman"/>
            </w:rPr>
            <w:t>（一）1#</w:t>
          </w:r>
          <w:r>
            <w:rPr>
              <w:rFonts w:hint="eastAsia" w:ascii="Times New Roman" w:hAnsi="Times New Roman"/>
              <w:lang w:val="en-US" w:eastAsia="zh-CN"/>
            </w:rPr>
            <w:t>光伏治沙</w:t>
          </w:r>
          <w:r>
            <w:rPr>
              <w:rFonts w:hint="eastAsia" w:ascii="Times New Roman" w:hAnsi="Times New Roman"/>
            </w:rPr>
            <w:t>场址</w:t>
          </w:r>
          <w:r>
            <w:tab/>
          </w:r>
          <w:r>
            <w:fldChar w:fldCharType="begin"/>
          </w:r>
          <w:r>
            <w:instrText xml:space="preserve"> PAGEREF _Toc1220 \h </w:instrText>
          </w:r>
          <w:r>
            <w:fldChar w:fldCharType="separate"/>
          </w:r>
          <w:r>
            <w:t>32</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_Toc2085 </w:instrText>
          </w:r>
          <w:r>
            <w:rPr>
              <w:rFonts w:eastAsia="Arial" w:cs="Arial"/>
              <w:snapToGrid w:val="0"/>
              <w:kern w:val="0"/>
              <w:szCs w:val="21"/>
            </w:rPr>
            <w:fldChar w:fldCharType="separate"/>
          </w:r>
          <w:r>
            <w:rPr>
              <w:rFonts w:hint="eastAsia" w:ascii="Times New Roman" w:hAnsi="Times New Roman"/>
            </w:rPr>
            <w:t>（二）</w:t>
          </w:r>
          <w:r>
            <w:rPr>
              <w:rFonts w:hint="eastAsia" w:ascii="Times New Roman" w:hAnsi="Times New Roman"/>
              <w:lang w:val="en-US" w:eastAsia="zh-CN"/>
            </w:rPr>
            <w:t>2</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r>
            <w:tab/>
          </w:r>
          <w:r>
            <w:fldChar w:fldCharType="begin"/>
          </w:r>
          <w:r>
            <w:instrText xml:space="preserve"> PAGEREF _Toc2085 \h </w:instrText>
          </w:r>
          <w:r>
            <w:fldChar w:fldCharType="separate"/>
          </w:r>
          <w:r>
            <w:t>34</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_Toc23509 </w:instrText>
          </w:r>
          <w:r>
            <w:rPr>
              <w:rFonts w:eastAsia="Arial" w:cs="Arial"/>
              <w:snapToGrid w:val="0"/>
              <w:kern w:val="0"/>
              <w:szCs w:val="21"/>
            </w:rPr>
            <w:fldChar w:fldCharType="separate"/>
          </w:r>
          <w:r>
            <w:rPr>
              <w:rFonts w:hint="eastAsia" w:ascii="Times New Roman" w:hAnsi="Times New Roman"/>
            </w:rPr>
            <w:t>（三）</w:t>
          </w:r>
          <w:r>
            <w:rPr>
              <w:rFonts w:hint="eastAsia" w:ascii="Times New Roman" w:hAnsi="Times New Roman"/>
              <w:lang w:val="en-US" w:eastAsia="zh-CN"/>
            </w:rPr>
            <w:t>3</w:t>
          </w:r>
          <w:r>
            <w:rPr>
              <w:rFonts w:hint="eastAsia" w:ascii="Times New Roman" w:hAnsi="Times New Roman"/>
            </w:rPr>
            <w:t>#光伏项目场址</w:t>
          </w:r>
          <w:r>
            <w:tab/>
          </w:r>
          <w:r>
            <w:fldChar w:fldCharType="begin"/>
          </w:r>
          <w:r>
            <w:instrText xml:space="preserve"> PAGEREF _Toc23509 \h </w:instrText>
          </w:r>
          <w:r>
            <w:fldChar w:fldCharType="separate"/>
          </w:r>
          <w:r>
            <w:t>34</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_Toc3905 </w:instrText>
          </w:r>
          <w:r>
            <w:rPr>
              <w:rFonts w:eastAsia="Arial" w:cs="Arial"/>
              <w:snapToGrid w:val="0"/>
              <w:kern w:val="0"/>
              <w:szCs w:val="21"/>
            </w:rPr>
            <w:fldChar w:fldCharType="separate"/>
          </w:r>
          <w:r>
            <w:rPr>
              <w:rFonts w:hint="eastAsia" w:ascii="Times New Roman" w:hAnsi="Times New Roman"/>
            </w:rPr>
            <w:t>（四）4#</w:t>
          </w:r>
          <w:r>
            <w:rPr>
              <w:rFonts w:hint="eastAsia" w:ascii="Times New Roman" w:hAnsi="Times New Roman"/>
              <w:lang w:val="en-US" w:eastAsia="zh-CN"/>
            </w:rPr>
            <w:t>光伏</w:t>
          </w:r>
          <w:r>
            <w:rPr>
              <w:rFonts w:hint="eastAsia" w:ascii="Times New Roman" w:hAnsi="Times New Roman"/>
            </w:rPr>
            <w:t>场址</w:t>
          </w:r>
          <w:r>
            <w:tab/>
          </w:r>
          <w:r>
            <w:fldChar w:fldCharType="begin"/>
          </w:r>
          <w:r>
            <w:instrText xml:space="preserve"> PAGEREF _Toc3905 \h </w:instrText>
          </w:r>
          <w:r>
            <w:fldChar w:fldCharType="separate"/>
          </w:r>
          <w:r>
            <w:t>35</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_Toc20919 </w:instrText>
          </w:r>
          <w:r>
            <w:rPr>
              <w:rFonts w:eastAsia="Arial" w:cs="Arial"/>
              <w:snapToGrid w:val="0"/>
              <w:kern w:val="0"/>
              <w:szCs w:val="21"/>
            </w:rPr>
            <w:fldChar w:fldCharType="separate"/>
          </w:r>
          <w:r>
            <w:rPr>
              <w:rFonts w:hint="eastAsia" w:ascii="Times New Roman" w:hAnsi="Times New Roman"/>
            </w:rPr>
            <w:t>（</w:t>
          </w:r>
          <w:r>
            <w:rPr>
              <w:rFonts w:hint="eastAsia" w:ascii="Times New Roman" w:hAnsi="Times New Roman"/>
              <w:lang w:val="en-US" w:eastAsia="zh-CN"/>
            </w:rPr>
            <w:t>五</w:t>
          </w:r>
          <w:r>
            <w:rPr>
              <w:rFonts w:hint="eastAsia" w:ascii="Times New Roman" w:hAnsi="Times New Roman"/>
            </w:rPr>
            <w:t>）</w:t>
          </w:r>
          <w:r>
            <w:rPr>
              <w:rFonts w:hint="eastAsia" w:ascii="Times New Roman" w:hAnsi="Times New Roman"/>
              <w:lang w:val="en-US" w:eastAsia="zh-CN"/>
            </w:rPr>
            <w:t>5</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r>
            <w:tab/>
          </w:r>
          <w:r>
            <w:fldChar w:fldCharType="begin"/>
          </w:r>
          <w:r>
            <w:instrText xml:space="preserve"> PAGEREF _Toc20919 \h </w:instrText>
          </w:r>
          <w:r>
            <w:fldChar w:fldCharType="separate"/>
          </w:r>
          <w:r>
            <w:t>36</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_Toc31636 </w:instrText>
          </w:r>
          <w:r>
            <w:rPr>
              <w:rFonts w:eastAsia="Arial" w:cs="Arial"/>
              <w:snapToGrid w:val="0"/>
              <w:kern w:val="0"/>
              <w:szCs w:val="21"/>
            </w:rPr>
            <w:fldChar w:fldCharType="separate"/>
          </w:r>
          <w:r>
            <w:rPr>
              <w:rFonts w:hint="eastAsia" w:ascii="Times New Roman" w:hAnsi="Times New Roman"/>
            </w:rPr>
            <w:t>（</w:t>
          </w:r>
          <w:r>
            <w:rPr>
              <w:rFonts w:hint="eastAsia" w:ascii="Times New Roman" w:hAnsi="Times New Roman"/>
              <w:lang w:val="en-US" w:eastAsia="zh-CN"/>
            </w:rPr>
            <w:t>六</w:t>
          </w:r>
          <w:r>
            <w:rPr>
              <w:rFonts w:hint="eastAsia" w:ascii="Times New Roman" w:hAnsi="Times New Roman"/>
            </w:rPr>
            <w:t>）</w:t>
          </w:r>
          <w:r>
            <w:rPr>
              <w:rFonts w:hint="eastAsia" w:ascii="Times New Roman" w:hAnsi="Times New Roman"/>
              <w:lang w:val="en-US" w:eastAsia="zh-CN"/>
            </w:rPr>
            <w:t>6</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r>
            <w:tab/>
          </w:r>
          <w:r>
            <w:fldChar w:fldCharType="begin"/>
          </w:r>
          <w:r>
            <w:instrText xml:space="preserve"> PAGEREF _Toc31636 \h </w:instrText>
          </w:r>
          <w:r>
            <w:fldChar w:fldCharType="separate"/>
          </w:r>
          <w:r>
            <w:t>37</w:t>
          </w:r>
          <w:r>
            <w:fldChar w:fldCharType="end"/>
          </w:r>
          <w:r>
            <w:rPr>
              <w:rFonts w:eastAsia="Arial" w:cs="Arial"/>
              <w:snapToGrid w:val="0"/>
              <w:color w:val="000000"/>
              <w:kern w:val="0"/>
              <w:szCs w:val="21"/>
            </w:rPr>
            <w:fldChar w:fldCharType="end"/>
          </w:r>
        </w:p>
        <w:p>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_Toc21490 </w:instrText>
          </w:r>
          <w:r>
            <w:rPr>
              <w:rFonts w:eastAsia="Arial" w:cs="Arial"/>
              <w:snapToGrid w:val="0"/>
              <w:kern w:val="0"/>
              <w:szCs w:val="21"/>
            </w:rPr>
            <w:fldChar w:fldCharType="separate"/>
          </w:r>
          <w:r>
            <w:rPr>
              <w:rFonts w:hint="eastAsia" w:eastAsia="黑体" w:cs="黑体"/>
              <w:snapToGrid w:val="0"/>
              <w:spacing w:val="-2"/>
              <w:kern w:val="0"/>
              <w:szCs w:val="32"/>
            </w:rPr>
            <w:t>六、因地制宜发展分布式新能源</w:t>
          </w:r>
          <w:r>
            <w:tab/>
          </w:r>
          <w:r>
            <w:fldChar w:fldCharType="begin"/>
          </w:r>
          <w:r>
            <w:instrText xml:space="preserve"> PAGEREF _Toc21490 \h </w:instrText>
          </w:r>
          <w:r>
            <w:fldChar w:fldCharType="separate"/>
          </w:r>
          <w:r>
            <w:t>38</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_Toc3051 </w:instrText>
          </w:r>
          <w:r>
            <w:rPr>
              <w:rFonts w:eastAsia="Arial" w:cs="Arial"/>
              <w:snapToGrid w:val="0"/>
              <w:kern w:val="0"/>
              <w:szCs w:val="21"/>
            </w:rPr>
            <w:fldChar w:fldCharType="separate"/>
          </w:r>
          <w:r>
            <w:rPr>
              <w:rFonts w:hint="eastAsia" w:ascii="Times New Roman" w:hAnsi="Times New Roman"/>
            </w:rPr>
            <w:t>（一）结合城市基础设施建设分布式新能源项目</w:t>
          </w:r>
          <w:r>
            <w:tab/>
          </w:r>
          <w:r>
            <w:fldChar w:fldCharType="begin"/>
          </w:r>
          <w:r>
            <w:instrText xml:space="preserve"> PAGEREF _Toc3051 \h </w:instrText>
          </w:r>
          <w:r>
            <w:fldChar w:fldCharType="separate"/>
          </w:r>
          <w:r>
            <w:t>38</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_Toc6131 </w:instrText>
          </w:r>
          <w:r>
            <w:rPr>
              <w:rFonts w:eastAsia="Arial" w:cs="Arial"/>
              <w:snapToGrid w:val="0"/>
              <w:kern w:val="0"/>
              <w:szCs w:val="21"/>
            </w:rPr>
            <w:fldChar w:fldCharType="separate"/>
          </w:r>
          <w:r>
            <w:rPr>
              <w:rFonts w:hint="eastAsia" w:ascii="Times New Roman" w:hAnsi="Times New Roman"/>
            </w:rPr>
            <w:t>（二）积极建设康巴什区整区光伏项目</w:t>
          </w:r>
          <w:r>
            <w:tab/>
          </w:r>
          <w:r>
            <w:fldChar w:fldCharType="begin"/>
          </w:r>
          <w:r>
            <w:instrText xml:space="preserve"> PAGEREF _Toc6131 \h </w:instrText>
          </w:r>
          <w:r>
            <w:fldChar w:fldCharType="separate"/>
          </w:r>
          <w:r>
            <w:t>40</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_Toc22508 </w:instrText>
          </w:r>
          <w:r>
            <w:rPr>
              <w:rFonts w:eastAsia="Arial" w:cs="Arial"/>
              <w:snapToGrid w:val="0"/>
              <w:kern w:val="0"/>
              <w:szCs w:val="21"/>
            </w:rPr>
            <w:fldChar w:fldCharType="separate"/>
          </w:r>
          <w:r>
            <w:rPr>
              <w:rFonts w:hint="eastAsia" w:ascii="Times New Roman" w:hAnsi="Times New Roman"/>
            </w:rPr>
            <w:t>（</w:t>
          </w:r>
          <w:r>
            <w:rPr>
              <w:rFonts w:hint="eastAsia" w:ascii="Times New Roman" w:hAnsi="Times New Roman"/>
              <w:lang w:val="en-US" w:eastAsia="zh-CN"/>
            </w:rPr>
            <w:t>三</w:t>
          </w:r>
          <w:r>
            <w:rPr>
              <w:rFonts w:hint="eastAsia" w:ascii="Times New Roman" w:hAnsi="Times New Roman"/>
            </w:rPr>
            <w:t>）建设新能源主题零碳景观公园</w:t>
          </w:r>
          <w:r>
            <w:tab/>
          </w:r>
          <w:r>
            <w:fldChar w:fldCharType="begin"/>
          </w:r>
          <w:r>
            <w:instrText xml:space="preserve"> PAGEREF _Toc22508 \h </w:instrText>
          </w:r>
          <w:r>
            <w:fldChar w:fldCharType="separate"/>
          </w:r>
          <w:r>
            <w:t>40</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_Toc13967 </w:instrText>
          </w:r>
          <w:r>
            <w:rPr>
              <w:rFonts w:eastAsia="Arial" w:cs="Arial"/>
              <w:snapToGrid w:val="0"/>
              <w:kern w:val="0"/>
              <w:szCs w:val="21"/>
            </w:rPr>
            <w:fldChar w:fldCharType="separate"/>
          </w:r>
          <w:r>
            <w:rPr>
              <w:rFonts w:hint="eastAsia" w:ascii="Times New Roman" w:hAnsi="Times New Roman"/>
              <w:highlight w:val="none"/>
            </w:rPr>
            <w:t>（</w:t>
          </w:r>
          <w:r>
            <w:rPr>
              <w:rFonts w:hint="eastAsia" w:ascii="Times New Roman" w:hAnsi="Times New Roman"/>
              <w:highlight w:val="none"/>
              <w:lang w:val="en-US" w:eastAsia="zh-CN"/>
            </w:rPr>
            <w:t>四</w:t>
          </w:r>
          <w:r>
            <w:rPr>
              <w:rFonts w:hint="eastAsia" w:ascii="Times New Roman" w:hAnsi="Times New Roman"/>
              <w:highlight w:val="none"/>
            </w:rPr>
            <w:t>）</w:t>
          </w:r>
          <w:r>
            <w:rPr>
              <w:rFonts w:hint="eastAsia" w:ascii="Times New Roman" w:hAnsi="Times New Roman"/>
              <w:highlight w:val="none"/>
              <w:lang w:val="en-US" w:eastAsia="zh-CN"/>
            </w:rPr>
            <w:t>发展园区</w:t>
          </w:r>
          <w:r>
            <w:rPr>
              <w:rFonts w:hint="eastAsia" w:ascii="Times New Roman" w:hAnsi="Times New Roman"/>
              <w:highlight w:val="none"/>
            </w:rPr>
            <w:t>分散式风电</w:t>
          </w:r>
          <w:r>
            <w:rPr>
              <w:rFonts w:hint="eastAsia" w:ascii="Times New Roman" w:hAnsi="Times New Roman"/>
              <w:highlight w:val="none"/>
              <w:lang w:eastAsia="zh-CN"/>
            </w:rPr>
            <w:t>，</w:t>
          </w:r>
          <w:r>
            <w:rPr>
              <w:rFonts w:hint="eastAsia" w:ascii="Times New Roman" w:hAnsi="Times New Roman"/>
              <w:highlight w:val="none"/>
              <w:lang w:val="en-US" w:eastAsia="zh-CN"/>
            </w:rPr>
            <w:t>推动</w:t>
          </w:r>
          <w:r>
            <w:rPr>
              <w:rFonts w:hint="eastAsia" w:ascii="Times New Roman" w:hAnsi="Times New Roman"/>
              <w:highlight w:val="none"/>
            </w:rPr>
            <w:t>园区绿电</w:t>
          </w:r>
          <w:r>
            <w:rPr>
              <w:rFonts w:hint="eastAsia" w:ascii="Times New Roman" w:hAnsi="Times New Roman"/>
              <w:highlight w:val="none"/>
              <w:lang w:val="en-US" w:eastAsia="zh-CN"/>
            </w:rPr>
            <w:t>替代</w:t>
          </w:r>
          <w:r>
            <w:tab/>
          </w:r>
          <w:r>
            <w:fldChar w:fldCharType="begin"/>
          </w:r>
          <w:r>
            <w:instrText xml:space="preserve"> PAGEREF _Toc13967 \h </w:instrText>
          </w:r>
          <w:r>
            <w:fldChar w:fldCharType="separate"/>
          </w:r>
          <w:r>
            <w:t>41</w:t>
          </w:r>
          <w:r>
            <w:fldChar w:fldCharType="end"/>
          </w:r>
          <w:r>
            <w:rPr>
              <w:rFonts w:eastAsia="Arial" w:cs="Arial"/>
              <w:snapToGrid w:val="0"/>
              <w:color w:val="000000"/>
              <w:kern w:val="0"/>
              <w:szCs w:val="21"/>
            </w:rPr>
            <w:fldChar w:fldCharType="end"/>
          </w:r>
        </w:p>
        <w:p>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_Toc25488 </w:instrText>
          </w:r>
          <w:r>
            <w:rPr>
              <w:rFonts w:eastAsia="Arial" w:cs="Arial"/>
              <w:snapToGrid w:val="0"/>
              <w:kern w:val="0"/>
              <w:szCs w:val="21"/>
            </w:rPr>
            <w:fldChar w:fldCharType="separate"/>
          </w:r>
          <w:r>
            <w:rPr>
              <w:rFonts w:hint="eastAsia" w:eastAsia="黑体" w:cs="黑体"/>
              <w:snapToGrid w:val="0"/>
              <w:spacing w:val="-2"/>
              <w:kern w:val="0"/>
              <w:szCs w:val="32"/>
            </w:rPr>
            <w:t>七、积极推动地热能开发</w:t>
          </w:r>
          <w:r>
            <w:tab/>
          </w:r>
          <w:r>
            <w:fldChar w:fldCharType="begin"/>
          </w:r>
          <w:r>
            <w:instrText xml:space="preserve"> PAGEREF _Toc25488 \h </w:instrText>
          </w:r>
          <w:r>
            <w:fldChar w:fldCharType="separate"/>
          </w:r>
          <w:r>
            <w:t>42</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_Toc8003 </w:instrText>
          </w:r>
          <w:r>
            <w:rPr>
              <w:rFonts w:eastAsia="Arial" w:cs="Arial"/>
              <w:snapToGrid w:val="0"/>
              <w:kern w:val="0"/>
              <w:szCs w:val="21"/>
            </w:rPr>
            <w:fldChar w:fldCharType="separate"/>
          </w:r>
          <w:r>
            <w:rPr>
              <w:rFonts w:ascii="Times New Roman" w:hAnsi="Times New Roman"/>
            </w:rPr>
            <w:t>（</w:t>
          </w:r>
          <w:r>
            <w:rPr>
              <w:rFonts w:hint="eastAsia" w:ascii="Times New Roman" w:hAnsi="Times New Roman"/>
            </w:rPr>
            <w:t>一</w:t>
          </w:r>
          <w:r>
            <w:rPr>
              <w:rFonts w:ascii="Times New Roman" w:hAnsi="Times New Roman"/>
            </w:rPr>
            <w:t>）</w:t>
          </w:r>
          <w:r>
            <w:rPr>
              <w:rFonts w:hint="eastAsia" w:ascii="Times New Roman" w:hAnsi="Times New Roman"/>
            </w:rPr>
            <w:t>开展地热资源勘查</w:t>
          </w:r>
          <w:r>
            <w:tab/>
          </w:r>
          <w:r>
            <w:fldChar w:fldCharType="begin"/>
          </w:r>
          <w:r>
            <w:instrText xml:space="preserve"> PAGEREF _Toc8003 \h </w:instrText>
          </w:r>
          <w:r>
            <w:fldChar w:fldCharType="separate"/>
          </w:r>
          <w:r>
            <w:t>42</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_Toc2999 </w:instrText>
          </w:r>
          <w:r>
            <w:rPr>
              <w:rFonts w:eastAsia="Arial" w:cs="Arial"/>
              <w:snapToGrid w:val="0"/>
              <w:kern w:val="0"/>
              <w:szCs w:val="21"/>
            </w:rPr>
            <w:fldChar w:fldCharType="separate"/>
          </w:r>
          <w:r>
            <w:rPr>
              <w:rFonts w:hint="eastAsia" w:ascii="Times New Roman" w:hAnsi="Times New Roman"/>
            </w:rPr>
            <w:t>（二） 因地制宜开发浅层地热</w:t>
          </w:r>
          <w:r>
            <w:tab/>
          </w:r>
          <w:r>
            <w:fldChar w:fldCharType="begin"/>
          </w:r>
          <w:r>
            <w:instrText xml:space="preserve"> PAGEREF _Toc2999 \h </w:instrText>
          </w:r>
          <w:r>
            <w:fldChar w:fldCharType="separate"/>
          </w:r>
          <w:r>
            <w:t>43</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_Toc28835 </w:instrText>
          </w:r>
          <w:r>
            <w:rPr>
              <w:rFonts w:eastAsia="Arial" w:cs="Arial"/>
              <w:snapToGrid w:val="0"/>
              <w:kern w:val="0"/>
              <w:szCs w:val="21"/>
            </w:rPr>
            <w:fldChar w:fldCharType="separate"/>
          </w:r>
          <w:r>
            <w:rPr>
              <w:rFonts w:hint="eastAsia" w:ascii="Times New Roman" w:hAnsi="Times New Roman"/>
            </w:rPr>
            <w:t>（三） 推进中深层地热能开发利用</w:t>
          </w:r>
          <w:r>
            <w:tab/>
          </w:r>
          <w:r>
            <w:fldChar w:fldCharType="begin"/>
          </w:r>
          <w:r>
            <w:instrText xml:space="preserve"> PAGEREF _Toc28835 \h </w:instrText>
          </w:r>
          <w:r>
            <w:fldChar w:fldCharType="separate"/>
          </w:r>
          <w:r>
            <w:t>43</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_Toc26681 </w:instrText>
          </w:r>
          <w:r>
            <w:rPr>
              <w:rFonts w:eastAsia="Arial" w:cs="Arial"/>
              <w:snapToGrid w:val="0"/>
              <w:kern w:val="0"/>
              <w:szCs w:val="21"/>
            </w:rPr>
            <w:fldChar w:fldCharType="separate"/>
          </w:r>
          <w:r>
            <w:rPr>
              <w:rFonts w:hint="eastAsia" w:ascii="Times New Roman" w:hAnsi="Times New Roman"/>
            </w:rPr>
            <w:t>（四） 做好与相关规划的衔接</w:t>
          </w:r>
          <w:r>
            <w:tab/>
          </w:r>
          <w:r>
            <w:fldChar w:fldCharType="begin"/>
          </w:r>
          <w:r>
            <w:instrText xml:space="preserve"> PAGEREF _Toc26681 \h </w:instrText>
          </w:r>
          <w:r>
            <w:fldChar w:fldCharType="separate"/>
          </w:r>
          <w:r>
            <w:t>44</w:t>
          </w:r>
          <w:r>
            <w:fldChar w:fldCharType="end"/>
          </w:r>
          <w:r>
            <w:rPr>
              <w:rFonts w:eastAsia="Arial" w:cs="Arial"/>
              <w:snapToGrid w:val="0"/>
              <w:color w:val="000000"/>
              <w:kern w:val="0"/>
              <w:szCs w:val="21"/>
            </w:rPr>
            <w:fldChar w:fldCharType="end"/>
          </w:r>
        </w:p>
        <w:p>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_Toc24282 </w:instrText>
          </w:r>
          <w:r>
            <w:rPr>
              <w:rFonts w:eastAsia="Arial" w:cs="Arial"/>
              <w:snapToGrid w:val="0"/>
              <w:kern w:val="0"/>
              <w:szCs w:val="21"/>
            </w:rPr>
            <w:fldChar w:fldCharType="separate"/>
          </w:r>
          <w:r>
            <w:rPr>
              <w:rFonts w:hint="eastAsia" w:eastAsia="黑体" w:cs="黑体"/>
              <w:snapToGrid w:val="0"/>
              <w:spacing w:val="-2"/>
              <w:kern w:val="0"/>
              <w:szCs w:val="32"/>
            </w:rPr>
            <w:t>八、可再生能源消纳利用方案</w:t>
          </w:r>
          <w:r>
            <w:tab/>
          </w:r>
          <w:r>
            <w:fldChar w:fldCharType="begin"/>
          </w:r>
          <w:r>
            <w:instrText xml:space="preserve"> PAGEREF _Toc24282 \h </w:instrText>
          </w:r>
          <w:r>
            <w:fldChar w:fldCharType="separate"/>
          </w:r>
          <w:r>
            <w:t>44</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_Toc12667 </w:instrText>
          </w:r>
          <w:r>
            <w:rPr>
              <w:rFonts w:eastAsia="Arial" w:cs="Arial"/>
              <w:snapToGrid w:val="0"/>
              <w:kern w:val="0"/>
              <w:szCs w:val="21"/>
            </w:rPr>
            <w:fldChar w:fldCharType="separate"/>
          </w:r>
          <w:r>
            <w:rPr>
              <w:rFonts w:ascii="Times New Roman" w:hAnsi="Times New Roman"/>
            </w:rPr>
            <w:t>（</w:t>
          </w:r>
          <w:r>
            <w:rPr>
              <w:rFonts w:hint="eastAsia" w:ascii="Times New Roman" w:hAnsi="Times New Roman"/>
            </w:rPr>
            <w:t>一</w:t>
          </w:r>
          <w:r>
            <w:rPr>
              <w:rFonts w:ascii="Times New Roman" w:hAnsi="Times New Roman"/>
            </w:rPr>
            <w:t>）推</w:t>
          </w:r>
          <w:r>
            <w:rPr>
              <w:rFonts w:hint="eastAsia" w:ascii="Times New Roman" w:hAnsi="Times New Roman"/>
            </w:rPr>
            <w:t>动</w:t>
          </w:r>
          <w:r>
            <w:rPr>
              <w:rFonts w:ascii="Times New Roman" w:hAnsi="Times New Roman"/>
            </w:rPr>
            <w:t>工业园区</w:t>
          </w:r>
          <w:r>
            <w:rPr>
              <w:rFonts w:hint="eastAsia" w:ascii="Times New Roman" w:hAnsi="Times New Roman"/>
            </w:rPr>
            <w:t>存量负荷绿电替代</w:t>
          </w:r>
          <w:r>
            <w:tab/>
          </w:r>
          <w:r>
            <w:fldChar w:fldCharType="begin"/>
          </w:r>
          <w:r>
            <w:instrText xml:space="preserve"> PAGEREF _Toc12667 \h </w:instrText>
          </w:r>
          <w:r>
            <w:fldChar w:fldCharType="separate"/>
          </w:r>
          <w:r>
            <w:t>44</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_Toc27131 </w:instrText>
          </w:r>
          <w:r>
            <w:rPr>
              <w:rFonts w:eastAsia="Arial" w:cs="Arial"/>
              <w:snapToGrid w:val="0"/>
              <w:kern w:val="0"/>
              <w:szCs w:val="21"/>
            </w:rPr>
            <w:fldChar w:fldCharType="separate"/>
          </w:r>
          <w:r>
            <w:rPr>
              <w:rFonts w:hint="eastAsia" w:ascii="Times New Roman" w:hAnsi="Times New Roman"/>
            </w:rPr>
            <w:t>（二</w:t>
          </w:r>
          <w:r>
            <w:rPr>
              <w:rFonts w:hint="eastAsia" w:ascii="Times New Roman" w:hAnsi="Times New Roman" w:eastAsia="微软雅黑" w:cs="微软雅黑"/>
            </w:rPr>
            <w:t>）</w:t>
          </w:r>
          <w:r>
            <w:rPr>
              <w:rFonts w:hint="eastAsia" w:ascii="Times New Roman" w:hAnsi="Times New Roman"/>
            </w:rPr>
            <w:t>发展高比例新能源绿色智慧配电网</w:t>
          </w:r>
          <w:r>
            <w:tab/>
          </w:r>
          <w:r>
            <w:fldChar w:fldCharType="begin"/>
          </w:r>
          <w:r>
            <w:instrText xml:space="preserve"> PAGEREF _Toc27131 \h </w:instrText>
          </w:r>
          <w:r>
            <w:fldChar w:fldCharType="separate"/>
          </w:r>
          <w:r>
            <w:t>45</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_Toc29570 </w:instrText>
          </w:r>
          <w:r>
            <w:rPr>
              <w:rFonts w:eastAsia="Arial" w:cs="Arial"/>
              <w:snapToGrid w:val="0"/>
              <w:kern w:val="0"/>
              <w:szCs w:val="21"/>
            </w:rPr>
            <w:fldChar w:fldCharType="separate"/>
          </w:r>
          <w:r>
            <w:rPr>
              <w:rFonts w:hint="eastAsia" w:ascii="Times New Roman" w:hAnsi="Times New Roman"/>
            </w:rPr>
            <w:t>（三）推动新能源制氢耦合发展</w:t>
          </w:r>
          <w:r>
            <w:tab/>
          </w:r>
          <w:r>
            <w:fldChar w:fldCharType="begin"/>
          </w:r>
          <w:r>
            <w:instrText xml:space="preserve"> PAGEREF _Toc29570 \h </w:instrText>
          </w:r>
          <w:r>
            <w:fldChar w:fldCharType="separate"/>
          </w:r>
          <w:r>
            <w:t>46</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_Toc12617 </w:instrText>
          </w:r>
          <w:r>
            <w:rPr>
              <w:rFonts w:eastAsia="Arial" w:cs="Arial"/>
              <w:snapToGrid w:val="0"/>
              <w:kern w:val="0"/>
              <w:szCs w:val="21"/>
            </w:rPr>
            <w:fldChar w:fldCharType="separate"/>
          </w:r>
          <w:r>
            <w:rPr>
              <w:rFonts w:hint="eastAsia" w:ascii="Times New Roman" w:hAnsi="Times New Roman"/>
            </w:rPr>
            <w:t>（四）配套建设多种新型储能</w:t>
          </w:r>
          <w:r>
            <w:tab/>
          </w:r>
          <w:r>
            <w:fldChar w:fldCharType="begin"/>
          </w:r>
          <w:r>
            <w:instrText xml:space="preserve"> PAGEREF _Toc12617 \h </w:instrText>
          </w:r>
          <w:r>
            <w:fldChar w:fldCharType="separate"/>
          </w:r>
          <w:r>
            <w:t>47</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_Toc20109 </w:instrText>
          </w:r>
          <w:r>
            <w:rPr>
              <w:rFonts w:eastAsia="Arial" w:cs="Arial"/>
              <w:snapToGrid w:val="0"/>
              <w:kern w:val="0"/>
              <w:szCs w:val="21"/>
            </w:rPr>
            <w:fldChar w:fldCharType="separate"/>
          </w:r>
          <w:r>
            <w:rPr>
              <w:rFonts w:hint="eastAsia" w:ascii="Times New Roman" w:hAnsi="Times New Roman"/>
            </w:rPr>
            <w:t>（五）打造绿色用能社区示范样板</w:t>
          </w:r>
          <w:r>
            <w:tab/>
          </w:r>
          <w:r>
            <w:fldChar w:fldCharType="begin"/>
          </w:r>
          <w:r>
            <w:instrText xml:space="preserve"> PAGEREF _Toc20109 \h </w:instrText>
          </w:r>
          <w:r>
            <w:fldChar w:fldCharType="separate"/>
          </w:r>
          <w:r>
            <w:t>48</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_Toc492 </w:instrText>
          </w:r>
          <w:r>
            <w:rPr>
              <w:rFonts w:eastAsia="Arial" w:cs="Arial"/>
              <w:snapToGrid w:val="0"/>
              <w:kern w:val="0"/>
              <w:szCs w:val="21"/>
            </w:rPr>
            <w:fldChar w:fldCharType="separate"/>
          </w:r>
          <w:r>
            <w:rPr>
              <w:rFonts w:hint="eastAsia" w:ascii="Times New Roman" w:hAnsi="Times New Roman"/>
            </w:rPr>
            <w:t>（六）发展综合能源智慧管控系统</w:t>
          </w:r>
          <w:r>
            <w:tab/>
          </w:r>
          <w:r>
            <w:fldChar w:fldCharType="begin"/>
          </w:r>
          <w:r>
            <w:instrText xml:space="preserve"> PAGEREF _Toc492 \h </w:instrText>
          </w:r>
          <w:r>
            <w:fldChar w:fldCharType="separate"/>
          </w:r>
          <w:r>
            <w:t>49</w:t>
          </w:r>
          <w:r>
            <w:fldChar w:fldCharType="end"/>
          </w:r>
          <w:r>
            <w:rPr>
              <w:rFonts w:eastAsia="Arial" w:cs="Arial"/>
              <w:snapToGrid w:val="0"/>
              <w:color w:val="000000"/>
              <w:kern w:val="0"/>
              <w:szCs w:val="21"/>
            </w:rPr>
            <w:fldChar w:fldCharType="end"/>
          </w:r>
        </w:p>
        <w:p>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_Toc22908 </w:instrText>
          </w:r>
          <w:r>
            <w:rPr>
              <w:rFonts w:eastAsia="Arial" w:cs="Arial"/>
              <w:snapToGrid w:val="0"/>
              <w:kern w:val="0"/>
              <w:szCs w:val="21"/>
            </w:rPr>
            <w:fldChar w:fldCharType="separate"/>
          </w:r>
          <w:r>
            <w:rPr>
              <w:rFonts w:hint="eastAsia" w:eastAsia="黑体" w:cs="黑体"/>
              <w:snapToGrid w:val="0"/>
              <w:spacing w:val="-2"/>
              <w:kern w:val="0"/>
              <w:szCs w:val="32"/>
            </w:rPr>
            <w:t>九、电网接入方案</w:t>
          </w:r>
          <w:r>
            <w:tab/>
          </w:r>
          <w:r>
            <w:fldChar w:fldCharType="begin"/>
          </w:r>
          <w:r>
            <w:instrText xml:space="preserve"> PAGEREF _Toc22908 \h </w:instrText>
          </w:r>
          <w:r>
            <w:fldChar w:fldCharType="separate"/>
          </w:r>
          <w:r>
            <w:t>50</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_Toc1071 </w:instrText>
          </w:r>
          <w:r>
            <w:rPr>
              <w:rFonts w:eastAsia="Arial" w:cs="Arial"/>
              <w:snapToGrid w:val="0"/>
              <w:kern w:val="0"/>
              <w:szCs w:val="21"/>
            </w:rPr>
            <w:fldChar w:fldCharType="separate"/>
          </w:r>
          <w:r>
            <w:rPr>
              <w:rFonts w:hint="eastAsia" w:ascii="Times New Roman" w:hAnsi="Times New Roman"/>
            </w:rPr>
            <w:t>（一）电网发展规划</w:t>
          </w:r>
          <w:r>
            <w:tab/>
          </w:r>
          <w:r>
            <w:fldChar w:fldCharType="begin"/>
          </w:r>
          <w:r>
            <w:instrText xml:space="preserve"> PAGEREF _Toc1071 \h </w:instrText>
          </w:r>
          <w:r>
            <w:fldChar w:fldCharType="separate"/>
          </w:r>
          <w:r>
            <w:t>50</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_Toc7325 </w:instrText>
          </w:r>
          <w:r>
            <w:rPr>
              <w:rFonts w:eastAsia="Arial" w:cs="Arial"/>
              <w:snapToGrid w:val="0"/>
              <w:kern w:val="0"/>
              <w:szCs w:val="21"/>
            </w:rPr>
            <w:fldChar w:fldCharType="separate"/>
          </w:r>
          <w:r>
            <w:rPr>
              <w:rFonts w:ascii="Times New Roman" w:hAnsi="Times New Roman"/>
            </w:rPr>
            <w:t>（二）</w:t>
          </w:r>
          <w:r>
            <w:rPr>
              <w:rFonts w:hint="eastAsia" w:ascii="Times New Roman" w:hAnsi="Times New Roman"/>
            </w:rPr>
            <w:t>可接入变电站分析</w:t>
          </w:r>
          <w:r>
            <w:tab/>
          </w:r>
          <w:r>
            <w:fldChar w:fldCharType="begin"/>
          </w:r>
          <w:r>
            <w:instrText xml:space="preserve"> PAGEREF _Toc7325 \h </w:instrText>
          </w:r>
          <w:r>
            <w:fldChar w:fldCharType="separate"/>
          </w:r>
          <w:r>
            <w:t>50</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_Toc17330 </w:instrText>
          </w:r>
          <w:r>
            <w:rPr>
              <w:rFonts w:eastAsia="Arial" w:cs="Arial"/>
              <w:snapToGrid w:val="0"/>
              <w:kern w:val="0"/>
              <w:szCs w:val="21"/>
            </w:rPr>
            <w:fldChar w:fldCharType="separate"/>
          </w:r>
          <w:r>
            <w:rPr>
              <w:rFonts w:ascii="Times New Roman" w:hAnsi="Times New Roman"/>
            </w:rPr>
            <w:t>（</w:t>
          </w:r>
          <w:r>
            <w:rPr>
              <w:rFonts w:hint="eastAsia" w:ascii="Times New Roman" w:hAnsi="Times New Roman"/>
            </w:rPr>
            <w:t>三</w:t>
          </w:r>
          <w:r>
            <w:rPr>
              <w:rFonts w:ascii="Times New Roman" w:hAnsi="Times New Roman"/>
            </w:rPr>
            <w:t>）接入系统方案</w:t>
          </w:r>
          <w:r>
            <w:tab/>
          </w:r>
          <w:r>
            <w:fldChar w:fldCharType="begin"/>
          </w:r>
          <w:r>
            <w:instrText xml:space="preserve"> PAGEREF _Toc17330 \h </w:instrText>
          </w:r>
          <w:r>
            <w:fldChar w:fldCharType="separate"/>
          </w:r>
          <w:r>
            <w:t>52</w:t>
          </w:r>
          <w:r>
            <w:fldChar w:fldCharType="end"/>
          </w:r>
          <w:r>
            <w:rPr>
              <w:rFonts w:eastAsia="Arial" w:cs="Arial"/>
              <w:snapToGrid w:val="0"/>
              <w:color w:val="000000"/>
              <w:kern w:val="0"/>
              <w:szCs w:val="21"/>
            </w:rPr>
            <w:fldChar w:fldCharType="end"/>
          </w:r>
        </w:p>
        <w:p>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_Toc3976 </w:instrText>
          </w:r>
          <w:r>
            <w:rPr>
              <w:rFonts w:eastAsia="Arial" w:cs="Arial"/>
              <w:snapToGrid w:val="0"/>
              <w:kern w:val="0"/>
              <w:szCs w:val="21"/>
            </w:rPr>
            <w:fldChar w:fldCharType="separate"/>
          </w:r>
          <w:r>
            <w:rPr>
              <w:rFonts w:hint="eastAsia" w:eastAsia="黑体" w:cs="黑体"/>
              <w:snapToGrid w:val="0"/>
              <w:spacing w:val="-2"/>
              <w:kern w:val="0"/>
              <w:szCs w:val="32"/>
            </w:rPr>
            <w:t>十、保障措施</w:t>
          </w:r>
          <w:r>
            <w:tab/>
          </w:r>
          <w:r>
            <w:fldChar w:fldCharType="begin"/>
          </w:r>
          <w:r>
            <w:instrText xml:space="preserve"> PAGEREF _Toc3976 \h </w:instrText>
          </w:r>
          <w:r>
            <w:fldChar w:fldCharType="separate"/>
          </w:r>
          <w:r>
            <w:t>55</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_Toc29243 </w:instrText>
          </w:r>
          <w:r>
            <w:rPr>
              <w:rFonts w:eastAsia="Arial" w:cs="Arial"/>
              <w:snapToGrid w:val="0"/>
              <w:kern w:val="0"/>
              <w:szCs w:val="21"/>
            </w:rPr>
            <w:fldChar w:fldCharType="separate"/>
          </w:r>
          <w:r>
            <w:rPr>
              <w:rFonts w:hint="eastAsia" w:ascii="Times New Roman" w:hAnsi="Times New Roman"/>
            </w:rPr>
            <w:t>（一）加强组织领导</w:t>
          </w:r>
          <w:r>
            <w:tab/>
          </w:r>
          <w:r>
            <w:fldChar w:fldCharType="begin"/>
          </w:r>
          <w:r>
            <w:instrText xml:space="preserve"> PAGEREF _Toc29243 \h </w:instrText>
          </w:r>
          <w:r>
            <w:fldChar w:fldCharType="separate"/>
          </w:r>
          <w:r>
            <w:t>55</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_Toc6961 </w:instrText>
          </w:r>
          <w:r>
            <w:rPr>
              <w:rFonts w:eastAsia="Arial" w:cs="Arial"/>
              <w:snapToGrid w:val="0"/>
              <w:kern w:val="0"/>
              <w:szCs w:val="21"/>
            </w:rPr>
            <w:fldChar w:fldCharType="separate"/>
          </w:r>
          <w:r>
            <w:rPr>
              <w:rFonts w:hint="eastAsia" w:ascii="Times New Roman" w:hAnsi="Times New Roman"/>
            </w:rPr>
            <w:t>（二）优化土地配置</w:t>
          </w:r>
          <w:r>
            <w:tab/>
          </w:r>
          <w:r>
            <w:fldChar w:fldCharType="begin"/>
          </w:r>
          <w:r>
            <w:instrText xml:space="preserve"> PAGEREF _Toc6961 \h </w:instrText>
          </w:r>
          <w:r>
            <w:fldChar w:fldCharType="separate"/>
          </w:r>
          <w:r>
            <w:t>55</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_Toc527 </w:instrText>
          </w:r>
          <w:r>
            <w:rPr>
              <w:rFonts w:eastAsia="Arial" w:cs="Arial"/>
              <w:snapToGrid w:val="0"/>
              <w:kern w:val="0"/>
              <w:szCs w:val="21"/>
            </w:rPr>
            <w:fldChar w:fldCharType="separate"/>
          </w:r>
          <w:r>
            <w:rPr>
              <w:rFonts w:hint="eastAsia" w:ascii="Times New Roman" w:hAnsi="Times New Roman"/>
            </w:rPr>
            <w:t>（三）加强金融财政支持</w:t>
          </w:r>
          <w:r>
            <w:tab/>
          </w:r>
          <w:r>
            <w:fldChar w:fldCharType="begin"/>
          </w:r>
          <w:r>
            <w:instrText xml:space="preserve"> PAGEREF _Toc527 \h </w:instrText>
          </w:r>
          <w:r>
            <w:fldChar w:fldCharType="separate"/>
          </w:r>
          <w:r>
            <w:t>55</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_Toc26984 </w:instrText>
          </w:r>
          <w:r>
            <w:rPr>
              <w:rFonts w:eastAsia="Arial" w:cs="Arial"/>
              <w:snapToGrid w:val="0"/>
              <w:kern w:val="0"/>
              <w:szCs w:val="21"/>
            </w:rPr>
            <w:fldChar w:fldCharType="separate"/>
          </w:r>
          <w:r>
            <w:rPr>
              <w:rFonts w:hint="eastAsia" w:ascii="Times New Roman" w:hAnsi="Times New Roman"/>
            </w:rPr>
            <w:t>（四）统筹源网建设</w:t>
          </w:r>
          <w:r>
            <w:tab/>
          </w:r>
          <w:r>
            <w:fldChar w:fldCharType="begin"/>
          </w:r>
          <w:r>
            <w:instrText xml:space="preserve"> PAGEREF _Toc26984 \h </w:instrText>
          </w:r>
          <w:r>
            <w:fldChar w:fldCharType="separate"/>
          </w:r>
          <w:r>
            <w:t>56</w:t>
          </w:r>
          <w:r>
            <w:fldChar w:fldCharType="end"/>
          </w:r>
          <w:r>
            <w:rPr>
              <w:rFonts w:eastAsia="Arial" w:cs="Arial"/>
              <w:snapToGrid w:val="0"/>
              <w:color w:val="000000"/>
              <w:kern w:val="0"/>
              <w:szCs w:val="21"/>
            </w:rPr>
            <w:fldChar w:fldCharType="end"/>
          </w:r>
        </w:p>
        <w:p>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_Toc23535 </w:instrText>
          </w:r>
          <w:r>
            <w:rPr>
              <w:rFonts w:eastAsia="Arial" w:cs="Arial"/>
              <w:snapToGrid w:val="0"/>
              <w:kern w:val="0"/>
              <w:szCs w:val="21"/>
            </w:rPr>
            <w:fldChar w:fldCharType="separate"/>
          </w:r>
          <w:r>
            <w:rPr>
              <w:rFonts w:hint="eastAsia" w:eastAsia="黑体" w:cs="黑体"/>
              <w:snapToGrid w:val="0"/>
              <w:spacing w:val="-2"/>
              <w:kern w:val="0"/>
              <w:szCs w:val="32"/>
            </w:rPr>
            <w:t>十一、环境影响评价</w:t>
          </w:r>
          <w:r>
            <w:tab/>
          </w:r>
          <w:r>
            <w:fldChar w:fldCharType="begin"/>
          </w:r>
          <w:r>
            <w:instrText xml:space="preserve"> PAGEREF _Toc23535 \h </w:instrText>
          </w:r>
          <w:r>
            <w:fldChar w:fldCharType="separate"/>
          </w:r>
          <w:r>
            <w:t>56</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_Toc21842 </w:instrText>
          </w:r>
          <w:r>
            <w:rPr>
              <w:rFonts w:eastAsia="Arial" w:cs="Arial"/>
              <w:snapToGrid w:val="0"/>
              <w:kern w:val="0"/>
              <w:szCs w:val="21"/>
            </w:rPr>
            <w:fldChar w:fldCharType="separate"/>
          </w:r>
          <w:r>
            <w:rPr>
              <w:rFonts w:hint="eastAsia" w:ascii="Times New Roman" w:hAnsi="Times New Roman"/>
            </w:rPr>
            <w:t>（一）环境</w:t>
          </w:r>
          <w:r>
            <w:rPr>
              <w:rFonts w:ascii="Times New Roman" w:hAnsi="Times New Roman"/>
            </w:rPr>
            <w:t>影响</w:t>
          </w:r>
          <w:r>
            <w:rPr>
              <w:rFonts w:hint="eastAsia" w:ascii="Times New Roman" w:hAnsi="Times New Roman"/>
            </w:rPr>
            <w:t>效益分析</w:t>
          </w:r>
          <w:r>
            <w:tab/>
          </w:r>
          <w:r>
            <w:fldChar w:fldCharType="begin"/>
          </w:r>
          <w:r>
            <w:instrText xml:space="preserve"> PAGEREF _Toc21842 \h </w:instrText>
          </w:r>
          <w:r>
            <w:fldChar w:fldCharType="separate"/>
          </w:r>
          <w:r>
            <w:t>56</w:t>
          </w:r>
          <w:r>
            <w:fldChar w:fldCharType="end"/>
          </w:r>
          <w:r>
            <w:rPr>
              <w:rFonts w:eastAsia="Arial" w:cs="Arial"/>
              <w:snapToGrid w:val="0"/>
              <w:color w:val="000000"/>
              <w:kern w:val="0"/>
              <w:szCs w:val="21"/>
            </w:rPr>
            <w:fldChar w:fldCharType="end"/>
          </w:r>
        </w:p>
        <w:p>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_Toc22069 </w:instrText>
          </w:r>
          <w:r>
            <w:rPr>
              <w:rFonts w:eastAsia="Arial" w:cs="Arial"/>
              <w:snapToGrid w:val="0"/>
              <w:kern w:val="0"/>
              <w:szCs w:val="21"/>
            </w:rPr>
            <w:fldChar w:fldCharType="separate"/>
          </w:r>
          <w:r>
            <w:rPr>
              <w:rFonts w:hint="eastAsia" w:ascii="Times New Roman" w:hAnsi="Times New Roman"/>
            </w:rPr>
            <w:t>（二）环境保护措施</w:t>
          </w:r>
          <w:r>
            <w:tab/>
          </w:r>
          <w:r>
            <w:fldChar w:fldCharType="begin"/>
          </w:r>
          <w:r>
            <w:instrText xml:space="preserve"> PAGEREF _Toc22069 \h </w:instrText>
          </w:r>
          <w:r>
            <w:fldChar w:fldCharType="separate"/>
          </w:r>
          <w:r>
            <w:t>57</w:t>
          </w:r>
          <w:r>
            <w:fldChar w:fldCharType="end"/>
          </w:r>
          <w:r>
            <w:rPr>
              <w:rFonts w:eastAsia="Arial" w:cs="Arial"/>
              <w:snapToGrid w:val="0"/>
              <w:color w:val="000000"/>
              <w:kern w:val="0"/>
              <w:szCs w:val="21"/>
            </w:rPr>
            <w:fldChar w:fldCharType="end"/>
          </w:r>
        </w:p>
        <w:p>
          <w:pPr>
            <w:pageBreakBefore w:val="0"/>
            <w:kinsoku w:val="0"/>
            <w:wordWrap/>
            <w:topLinePunct w:val="0"/>
            <w:autoSpaceDE w:val="0"/>
            <w:autoSpaceDN w:val="0"/>
            <w:bidi w:val="0"/>
            <w:adjustRightInd w:val="0"/>
            <w:snapToGrid/>
            <w:spacing w:line="240" w:lineRule="auto"/>
            <w:ind w:left="8" w:hanging="8" w:firstLineChars="0"/>
            <w:jc w:val="center"/>
            <w:textAlignment w:val="baseline"/>
            <w:rPr>
              <w:rFonts w:eastAsia="Arial" w:cs="Arial"/>
              <w:snapToGrid w:val="0"/>
              <w:color w:val="000000"/>
              <w:kern w:val="0"/>
              <w:sz w:val="21"/>
              <w:szCs w:val="21"/>
            </w:rPr>
            <w:sectPr>
              <w:footerReference r:id="rId10" w:type="default"/>
              <w:footerReference r:id="rId11" w:type="even"/>
              <w:pgSz w:w="11906" w:h="16838"/>
              <w:pgMar w:top="2098" w:right="1474" w:bottom="1984" w:left="1587" w:header="850" w:footer="1417" w:gutter="0"/>
              <w:pgBorders>
                <w:top w:val="none" w:sz="0" w:space="0"/>
                <w:left w:val="none" w:sz="0" w:space="0"/>
                <w:bottom w:val="none" w:sz="0" w:space="0"/>
                <w:right w:val="none" w:sz="0" w:space="0"/>
              </w:pgBorders>
              <w:pgNumType w:fmt="decimal" w:start="1"/>
              <w:cols w:space="0" w:num="1"/>
              <w:rtlGutter w:val="0"/>
              <w:docGrid w:type="linesAndChars" w:linePitch="607" w:charSpace="-1059"/>
            </w:sectPr>
          </w:pPr>
          <w:r>
            <w:rPr>
              <w:rFonts w:eastAsia="Arial" w:cs="Arial"/>
              <w:snapToGrid w:val="0"/>
              <w:color w:val="000000"/>
              <w:kern w:val="0"/>
              <w:szCs w:val="21"/>
            </w:rPr>
            <w:fldChar w:fldCharType="end"/>
          </w:r>
        </w:p>
      </w:sdtContent>
    </w:sdt>
    <w:p>
      <w:pPr>
        <w:pageBreakBefore w:val="0"/>
        <w:widowControl/>
        <w:kinsoku w:val="0"/>
        <w:wordWrap/>
        <w:topLinePunct w:val="0"/>
        <w:autoSpaceDE w:val="0"/>
        <w:autoSpaceDN w:val="0"/>
        <w:bidi w:val="0"/>
        <w:adjustRightInd w:val="0"/>
        <w:snapToGrid/>
        <w:spacing w:before="100" w:line="240" w:lineRule="auto"/>
        <w:ind w:left="601" w:firstLine="0" w:firstLineChars="0"/>
        <w:jc w:val="left"/>
        <w:textAlignment w:val="baseline"/>
        <w:outlineLvl w:val="0"/>
        <w:rPr>
          <w:rFonts w:eastAsia="黑体" w:cs="黑体"/>
          <w:snapToGrid w:val="0"/>
          <w:color w:val="000000"/>
          <w:spacing w:val="-2"/>
          <w:kern w:val="0"/>
          <w:szCs w:val="32"/>
        </w:rPr>
      </w:pPr>
      <w:bookmarkStart w:id="0" w:name="_Toc31427"/>
      <w:bookmarkStart w:id="1" w:name="_Toc5813"/>
      <w:bookmarkStart w:id="2" w:name="_Toc32307"/>
      <w:bookmarkStart w:id="3" w:name="_Toc13214"/>
      <w:bookmarkStart w:id="4" w:name="_Toc28463"/>
      <w:bookmarkStart w:id="5" w:name="_Toc5732"/>
      <w:bookmarkStart w:id="6" w:name="_Toc22551"/>
      <w:bookmarkStart w:id="7" w:name="_Toc28228"/>
      <w:r>
        <w:rPr>
          <w:rFonts w:eastAsia="黑体" w:cs="Times New Roman"/>
          <w:snapToGrid w:val="0"/>
          <w:color w:val="000000"/>
          <w:spacing w:val="-2"/>
          <w:kern w:val="0"/>
          <w:szCs w:val="32"/>
        </w:rPr>
        <w:t>一</w:t>
      </w:r>
      <w:r>
        <w:rPr>
          <w:rFonts w:hint="eastAsia" w:eastAsia="黑体" w:cs="黑体"/>
          <w:snapToGrid w:val="0"/>
          <w:color w:val="000000"/>
          <w:spacing w:val="-2"/>
          <w:kern w:val="0"/>
          <w:szCs w:val="32"/>
        </w:rPr>
        <w:t>、规划编制概况</w:t>
      </w:r>
      <w:bookmarkEnd w:id="0"/>
      <w:bookmarkEnd w:id="1"/>
      <w:bookmarkEnd w:id="2"/>
      <w:bookmarkEnd w:id="3"/>
      <w:bookmarkEnd w:id="4"/>
      <w:bookmarkEnd w:id="5"/>
      <w:bookmarkEnd w:id="6"/>
      <w:bookmarkEnd w:id="7"/>
    </w:p>
    <w:p>
      <w:pPr>
        <w:pageBreakBefore w:val="0"/>
        <w:wordWrap/>
        <w:topLinePunct w:val="0"/>
        <w:bidi w:val="0"/>
        <w:snapToGrid/>
        <w:spacing w:line="240" w:lineRule="auto"/>
        <w:outlineLvl w:val="1"/>
        <w:rPr>
          <w:rFonts w:eastAsia="楷体" w:cs="楷体"/>
        </w:rPr>
      </w:pPr>
      <w:bookmarkStart w:id="8" w:name="_Toc17876"/>
      <w:bookmarkStart w:id="9" w:name="_Toc31998"/>
      <w:bookmarkStart w:id="10" w:name="_Toc16910"/>
      <w:bookmarkStart w:id="11" w:name="_Toc5188"/>
      <w:bookmarkStart w:id="12" w:name="_Toc1486"/>
      <w:bookmarkStart w:id="13" w:name="_Toc6185"/>
      <w:bookmarkStart w:id="14" w:name="_Toc758"/>
      <w:r>
        <w:rPr>
          <w:rFonts w:hint="eastAsia" w:eastAsia="楷体" w:cs="楷体"/>
        </w:rPr>
        <w:t>（一）规划背景</w:t>
      </w:r>
      <w:bookmarkEnd w:id="8"/>
      <w:bookmarkEnd w:id="9"/>
      <w:bookmarkEnd w:id="10"/>
      <w:bookmarkEnd w:id="11"/>
      <w:bookmarkEnd w:id="12"/>
      <w:bookmarkEnd w:id="13"/>
      <w:bookmarkEnd w:id="14"/>
    </w:p>
    <w:p>
      <w:pPr>
        <w:pageBreakBefore w:val="0"/>
        <w:wordWrap/>
        <w:topLinePunct w:val="0"/>
        <w:bidi w:val="0"/>
        <w:snapToGrid/>
        <w:spacing w:line="240" w:lineRule="auto"/>
      </w:pPr>
      <w:r>
        <w:rPr>
          <w:rFonts w:hint="eastAsia"/>
        </w:rPr>
        <w:t>环境是人类生存的基础，能源是文明发展的动力，二者共同构成人类文明发展的基石。秉持人类命运共同体理念，坚持绿色低碳，建设一个清洁美丽的世界，是实现人类社会可持续发展的必由之路。</w:t>
      </w:r>
    </w:p>
    <w:p>
      <w:pPr>
        <w:pageBreakBefore w:val="0"/>
        <w:wordWrap/>
        <w:topLinePunct w:val="0"/>
        <w:bidi w:val="0"/>
        <w:snapToGrid/>
        <w:spacing w:line="240" w:lineRule="auto"/>
      </w:pPr>
      <w:r>
        <w:rPr>
          <w:rFonts w:hint="eastAsia" w:cs="Times New Roman"/>
        </w:rPr>
        <w:t>2020</w:t>
      </w:r>
      <w:r>
        <w:rPr>
          <w:rFonts w:hint="eastAsia"/>
        </w:rPr>
        <w:t>年</w:t>
      </w:r>
      <w:r>
        <w:rPr>
          <w:rFonts w:hint="eastAsia" w:cs="Times New Roman"/>
        </w:rPr>
        <w:t>9</w:t>
      </w:r>
      <w:r>
        <w:rPr>
          <w:rFonts w:hint="eastAsia"/>
        </w:rPr>
        <w:t>月</w:t>
      </w:r>
      <w:r>
        <w:rPr>
          <w:rFonts w:hint="eastAsia" w:cs="仿宋_GB2312"/>
        </w:rPr>
        <w:t>，</w:t>
      </w:r>
      <w:r>
        <w:rPr>
          <w:rFonts w:hint="eastAsia"/>
        </w:rPr>
        <w:t>习近平总书记在第七十五届联合</w:t>
      </w:r>
      <w:r>
        <w:rPr>
          <w:rFonts w:hint="eastAsia" w:cs="仿宋_GB2312"/>
        </w:rPr>
        <w:t>国</w:t>
      </w:r>
      <w:r>
        <w:rPr>
          <w:rFonts w:hint="eastAsia"/>
        </w:rPr>
        <w:t>大会</w:t>
      </w:r>
      <w:r>
        <w:rPr>
          <w:rFonts w:hint="eastAsia" w:cs="仿宋_GB2312"/>
        </w:rPr>
        <w:t>一</w:t>
      </w:r>
      <w:r>
        <w:rPr>
          <w:rFonts w:hint="eastAsia"/>
        </w:rPr>
        <w:t>般性辩论上提出</w:t>
      </w:r>
      <w:r>
        <w:rPr>
          <w:rFonts w:hint="eastAsia" w:cs="Times New Roman"/>
        </w:rPr>
        <w:t>2030</w:t>
      </w:r>
      <w:r>
        <w:rPr>
          <w:rFonts w:hint="eastAsia"/>
        </w:rPr>
        <w:t>年前碳排放达峰、</w:t>
      </w:r>
      <w:r>
        <w:rPr>
          <w:rFonts w:hint="eastAsia" w:cs="Times New Roman"/>
        </w:rPr>
        <w:t>2060</w:t>
      </w:r>
      <w:r>
        <w:rPr>
          <w:rFonts w:hint="eastAsia"/>
        </w:rPr>
        <w:t>年前</w:t>
      </w:r>
      <w:r>
        <w:rPr>
          <w:rFonts w:hint="eastAsia" w:cs="仿宋_GB2312"/>
        </w:rPr>
        <w:t>实</w:t>
      </w:r>
      <w:r>
        <w:rPr>
          <w:rFonts w:hint="eastAsia"/>
        </w:rPr>
        <w:t>现碳中和的战略</w:t>
      </w:r>
      <w:r>
        <w:rPr>
          <w:rFonts w:hint="eastAsia" w:cs="仿宋_GB2312"/>
        </w:rPr>
        <w:t>目标，</w:t>
      </w:r>
      <w:r>
        <w:rPr>
          <w:rFonts w:hint="eastAsia"/>
        </w:rPr>
        <w:t>在气候雄心峰会上进</w:t>
      </w:r>
      <w:r>
        <w:rPr>
          <w:rFonts w:hint="eastAsia" w:cs="仿宋_GB2312"/>
        </w:rPr>
        <w:t>一步</w:t>
      </w:r>
      <w:r>
        <w:rPr>
          <w:rFonts w:hint="eastAsia"/>
        </w:rPr>
        <w:t>提出</w:t>
      </w:r>
      <w:r>
        <w:rPr>
          <w:rFonts w:hint="eastAsia" w:cs="仿宋_GB2312"/>
        </w:rPr>
        <w:t>，</w:t>
      </w:r>
      <w:r>
        <w:rPr>
          <w:rFonts w:hint="eastAsia"/>
        </w:rPr>
        <w:t>到</w:t>
      </w:r>
      <w:r>
        <w:rPr>
          <w:rFonts w:hint="eastAsia" w:cs="Times New Roman"/>
        </w:rPr>
        <w:t>2030</w:t>
      </w:r>
      <w:r>
        <w:rPr>
          <w:rFonts w:hint="eastAsia"/>
        </w:rPr>
        <w:t>年</w:t>
      </w:r>
      <w:r>
        <w:rPr>
          <w:rFonts w:hint="eastAsia" w:cs="仿宋_GB2312"/>
        </w:rPr>
        <w:t>，</w:t>
      </w:r>
      <w:r>
        <w:rPr>
          <w:rFonts w:hint="eastAsia"/>
        </w:rPr>
        <w:t>中</w:t>
      </w:r>
      <w:r>
        <w:rPr>
          <w:rFonts w:hint="eastAsia" w:cs="仿宋_GB2312"/>
        </w:rPr>
        <w:t>国</w:t>
      </w:r>
      <w:r>
        <w:rPr>
          <w:rFonts w:hint="eastAsia"/>
        </w:rPr>
        <w:t>单位</w:t>
      </w:r>
      <w:r>
        <w:rPr>
          <w:rFonts w:hint="eastAsia" w:cs="仿宋_GB2312"/>
        </w:rPr>
        <w:t>国</w:t>
      </w:r>
      <w:r>
        <w:rPr>
          <w:rFonts w:hint="eastAsia"/>
        </w:rPr>
        <w:t>内生产总值</w:t>
      </w:r>
      <w:r>
        <w:rPr>
          <w:rFonts w:hint="eastAsia" w:cs="仿宋_GB2312"/>
        </w:rPr>
        <w:t>二</w:t>
      </w:r>
      <w:r>
        <w:rPr>
          <w:rFonts w:hint="eastAsia"/>
        </w:rPr>
        <w:t>氧</w:t>
      </w:r>
      <w:r>
        <w:rPr>
          <w:rFonts w:hint="eastAsia" w:cs="仿宋_GB2312"/>
        </w:rPr>
        <w:t>化</w:t>
      </w:r>
      <w:r>
        <w:rPr>
          <w:rFonts w:hint="eastAsia"/>
        </w:rPr>
        <w:t>碳排放将比</w:t>
      </w:r>
      <w:r>
        <w:rPr>
          <w:rFonts w:hint="eastAsia" w:cs="Times New Roman"/>
        </w:rPr>
        <w:t>2005</w:t>
      </w:r>
      <w:r>
        <w:rPr>
          <w:rFonts w:hint="eastAsia"/>
        </w:rPr>
        <w:t>年下降</w:t>
      </w:r>
      <w:r>
        <w:rPr>
          <w:rFonts w:hint="eastAsia" w:cs="Times New Roman"/>
        </w:rPr>
        <w:t>65%</w:t>
      </w:r>
      <w:r>
        <w:rPr>
          <w:rFonts w:hint="eastAsia"/>
        </w:rPr>
        <w:t>以上</w:t>
      </w:r>
      <w:r>
        <w:rPr>
          <w:rFonts w:hint="eastAsia" w:cs="仿宋_GB2312"/>
        </w:rPr>
        <w:t>，</w:t>
      </w:r>
      <w:r>
        <w:rPr>
          <w:rFonts w:hint="eastAsia"/>
        </w:rPr>
        <w:t>非</w:t>
      </w:r>
      <w:r>
        <w:rPr>
          <w:rFonts w:hint="eastAsia" w:cs="仿宋_GB2312"/>
        </w:rPr>
        <w:t>化</w:t>
      </w:r>
      <w:r>
        <w:rPr>
          <w:rFonts w:hint="eastAsia"/>
        </w:rPr>
        <w:t>石能</w:t>
      </w:r>
      <w:r>
        <w:rPr>
          <w:rFonts w:hint="eastAsia" w:cs="仿宋_GB2312"/>
        </w:rPr>
        <w:t>源</w:t>
      </w:r>
      <w:r>
        <w:rPr>
          <w:rFonts w:hint="eastAsia"/>
        </w:rPr>
        <w:t>占</w:t>
      </w:r>
      <w:r>
        <w:rPr>
          <w:rFonts w:hint="eastAsia" w:cs="仿宋_GB2312"/>
        </w:rPr>
        <w:t>一</w:t>
      </w:r>
      <w:r>
        <w:rPr>
          <w:rFonts w:hint="eastAsia"/>
        </w:rPr>
        <w:t>次能</w:t>
      </w:r>
      <w:r>
        <w:rPr>
          <w:rFonts w:hint="eastAsia" w:cs="仿宋_GB2312"/>
        </w:rPr>
        <w:t>源</w:t>
      </w:r>
      <w:r>
        <w:rPr>
          <w:rFonts w:hint="eastAsia"/>
        </w:rPr>
        <w:t>消费比</w:t>
      </w:r>
      <w:r>
        <w:rPr>
          <w:rFonts w:hint="eastAsia" w:cs="仿宋_GB2312"/>
        </w:rPr>
        <w:t>重</w:t>
      </w:r>
      <w:r>
        <w:rPr>
          <w:rFonts w:hint="eastAsia"/>
        </w:rPr>
        <w:t>将达到</w:t>
      </w:r>
      <w:r>
        <w:rPr>
          <w:rFonts w:hint="eastAsia" w:cs="Times New Roman"/>
        </w:rPr>
        <w:t>25%</w:t>
      </w:r>
      <w:r>
        <w:rPr>
          <w:rFonts w:hint="eastAsia"/>
        </w:rPr>
        <w:t>左右</w:t>
      </w:r>
      <w:r>
        <w:rPr>
          <w:rFonts w:hint="eastAsia" w:cs="仿宋_GB2312"/>
        </w:rPr>
        <w:t>，</w:t>
      </w:r>
      <w:r>
        <w:rPr>
          <w:rFonts w:hint="eastAsia"/>
        </w:rPr>
        <w:t>森林蓄积量将比</w:t>
      </w:r>
      <w:r>
        <w:rPr>
          <w:rFonts w:hint="eastAsia" w:cs="Times New Roman"/>
        </w:rPr>
        <w:t>2005</w:t>
      </w:r>
      <w:r>
        <w:rPr>
          <w:rFonts w:hint="eastAsia"/>
        </w:rPr>
        <w:t>年增加</w:t>
      </w:r>
      <w:r>
        <w:rPr>
          <w:rFonts w:hint="eastAsia" w:cs="Times New Roman"/>
        </w:rPr>
        <w:t>60</w:t>
      </w:r>
      <w:r>
        <w:rPr>
          <w:rFonts w:hint="eastAsia"/>
        </w:rPr>
        <w:t>亿立方米</w:t>
      </w:r>
      <w:r>
        <w:rPr>
          <w:rFonts w:hint="eastAsia" w:cs="仿宋_GB2312"/>
        </w:rPr>
        <w:t>，</w:t>
      </w:r>
      <w:r>
        <w:rPr>
          <w:rFonts w:hint="eastAsia"/>
        </w:rPr>
        <w:t>风电、太阳能</w:t>
      </w:r>
      <w:r>
        <w:rPr>
          <w:rFonts w:hint="eastAsia" w:cs="仿宋_GB2312"/>
        </w:rPr>
        <w:t>发</w:t>
      </w:r>
      <w:r>
        <w:rPr>
          <w:rFonts w:hint="eastAsia"/>
        </w:rPr>
        <w:t>电总装机容量将达到</w:t>
      </w:r>
      <w:r>
        <w:rPr>
          <w:rFonts w:hint="eastAsia" w:cs="Times New Roman"/>
        </w:rPr>
        <w:t>12</w:t>
      </w:r>
      <w:r>
        <w:rPr>
          <w:rFonts w:hint="eastAsia"/>
        </w:rPr>
        <w:t>亿千瓦以上。“双碳”</w:t>
      </w:r>
      <w:r>
        <w:rPr>
          <w:rFonts w:hint="eastAsia" w:cs="仿宋_GB2312"/>
        </w:rPr>
        <w:t>目标</w:t>
      </w:r>
      <w:r>
        <w:rPr>
          <w:rFonts w:hint="eastAsia"/>
        </w:rPr>
        <w:t>的提出</w:t>
      </w:r>
      <w:r>
        <w:rPr>
          <w:rFonts w:hint="eastAsia" w:cs="仿宋_GB2312"/>
        </w:rPr>
        <w:t>，</w:t>
      </w:r>
      <w:r>
        <w:rPr>
          <w:rFonts w:hint="eastAsia"/>
        </w:rPr>
        <w:t>代表着我</w:t>
      </w:r>
      <w:r>
        <w:rPr>
          <w:rFonts w:hint="eastAsia" w:cs="仿宋_GB2312"/>
        </w:rPr>
        <w:t>国</w:t>
      </w:r>
      <w:r>
        <w:rPr>
          <w:rFonts w:hint="eastAsia"/>
        </w:rPr>
        <w:t>能</w:t>
      </w:r>
      <w:r>
        <w:rPr>
          <w:rFonts w:hint="eastAsia" w:cs="仿宋_GB2312"/>
        </w:rPr>
        <w:t>源</w:t>
      </w:r>
      <w:r>
        <w:rPr>
          <w:rFonts w:hint="eastAsia"/>
        </w:rPr>
        <w:t>低碳转型的坚定决心</w:t>
      </w:r>
      <w:r>
        <w:rPr>
          <w:rFonts w:hint="eastAsia" w:cs="仿宋_GB2312"/>
        </w:rPr>
        <w:t>，指</w:t>
      </w:r>
      <w:r>
        <w:rPr>
          <w:rFonts w:hint="eastAsia"/>
        </w:rPr>
        <w:t>出了新时代低碳</w:t>
      </w:r>
      <w:r>
        <w:rPr>
          <w:rFonts w:hint="eastAsia" w:cs="仿宋_GB2312"/>
        </w:rPr>
        <w:t>发展</w:t>
      </w:r>
      <w:r>
        <w:rPr>
          <w:rFonts w:hint="eastAsia"/>
        </w:rPr>
        <w:t>的具</w:t>
      </w:r>
      <w:r>
        <w:rPr>
          <w:rFonts w:hint="eastAsia" w:cs="仿宋_GB2312"/>
        </w:rPr>
        <w:t>体</w:t>
      </w:r>
      <w:r>
        <w:rPr>
          <w:rFonts w:hint="eastAsia"/>
        </w:rPr>
        <w:t>路径</w:t>
      </w:r>
      <w:r>
        <w:rPr>
          <w:rFonts w:hint="eastAsia" w:cs="仿宋_GB2312"/>
        </w:rPr>
        <w:t>，是</w:t>
      </w:r>
      <w:r>
        <w:rPr>
          <w:rFonts w:hint="eastAsia"/>
        </w:rPr>
        <w:t>我</w:t>
      </w:r>
      <w:r>
        <w:rPr>
          <w:rFonts w:hint="eastAsia" w:cs="仿宋_GB2312"/>
        </w:rPr>
        <w:t>国</w:t>
      </w:r>
      <w:r>
        <w:rPr>
          <w:rFonts w:hint="eastAsia"/>
        </w:rPr>
        <w:t>对</w:t>
      </w:r>
      <w:r>
        <w:rPr>
          <w:rFonts w:hint="eastAsia" w:cs="仿宋_GB2312"/>
        </w:rPr>
        <w:t>国</w:t>
      </w:r>
      <w:r>
        <w:rPr>
          <w:rFonts w:hint="eastAsia"/>
        </w:rPr>
        <w:t>际社会的庄严承诺。</w:t>
      </w:r>
    </w:p>
    <w:p>
      <w:pPr>
        <w:pageBreakBefore w:val="0"/>
        <w:wordWrap/>
        <w:topLinePunct w:val="0"/>
        <w:bidi w:val="0"/>
        <w:snapToGrid/>
        <w:spacing w:line="240" w:lineRule="auto"/>
      </w:pPr>
      <w:r>
        <w:rPr>
          <w:rFonts w:hint="eastAsia"/>
        </w:rPr>
        <w:t>“十四五”以来，内蒙古自治区按照可再生能源发展规划确定的发展目标和重点，以风电、太阳能发电为主体的可再生能源加快发展，各类重大项目稳步实施，发展质量效益逐步提高，对全区经济社会发展的支撑、引领作用持续加强。全力推进风电、光伏等新能源大规模高比例开发利用，建设一批千万千瓦级新能源基地，在全国率先建成以新能源为主体的能源供给体系、率先构建以新能源为主体的新型电力系统，到2025年新能源装机规模超过火电装机规模，到2030年新能源发电总量超过火电发电总量。</w:t>
      </w:r>
    </w:p>
    <w:p>
      <w:pPr>
        <w:pageBreakBefore w:val="0"/>
        <w:wordWrap/>
        <w:topLinePunct w:val="0"/>
        <w:bidi w:val="0"/>
        <w:snapToGrid/>
        <w:spacing w:line="240" w:lineRule="auto"/>
        <w:rPr>
          <w:rFonts w:cs="Times New Roman"/>
        </w:rPr>
      </w:pPr>
      <w:r>
        <w:rPr>
          <w:rFonts w:hint="eastAsia" w:cs="Times New Roman"/>
        </w:rPr>
        <w:t>风能和太阳能是清洁的可再生能源，康巴什区风能和太阳能资源丰富、地理条件得天独厚，区内地貌以草地为主，交通便利，具有建设风电及光伏发电项目的优越条件。为全面贯彻落实内蒙古自治区“生态优先、绿色发展”为导向的发展理念，合理有序开发康巴什区的风能和太阳能资源，促进当地经济发展，需要对风电、光伏资源进行统筹规划，使康巴什区的可再生能源得到充分合理的开发利用。</w:t>
      </w:r>
    </w:p>
    <w:p>
      <w:pPr>
        <w:pageBreakBefore w:val="0"/>
        <w:wordWrap/>
        <w:topLinePunct w:val="0"/>
        <w:bidi w:val="0"/>
        <w:snapToGrid/>
        <w:spacing w:line="240" w:lineRule="auto"/>
        <w:rPr>
          <w:rFonts w:cs="Times New Roman"/>
        </w:rPr>
      </w:pPr>
      <w:r>
        <w:rPr>
          <w:rFonts w:hint="eastAsia" w:cs="Times New Roman"/>
        </w:rPr>
        <w:t>鄂尔多斯煤炭产业处于鼎盛时期，但随着我国发展进入“新常态”，鄂尔多斯过去以煤炭开采为单极驱动的发展方式亟须向现代能源经济转型。康巴什区作为鄂尔多斯市高起点规划、高标准建设、高水平管理的新城，是鄂尔多斯市展示高质量发展成效的窗口。康巴什区始终秉持绿色发展理念，勇于探索绿色转型发展路径，积极推动城市用能绿色低碳转型，正在建设美丽内蒙古先行区和美丽暖城示范区。</w:t>
      </w:r>
    </w:p>
    <w:p>
      <w:pPr>
        <w:keepNext/>
        <w:pageBreakBefore w:val="0"/>
        <w:wordWrap/>
        <w:topLinePunct w:val="0"/>
        <w:bidi w:val="0"/>
        <w:snapToGrid/>
        <w:spacing w:line="240" w:lineRule="auto"/>
        <w:outlineLvl w:val="1"/>
        <w:rPr>
          <w:rFonts w:eastAsia="楷体" w:cs="楷体"/>
        </w:rPr>
      </w:pPr>
      <w:bookmarkStart w:id="15" w:name="_Toc15798"/>
      <w:bookmarkStart w:id="16" w:name="_Toc2581"/>
      <w:bookmarkStart w:id="17" w:name="_Toc28735"/>
      <w:bookmarkStart w:id="18" w:name="_Toc29586"/>
      <w:bookmarkStart w:id="19" w:name="_Toc21084"/>
      <w:bookmarkStart w:id="20" w:name="_Toc3707"/>
      <w:bookmarkStart w:id="21" w:name="_Toc21275"/>
      <w:r>
        <w:rPr>
          <w:rFonts w:hint="eastAsia" w:eastAsia="楷体" w:cs="楷体"/>
        </w:rPr>
        <w:t>（二）编制依据</w:t>
      </w:r>
      <w:bookmarkEnd w:id="15"/>
      <w:bookmarkEnd w:id="16"/>
      <w:bookmarkEnd w:id="17"/>
      <w:bookmarkEnd w:id="18"/>
      <w:bookmarkEnd w:id="19"/>
      <w:bookmarkEnd w:id="20"/>
      <w:bookmarkEnd w:id="21"/>
    </w:p>
    <w:p>
      <w:pPr>
        <w:bidi w:val="0"/>
      </w:pPr>
      <w:bookmarkStart w:id="22" w:name="_Toc22100"/>
      <w:bookmarkStart w:id="23" w:name="_Toc63033164"/>
      <w:bookmarkStart w:id="24" w:name="_Toc49130164"/>
      <w:bookmarkStart w:id="25" w:name="_Toc5937"/>
      <w:bookmarkStart w:id="26" w:name="_Toc50751444"/>
      <w:bookmarkStart w:id="27" w:name="_Toc67609437"/>
      <w:r>
        <w:t>1</w:t>
      </w:r>
      <w:r>
        <w:rPr>
          <w:rFonts w:hint="eastAsia"/>
        </w:rPr>
        <w:t>、</w:t>
      </w:r>
      <w:r>
        <w:t>能源、土地管理法律法规</w:t>
      </w:r>
      <w:bookmarkEnd w:id="22"/>
      <w:bookmarkEnd w:id="23"/>
      <w:bookmarkEnd w:id="24"/>
      <w:bookmarkEnd w:id="25"/>
      <w:bookmarkEnd w:id="26"/>
      <w:bookmarkEnd w:id="27"/>
    </w:p>
    <w:p>
      <w:pPr>
        <w:bidi w:val="0"/>
        <w:rPr>
          <w:rFonts w:hint="eastAsia"/>
        </w:rPr>
      </w:pPr>
      <w:r>
        <w:rPr>
          <w:rFonts w:hint="eastAsia"/>
        </w:rPr>
        <w:t>（1）《中华人民共和国能源法》（2024.11.8通过，2025.1.1施行）</w:t>
      </w:r>
    </w:p>
    <w:p>
      <w:pPr>
        <w:bidi w:val="0"/>
        <w:rPr>
          <w:rFonts w:hint="eastAsia"/>
        </w:rPr>
      </w:pPr>
      <w:r>
        <w:rPr>
          <w:rFonts w:hint="eastAsia"/>
        </w:rPr>
        <w:t>（2）《中华人民共和国可再生能源法》（2005.2.28通过，2009.12.26修正，2010.4.1施行）；</w:t>
      </w:r>
    </w:p>
    <w:p>
      <w:pPr>
        <w:bidi w:val="0"/>
        <w:rPr>
          <w:rFonts w:hint="eastAsia"/>
        </w:rPr>
      </w:pPr>
      <w:r>
        <w:rPr>
          <w:rFonts w:hint="eastAsia"/>
        </w:rPr>
        <w:t>（3）《中华人民共和国清洁生产促进法》（2002.6.29通过，2012.2.29修正，2012.7.1施行）；</w:t>
      </w:r>
    </w:p>
    <w:p>
      <w:pPr>
        <w:bidi w:val="0"/>
        <w:rPr>
          <w:rFonts w:hint="eastAsia"/>
        </w:rPr>
      </w:pPr>
      <w:r>
        <w:rPr>
          <w:rFonts w:hint="eastAsia"/>
        </w:rPr>
        <w:t>（4）《中华人民共和国气象法》（1999.10.31通过，2016.11.07修正并施行）；</w:t>
      </w:r>
    </w:p>
    <w:p>
      <w:pPr>
        <w:bidi w:val="0"/>
        <w:rPr>
          <w:rFonts w:hint="eastAsia"/>
        </w:rPr>
      </w:pPr>
      <w:r>
        <w:rPr>
          <w:rFonts w:hint="eastAsia"/>
        </w:rPr>
        <w:t>（5）《中华人民共和国土地管理法》（1986.06.25通过，2019.8.26修正，2019.09.06施行）；</w:t>
      </w:r>
    </w:p>
    <w:p>
      <w:pPr>
        <w:bidi w:val="0"/>
        <w:rPr>
          <w:rFonts w:hint="eastAsia"/>
        </w:rPr>
      </w:pPr>
      <w:r>
        <w:rPr>
          <w:rFonts w:hint="eastAsia"/>
        </w:rPr>
        <w:t>（6）《中华人民共和国环境保护法》（2014.04.24通过，2015.01.01施行）；</w:t>
      </w:r>
    </w:p>
    <w:p>
      <w:pPr>
        <w:bidi w:val="0"/>
        <w:rPr>
          <w:rFonts w:hint="eastAsia"/>
        </w:rPr>
      </w:pPr>
      <w:r>
        <w:rPr>
          <w:rFonts w:hint="eastAsia"/>
        </w:rPr>
        <w:t>（7）《中华人民共和国环境影响评价法》（2002.10.28通过，2018.12.29修正并施行）；</w:t>
      </w:r>
    </w:p>
    <w:p>
      <w:pPr>
        <w:bidi w:val="0"/>
        <w:rPr>
          <w:rFonts w:hint="eastAsia"/>
        </w:rPr>
      </w:pPr>
      <w:r>
        <w:rPr>
          <w:rFonts w:hint="eastAsia"/>
        </w:rPr>
        <w:t>（8）《中华人民共和国水土保持法》（1991.6.29通过，2010.12.25修订，2011.03.01施行）；</w:t>
      </w:r>
    </w:p>
    <w:p>
      <w:pPr>
        <w:bidi w:val="0"/>
        <w:rPr>
          <w:rFonts w:hint="eastAsia"/>
        </w:rPr>
      </w:pPr>
      <w:r>
        <w:rPr>
          <w:rFonts w:hint="eastAsia"/>
        </w:rPr>
        <w:t>（9）《中华人民共和国草原法》（1985.6.18通过，2021.04.29修正并施行）；</w:t>
      </w:r>
    </w:p>
    <w:p>
      <w:pPr>
        <w:bidi w:val="0"/>
        <w:rPr>
          <w:rFonts w:hint="eastAsia"/>
        </w:rPr>
      </w:pPr>
      <w:r>
        <w:rPr>
          <w:rFonts w:hint="eastAsia"/>
        </w:rPr>
        <w:t>（10）《中华人民共和国水法》（2002.8.29通过，2016.07.02修正并施行）；</w:t>
      </w:r>
    </w:p>
    <w:p>
      <w:pPr>
        <w:bidi w:val="0"/>
      </w:pPr>
      <w:r>
        <w:rPr>
          <w:rFonts w:hint="eastAsia"/>
        </w:rPr>
        <w:t>（11）《中华人民共和国水污染防治法》（2008.2.28通过，2017.06.27修正并施行）。</w:t>
      </w:r>
    </w:p>
    <w:p>
      <w:pPr>
        <w:keepNext/>
        <w:keepLines/>
        <w:pageBreakBefore w:val="0"/>
        <w:wordWrap/>
        <w:topLinePunct w:val="0"/>
        <w:bidi w:val="0"/>
        <w:snapToGrid/>
        <w:spacing w:line="240" w:lineRule="auto"/>
        <w:ind w:right="295" w:rightChars="100"/>
        <w:outlineLvl w:val="2"/>
        <w:rPr>
          <w:rFonts w:cs="Times New Roman"/>
          <w:bCs/>
          <w:szCs w:val="28"/>
        </w:rPr>
      </w:pPr>
      <w:bookmarkStart w:id="28" w:name="_Toc31867"/>
      <w:bookmarkStart w:id="29" w:name="_Toc49130165"/>
      <w:bookmarkStart w:id="30" w:name="_Toc6360"/>
      <w:bookmarkStart w:id="31" w:name="_Toc63033165"/>
      <w:bookmarkStart w:id="32" w:name="_Toc50751445"/>
      <w:bookmarkStart w:id="33" w:name="_Toc67609438"/>
      <w:r>
        <w:rPr>
          <w:rFonts w:hint="eastAsia" w:cs="Times New Roman"/>
          <w:bCs/>
          <w:szCs w:val="28"/>
        </w:rPr>
        <w:t>2、</w:t>
      </w:r>
      <w:r>
        <w:rPr>
          <w:rFonts w:cs="Times New Roman"/>
          <w:bCs/>
          <w:szCs w:val="28"/>
        </w:rPr>
        <w:t>指导性文件及相关规划</w:t>
      </w:r>
      <w:bookmarkEnd w:id="28"/>
      <w:bookmarkEnd w:id="29"/>
      <w:bookmarkEnd w:id="30"/>
      <w:bookmarkEnd w:id="31"/>
      <w:bookmarkEnd w:id="32"/>
      <w:bookmarkEnd w:id="33"/>
    </w:p>
    <w:p>
      <w:pPr>
        <w:bidi w:val="0"/>
      </w:pPr>
      <w:r>
        <w:t>（1）《产业结构调整指导目录（20</w:t>
      </w:r>
      <w:r>
        <w:rPr>
          <w:rFonts w:hint="eastAsia"/>
        </w:rPr>
        <w:t>24</w:t>
      </w:r>
      <w:r>
        <w:t>年本）》（发展改革委令20</w:t>
      </w:r>
      <w:r>
        <w:rPr>
          <w:rFonts w:hint="eastAsia"/>
        </w:rPr>
        <w:t>24</w:t>
      </w:r>
      <w:r>
        <w:t>第</w:t>
      </w:r>
      <w:r>
        <w:rPr>
          <w:rFonts w:hint="eastAsia"/>
        </w:rPr>
        <w:t>7</w:t>
      </w:r>
      <w:r>
        <w:t>号）；</w:t>
      </w:r>
    </w:p>
    <w:p>
      <w:pPr>
        <w:bidi w:val="0"/>
      </w:pPr>
      <w:r>
        <w:t>（2）《中华人民共和国自然保护区条例》（国务院令第167号）</w:t>
      </w:r>
      <w:r>
        <w:rPr>
          <w:rFonts w:hint="eastAsia"/>
        </w:rPr>
        <w:t>、《国务院关于修改部分行政法规的决定》</w:t>
      </w:r>
      <w:r>
        <w:t>（国务院令第</w:t>
      </w:r>
      <w:r>
        <w:rPr>
          <w:rFonts w:hint="eastAsia"/>
        </w:rPr>
        <w:t>687</w:t>
      </w:r>
      <w:r>
        <w:t>号）；</w:t>
      </w:r>
    </w:p>
    <w:p>
      <w:pPr>
        <w:bidi w:val="0"/>
      </w:pPr>
      <w:r>
        <w:t>（3）《建设项目环境保护管理条例》（国务院令第253号）</w:t>
      </w:r>
      <w:r>
        <w:rPr>
          <w:rFonts w:hint="eastAsia"/>
        </w:rPr>
        <w:t>、《国务院关于修改〈建设项目环境保护管理条例〉的决定》</w:t>
      </w:r>
      <w:r>
        <w:t>（国务院令第</w:t>
      </w:r>
      <w:r>
        <w:rPr>
          <w:rFonts w:hint="eastAsia"/>
        </w:rPr>
        <w:t>682</w:t>
      </w:r>
      <w:r>
        <w:t>号）；</w:t>
      </w:r>
    </w:p>
    <w:p>
      <w:pPr>
        <w:bidi w:val="0"/>
      </w:pPr>
      <w:r>
        <w:t>（4）《国家发展改革委关于发挥价格杠杆作用促进光伏产业健康发展的通知》（</w:t>
      </w:r>
      <w:r>
        <w:rPr>
          <w:rFonts w:hint="eastAsia"/>
        </w:rPr>
        <w:t>发改价格〔2013〕1638号</w:t>
      </w:r>
      <w:r>
        <w:t>）；</w:t>
      </w:r>
    </w:p>
    <w:p>
      <w:pPr>
        <w:bidi w:val="0"/>
      </w:pPr>
      <w:r>
        <w:t>（5）《国家发展改革委关于调整可再生能源电价附加标准与环保电价有关事项的通知》（发改价格</w:t>
      </w:r>
      <w:r>
        <w:rPr>
          <w:rFonts w:hint="eastAsia"/>
        </w:rPr>
        <w:t>〔</w:t>
      </w:r>
      <w:r>
        <w:t>2013</w:t>
      </w:r>
      <w:r>
        <w:rPr>
          <w:rFonts w:hint="eastAsia"/>
        </w:rPr>
        <w:t>〕</w:t>
      </w:r>
      <w:r>
        <w:t>1651号）；</w:t>
      </w:r>
    </w:p>
    <w:p>
      <w:pPr>
        <w:bidi w:val="0"/>
      </w:pPr>
      <w:r>
        <w:t>（6）《国家能源局关于印发&lt;光伏电站项目管理暂行办法&gt;的通知》（国能新能</w:t>
      </w:r>
      <w:r>
        <w:rPr>
          <w:rFonts w:hint="eastAsia"/>
        </w:rPr>
        <w:t>〔</w:t>
      </w:r>
      <w:r>
        <w:t>2013</w:t>
      </w:r>
      <w:r>
        <w:rPr>
          <w:rFonts w:hint="eastAsia"/>
        </w:rPr>
        <w:t>〕</w:t>
      </w:r>
      <w:r>
        <w:t>329号）；</w:t>
      </w:r>
    </w:p>
    <w:p>
      <w:pPr>
        <w:bidi w:val="0"/>
      </w:pPr>
      <w:r>
        <w:t>（</w:t>
      </w:r>
      <w:r>
        <w:rPr>
          <w:rFonts w:hint="eastAsia"/>
        </w:rPr>
        <w:t>7</w:t>
      </w:r>
      <w:r>
        <w:t>）《国家能源局关于印发风电开发建设管理暂行办法的通知》（国能新能</w:t>
      </w:r>
      <w:r>
        <w:rPr>
          <w:rFonts w:hint="eastAsia"/>
        </w:rPr>
        <w:t>〔</w:t>
      </w:r>
      <w:r>
        <w:t>2011</w:t>
      </w:r>
      <w:r>
        <w:rPr>
          <w:rFonts w:hint="eastAsia"/>
        </w:rPr>
        <w:t>〕</w:t>
      </w:r>
      <w:r>
        <w:t>285号）；</w:t>
      </w:r>
    </w:p>
    <w:p>
      <w:pPr>
        <w:bidi w:val="0"/>
      </w:pPr>
      <w:r>
        <w:t>（</w:t>
      </w:r>
      <w:r>
        <w:rPr>
          <w:rFonts w:hint="eastAsia"/>
        </w:rPr>
        <w:t>8</w:t>
      </w:r>
      <w:r>
        <w:t>）《国家能源局关于</w:t>
      </w:r>
      <w:r>
        <w:rPr>
          <w:rFonts w:hint="eastAsia"/>
        </w:rPr>
        <w:t>加快推进分散式接入风电项目建设有关要求的通知</w:t>
      </w:r>
      <w:r>
        <w:t>》（国能</w:t>
      </w:r>
      <w:r>
        <w:rPr>
          <w:rFonts w:hint="eastAsia"/>
        </w:rPr>
        <w:t>发</w:t>
      </w:r>
      <w:r>
        <w:t>新能</w:t>
      </w:r>
      <w:r>
        <w:rPr>
          <w:rFonts w:hint="eastAsia"/>
        </w:rPr>
        <w:t>〔</w:t>
      </w:r>
      <w:r>
        <w:t>201</w:t>
      </w:r>
      <w:r>
        <w:rPr>
          <w:rFonts w:hint="eastAsia"/>
        </w:rPr>
        <w:t>7〕</w:t>
      </w:r>
      <w:r>
        <w:t>3号）；</w:t>
      </w:r>
    </w:p>
    <w:p>
      <w:pPr>
        <w:bidi w:val="0"/>
      </w:pPr>
      <w:r>
        <w:t>（</w:t>
      </w:r>
      <w:r>
        <w:rPr>
          <w:rFonts w:hint="eastAsia"/>
        </w:rPr>
        <w:t>9</w:t>
      </w:r>
      <w:r>
        <w:t>）《关于印发&lt;风电场工程建设用地和环境保护管理暂行办法&gt;的通知》（发改能源</w:t>
      </w:r>
      <w:r>
        <w:rPr>
          <w:rFonts w:hint="eastAsia"/>
        </w:rPr>
        <w:t>〔</w:t>
      </w:r>
      <w:r>
        <w:t>2005</w:t>
      </w:r>
      <w:r>
        <w:rPr>
          <w:rFonts w:hint="eastAsia"/>
        </w:rPr>
        <w:t>〕</w:t>
      </w:r>
      <w:r>
        <w:t>1511号）；</w:t>
      </w:r>
    </w:p>
    <w:p>
      <w:pPr>
        <w:bidi w:val="0"/>
      </w:pPr>
      <w:r>
        <w:t>（</w:t>
      </w:r>
      <w:r>
        <w:rPr>
          <w:rFonts w:hint="eastAsia"/>
        </w:rPr>
        <w:t>10</w:t>
      </w:r>
      <w:r>
        <w:t>）《关于批准发布&lt;电力工程项目建设用地指标（风电场）&gt;的通知》（建标</w:t>
      </w:r>
      <w:r>
        <w:rPr>
          <w:rFonts w:hint="eastAsia"/>
        </w:rPr>
        <w:t>〔</w:t>
      </w:r>
      <w:r>
        <w:t>2011</w:t>
      </w:r>
      <w:r>
        <w:rPr>
          <w:rFonts w:hint="eastAsia"/>
        </w:rPr>
        <w:t>〕</w:t>
      </w:r>
      <w:r>
        <w:t>209号）；</w:t>
      </w:r>
    </w:p>
    <w:p>
      <w:pPr>
        <w:bidi w:val="0"/>
      </w:pPr>
      <w:r>
        <w:t>（</w:t>
      </w:r>
      <w:r>
        <w:rPr>
          <w:rFonts w:hint="eastAsia"/>
        </w:rPr>
        <w:t>11</w:t>
      </w:r>
      <w:r>
        <w:t>）《国家发展改革委关于完善陆上风电光伏发电上网标杆电价政策的通知》（发改价格</w:t>
      </w:r>
      <w:r>
        <w:rPr>
          <w:rFonts w:hint="eastAsia"/>
        </w:rPr>
        <w:t>〔</w:t>
      </w:r>
      <w:r>
        <w:t>2015</w:t>
      </w:r>
      <w:r>
        <w:rPr>
          <w:rFonts w:hint="eastAsia"/>
        </w:rPr>
        <w:t>〕</w:t>
      </w:r>
      <w:r>
        <w:t>3044</w:t>
      </w:r>
      <w:r>
        <w:rPr>
          <w:rFonts w:hint="eastAsia"/>
        </w:rPr>
        <w:t>号</w:t>
      </w:r>
      <w:r>
        <w:t>）；</w:t>
      </w:r>
    </w:p>
    <w:p>
      <w:pPr>
        <w:bidi w:val="0"/>
      </w:pPr>
      <w:r>
        <w:t>（</w:t>
      </w:r>
      <w:r>
        <w:rPr>
          <w:rFonts w:hint="eastAsia"/>
        </w:rPr>
        <w:t>12</w:t>
      </w:r>
      <w:r>
        <w:t>）《建设项目使用林地审核审批管理办法》（国家林业局令第35号</w:t>
      </w:r>
      <w:r>
        <w:rPr>
          <w:rFonts w:hint="eastAsia"/>
        </w:rPr>
        <w:t>，国家林业局令第42号修正</w:t>
      </w:r>
      <w:r>
        <w:t>）；</w:t>
      </w:r>
    </w:p>
    <w:p>
      <w:pPr>
        <w:bidi w:val="0"/>
      </w:pPr>
      <w:r>
        <w:t>（</w:t>
      </w:r>
      <w:r>
        <w:rPr>
          <w:rFonts w:hint="eastAsia"/>
        </w:rPr>
        <w:t>13</w:t>
      </w:r>
      <w:r>
        <w:t>）《电网调度管理条例》（国务院令第115号）</w:t>
      </w:r>
      <w:r>
        <w:rPr>
          <w:rFonts w:hint="eastAsia"/>
        </w:rPr>
        <w:t>、《国务院关于废止和修改部分行政法规的决定》</w:t>
      </w:r>
      <w:r>
        <w:t>（国务院令第</w:t>
      </w:r>
      <w:r>
        <w:rPr>
          <w:rFonts w:hint="eastAsia"/>
        </w:rPr>
        <w:t>588</w:t>
      </w:r>
      <w:r>
        <w:t>号）</w:t>
      </w:r>
      <w:r>
        <w:rPr>
          <w:rFonts w:hint="eastAsia"/>
        </w:rPr>
        <w:t>；</w:t>
      </w:r>
    </w:p>
    <w:p>
      <w:pPr>
        <w:bidi w:val="0"/>
      </w:pPr>
      <w:r>
        <w:rPr>
          <w:rFonts w:hint="eastAsia"/>
        </w:rPr>
        <w:t>（14）《国务院关于促进光伏产业健康发展的若干意见》（国发〔2013〕24号）；</w:t>
      </w:r>
    </w:p>
    <w:p>
      <w:pPr>
        <w:bidi w:val="0"/>
      </w:pPr>
      <w:r>
        <w:rPr>
          <w:rFonts w:hint="eastAsia"/>
        </w:rPr>
        <w:t>（15）《“十四五”特殊类型地区振兴发展规划》（国函〔2021〕98号）；</w:t>
      </w:r>
    </w:p>
    <w:p>
      <w:pPr>
        <w:bidi w:val="0"/>
      </w:pPr>
      <w:r>
        <w:rPr>
          <w:rFonts w:hint="eastAsia"/>
        </w:rPr>
        <w:t>（16）国家发改委《关于印发促进工业经济平稳增长的若干政策的通知》（发改产业〔2022〕273号）；</w:t>
      </w:r>
    </w:p>
    <w:p>
      <w:pPr>
        <w:bidi w:val="0"/>
      </w:pPr>
      <w:r>
        <w:rPr>
          <w:rFonts w:hint="eastAsia"/>
        </w:rPr>
        <w:t>（17）《自然资源部办公厅 国家林业和草原局办公室 国家能源局综合司 关于支持光伏发电产业发展规范用地管理有关工作的通知》（自然资办发〔2023〕12号）；</w:t>
      </w:r>
    </w:p>
    <w:p>
      <w:pPr>
        <w:bidi w:val="0"/>
      </w:pPr>
      <w:r>
        <w:rPr>
          <w:rFonts w:hint="eastAsia"/>
        </w:rPr>
        <w:t>（18）《国家能源局综合司 国家林业和草原局办公室关于有序推进光伏治沙项目开发建设有关事项的通知》（国能综通新能〔2024〕82号）。</w:t>
      </w:r>
    </w:p>
    <w:p>
      <w:pPr>
        <w:bidi w:val="0"/>
      </w:pPr>
      <w:r>
        <w:rPr>
          <w:rFonts w:hint="eastAsia"/>
        </w:rPr>
        <w:t>（19）《国家发展改革委 国家能源局 财政部 自然资源部 生态环境部 住房和城乡建设部 农业农村部 中国气象局 国家林业和草原局关于印发“十四五”可再生能源发展规划的通知》（发改能源〔2021〕1445号）；</w:t>
      </w:r>
    </w:p>
    <w:p>
      <w:pPr>
        <w:bidi w:val="0"/>
      </w:pPr>
      <w:r>
        <w:rPr>
          <w:rFonts w:hint="eastAsia"/>
        </w:rPr>
        <w:t>（20）《内蒙古自治区能源局关于印发内蒙古自治区“十四五”可再生能源发展规划》（内能新能字〔2022〕103号）；</w:t>
      </w:r>
    </w:p>
    <w:p>
      <w:pPr>
        <w:bidi w:val="0"/>
      </w:pPr>
      <w:r>
        <w:rPr>
          <w:rFonts w:hint="eastAsia"/>
        </w:rPr>
        <w:t>（21）《内蒙古自治区能源局关于印发</w:t>
      </w:r>
      <w:r>
        <w:t>内蒙古自治区新能源</w:t>
      </w:r>
      <w:r>
        <w:rPr>
          <w:rFonts w:hint="eastAsia"/>
        </w:rPr>
        <w:t>开发布局与有序利用规划方案》（内能新能字〔2022〕1128号）；</w:t>
      </w:r>
    </w:p>
    <w:p>
      <w:pPr>
        <w:bidi w:val="0"/>
      </w:pPr>
      <w:r>
        <w:rPr>
          <w:rFonts w:hint="eastAsia"/>
        </w:rPr>
        <w:t>（22）《内蒙古自治区人民政府关于鄂尔多斯市城市总体规划（2011—2030年）的批复》（内政字〔2011〕326号）；</w:t>
      </w:r>
    </w:p>
    <w:p>
      <w:pPr>
        <w:bidi w:val="0"/>
      </w:pPr>
      <w:r>
        <w:rPr>
          <w:rFonts w:hint="eastAsia"/>
        </w:rPr>
        <w:t>（23）《鄂尔多斯市人民政府关于印发鄂尔多斯市氢能产业发展规划》（鄂府发〔2022〕45号）；</w:t>
      </w:r>
    </w:p>
    <w:p>
      <w:pPr>
        <w:bidi w:val="0"/>
      </w:pPr>
      <w:r>
        <w:rPr>
          <w:rFonts w:hint="eastAsia"/>
        </w:rPr>
        <w:t>（24）《鄂尔多斯市人民政府关于印发鄂尔多斯市康巴什区国民经济和社会发展第十四个五年规划和2035年远景目标纲要（修订版）》（鄂府发〔2021〕1号）；</w:t>
      </w:r>
    </w:p>
    <w:p>
      <w:pPr>
        <w:bidi w:val="0"/>
      </w:pPr>
      <w:r>
        <w:rPr>
          <w:rFonts w:hint="eastAsia"/>
        </w:rPr>
        <w:t xml:space="preserve">（25）《鄂尔多斯市人民政府关于印发新能源发展行动方案（2024—2025年）的通知》（鄂府发〔2024〕5号） </w:t>
      </w:r>
    </w:p>
    <w:p>
      <w:pPr>
        <w:bidi w:val="0"/>
      </w:pPr>
      <w:r>
        <w:rPr>
          <w:rFonts w:hint="eastAsia"/>
        </w:rPr>
        <w:t>（26）《康巴什区委区人民政府关于印发康巴什区碳达峰碳中和行动方案》（鄂康党发电〔2024〕1号）</w:t>
      </w:r>
    </w:p>
    <w:p>
      <w:pPr>
        <w:keepNext/>
        <w:keepLines/>
        <w:pageBreakBefore w:val="0"/>
        <w:wordWrap/>
        <w:topLinePunct w:val="0"/>
        <w:bidi w:val="0"/>
        <w:snapToGrid/>
        <w:spacing w:line="240" w:lineRule="auto"/>
        <w:ind w:right="295" w:rightChars="100"/>
        <w:outlineLvl w:val="2"/>
        <w:rPr>
          <w:rFonts w:cs="Times New Roman"/>
          <w:bCs/>
          <w:szCs w:val="28"/>
        </w:rPr>
      </w:pPr>
      <w:bookmarkStart w:id="34" w:name="_Toc3410"/>
      <w:bookmarkStart w:id="35" w:name="_Toc19483"/>
      <w:bookmarkStart w:id="36" w:name="_Toc49130166"/>
      <w:bookmarkStart w:id="37" w:name="_Toc67609439"/>
      <w:bookmarkStart w:id="38" w:name="_Toc63033166"/>
      <w:bookmarkStart w:id="39" w:name="_Toc50751446"/>
      <w:r>
        <w:rPr>
          <w:rFonts w:hint="eastAsia" w:cs="Times New Roman"/>
          <w:bCs/>
          <w:szCs w:val="28"/>
        </w:rPr>
        <w:t>3、</w:t>
      </w:r>
      <w:r>
        <w:rPr>
          <w:rFonts w:cs="Times New Roman"/>
          <w:bCs/>
          <w:szCs w:val="28"/>
        </w:rPr>
        <w:t>相关技术规范</w:t>
      </w:r>
      <w:bookmarkEnd w:id="34"/>
      <w:bookmarkEnd w:id="35"/>
      <w:bookmarkEnd w:id="36"/>
      <w:bookmarkEnd w:id="37"/>
      <w:bookmarkEnd w:id="38"/>
      <w:bookmarkEnd w:id="39"/>
    </w:p>
    <w:p>
      <w:pPr>
        <w:bidi w:val="0"/>
      </w:pPr>
      <w:r>
        <w:t>（1）《风电场工程规划报告编制办法》（发改办能源</w:t>
      </w:r>
      <w:r>
        <w:rPr>
          <w:rFonts w:hint="eastAsia"/>
        </w:rPr>
        <w:t>〔</w:t>
      </w:r>
      <w:r>
        <w:t>2005</w:t>
      </w:r>
      <w:r>
        <w:rPr>
          <w:rFonts w:hint="eastAsia"/>
        </w:rPr>
        <w:t>〕</w:t>
      </w:r>
      <w:r>
        <w:t>899号文）</w:t>
      </w:r>
    </w:p>
    <w:p>
      <w:pPr>
        <w:bidi w:val="0"/>
      </w:pPr>
      <w:r>
        <w:t>（2）《风电场工程前期工作管理暂行办法》（发改办能源</w:t>
      </w:r>
      <w:r>
        <w:rPr>
          <w:rFonts w:hint="eastAsia"/>
        </w:rPr>
        <w:t>〔</w:t>
      </w:r>
      <w:r>
        <w:t>2005</w:t>
      </w:r>
      <w:r>
        <w:rPr>
          <w:rFonts w:hint="eastAsia"/>
        </w:rPr>
        <w:t>〕</w:t>
      </w:r>
      <w:r>
        <w:t>899号文）</w:t>
      </w:r>
    </w:p>
    <w:p>
      <w:pPr>
        <w:bidi w:val="0"/>
      </w:pPr>
      <w:r>
        <w:t>（3）《风电场</w:t>
      </w:r>
      <w:r>
        <w:rPr>
          <w:rFonts w:hint="eastAsia"/>
        </w:rPr>
        <w:t>工程场址</w:t>
      </w:r>
      <w:r>
        <w:t>选择技术</w:t>
      </w:r>
      <w:r>
        <w:rPr>
          <w:rFonts w:hint="eastAsia"/>
        </w:rPr>
        <w:t>规范</w:t>
      </w:r>
      <w:r>
        <w:t>》（</w:t>
      </w:r>
      <w:r>
        <w:rPr>
          <w:rFonts w:hint="eastAsia"/>
        </w:rPr>
        <w:t>NB/T 10639-2021</w:t>
      </w:r>
      <w:r>
        <w:t>）</w:t>
      </w:r>
    </w:p>
    <w:p>
      <w:pPr>
        <w:bidi w:val="0"/>
      </w:pPr>
      <w:r>
        <w:t>（4）《</w:t>
      </w:r>
      <w:r>
        <w:rPr>
          <w:rFonts w:hint="eastAsia"/>
        </w:rPr>
        <w:t>陆上风电场工程地质勘察规范</w:t>
      </w:r>
      <w:r>
        <w:t>》（</w:t>
      </w:r>
      <w:r>
        <w:rPr>
          <w:rFonts w:hint="eastAsia"/>
        </w:rPr>
        <w:t>NB/T 31030-2022</w:t>
      </w:r>
      <w:r>
        <w:t>）</w:t>
      </w:r>
    </w:p>
    <w:p>
      <w:pPr>
        <w:bidi w:val="0"/>
      </w:pPr>
      <w:r>
        <w:t>（5）《</w:t>
      </w:r>
      <w:r>
        <w:rPr>
          <w:rFonts w:hint="eastAsia"/>
        </w:rPr>
        <w:t>陆上风电场工程概算定额</w:t>
      </w:r>
      <w:r>
        <w:t>》</w:t>
      </w:r>
      <w:r>
        <w:rPr>
          <w:rFonts w:hint="eastAsia"/>
        </w:rPr>
        <w:t>（NB/T 31010-2019）</w:t>
      </w:r>
    </w:p>
    <w:p>
      <w:pPr>
        <w:bidi w:val="0"/>
      </w:pPr>
      <w:r>
        <w:t>（</w:t>
      </w:r>
      <w:r>
        <w:rPr>
          <w:rFonts w:hint="eastAsia"/>
        </w:rPr>
        <w:t>6</w:t>
      </w:r>
      <w:r>
        <w:t>）《</w:t>
      </w:r>
      <w:r>
        <w:rPr>
          <w:rFonts w:hint="eastAsia"/>
        </w:rPr>
        <w:t>风电场工程风能资源测量与评估技术规范</w:t>
      </w:r>
      <w:r>
        <w:t>》（</w:t>
      </w:r>
      <w:r>
        <w:rPr>
          <w:rFonts w:hint="eastAsia"/>
        </w:rPr>
        <w:t>NB/T 31147-2018</w:t>
      </w:r>
      <w:r>
        <w:t>）</w:t>
      </w:r>
    </w:p>
    <w:p>
      <w:pPr>
        <w:bidi w:val="0"/>
      </w:pPr>
      <w:r>
        <w:t>（</w:t>
      </w:r>
      <w:r>
        <w:rPr>
          <w:rFonts w:hint="eastAsia"/>
        </w:rPr>
        <w:t>7</w:t>
      </w:r>
      <w:r>
        <w:t>）《光伏发电工程规划报告编制规程》</w:t>
      </w:r>
      <w:r>
        <w:rPr>
          <w:rFonts w:hint="eastAsia"/>
        </w:rPr>
        <w:t>（</w:t>
      </w:r>
      <w:r>
        <w:t>NB/T 32046 -2018</w:t>
      </w:r>
      <w:r>
        <w:rPr>
          <w:rFonts w:hint="eastAsia"/>
        </w:rPr>
        <w:t>）</w:t>
      </w:r>
    </w:p>
    <w:p>
      <w:pPr>
        <w:bidi w:val="0"/>
      </w:pPr>
      <w:r>
        <w:t>（</w:t>
      </w:r>
      <w:r>
        <w:rPr>
          <w:rFonts w:hint="eastAsia"/>
        </w:rPr>
        <w:t>8</w:t>
      </w:r>
      <w:r>
        <w:t>）《</w:t>
      </w:r>
      <w:r>
        <w:rPr>
          <w:rFonts w:hint="eastAsia"/>
        </w:rPr>
        <w:t>太阳能资源评估方法</w:t>
      </w:r>
      <w:r>
        <w:t>》（</w:t>
      </w:r>
      <w:r>
        <w:rPr>
          <w:rFonts w:hint="eastAsia"/>
        </w:rPr>
        <w:t>GB/T 37526</w:t>
      </w:r>
      <w:r>
        <w:t>-2019）</w:t>
      </w:r>
    </w:p>
    <w:p>
      <w:pPr>
        <w:bidi w:val="0"/>
      </w:pPr>
      <w:r>
        <w:t>（</w:t>
      </w:r>
      <w:r>
        <w:rPr>
          <w:rFonts w:hint="eastAsia"/>
        </w:rPr>
        <w:t>9</w:t>
      </w:r>
      <w:r>
        <w:t>）《风光储联合发电站设计标准》</w:t>
      </w:r>
      <w:r>
        <w:rPr>
          <w:rFonts w:hint="eastAsia"/>
        </w:rPr>
        <w:t>（</w:t>
      </w:r>
      <w:r>
        <w:t>GB/T 51437-2021</w:t>
      </w:r>
      <w:r>
        <w:rPr>
          <w:rFonts w:hint="eastAsia"/>
        </w:rPr>
        <w:t>）</w:t>
      </w:r>
    </w:p>
    <w:p>
      <w:pPr>
        <w:bidi w:val="0"/>
      </w:pPr>
      <w:r>
        <w:rPr>
          <w:rFonts w:hint="eastAsia"/>
        </w:rPr>
        <w:t>（10</w:t>
      </w:r>
      <w:r>
        <w:t>）《太阳能发电工程太阳能资源评估技术规程》</w:t>
      </w:r>
      <w:r>
        <w:rPr>
          <w:rFonts w:hint="eastAsia"/>
        </w:rPr>
        <w:t>（</w:t>
      </w:r>
      <w:r>
        <w:t>NB/T 10353-2019</w:t>
      </w:r>
      <w:r>
        <w:rPr>
          <w:rFonts w:hint="eastAsia"/>
        </w:rPr>
        <w:t>）</w:t>
      </w:r>
    </w:p>
    <w:p>
      <w:pPr>
        <w:keepNext/>
        <w:keepLines/>
        <w:pageBreakBefore w:val="0"/>
        <w:wordWrap/>
        <w:topLinePunct w:val="0"/>
        <w:bidi w:val="0"/>
        <w:snapToGrid/>
        <w:spacing w:line="240" w:lineRule="auto"/>
        <w:ind w:right="295" w:rightChars="100"/>
        <w:outlineLvl w:val="2"/>
        <w:rPr>
          <w:rFonts w:cs="Times New Roman"/>
        </w:rPr>
      </w:pPr>
      <w:r>
        <w:rPr>
          <w:rFonts w:hint="eastAsia" w:cs="Times New Roman"/>
        </w:rPr>
        <w:t>4、</w:t>
      </w:r>
      <w:r>
        <w:rPr>
          <w:rFonts w:cs="Times New Roman"/>
          <w:bCs/>
          <w:szCs w:val="28"/>
        </w:rPr>
        <w:t>相关</w:t>
      </w:r>
      <w:r>
        <w:rPr>
          <w:rFonts w:hint="eastAsia" w:cs="Times New Roman"/>
          <w:bCs/>
          <w:szCs w:val="28"/>
        </w:rPr>
        <w:t>支持性政策</w:t>
      </w:r>
    </w:p>
    <w:p>
      <w:pPr>
        <w:bidi w:val="0"/>
      </w:pPr>
      <w:r>
        <w:rPr>
          <w:rFonts w:hint="eastAsia"/>
        </w:rPr>
        <w:t>自治区根据自身情况，在2022年制定了《关于推动全区风电光伏新能源产业高质量发展的意见》和《工业园区绿色供电等6类市场化项目实施细则》，并在2023年对市场化项目实施细则进行了修订，有效促进了市场化并网新能源项目的开发建设。2023年10月，</w:t>
      </w:r>
      <w:r>
        <w:rPr>
          <w:rFonts w:hint="eastAsia"/>
          <w:lang w:val="en-US" w:eastAsia="zh-CN"/>
        </w:rPr>
        <w:t>内蒙古</w:t>
      </w:r>
      <w:r>
        <w:rPr>
          <w:rFonts w:hint="eastAsia"/>
        </w:rPr>
        <w:t>自治区政府办公厅印发《内蒙古自治区光伏治沙行动实施方案》，提出配合“三北”六期等生态治理工程，实施全区沙漠、沙地光伏治沙规模化开发。2024年通过开展“千乡万村驭风行动”，进一步改善乡村居民生产生活条件，助力乡村振兴、促进稳边固边。</w:t>
      </w:r>
    </w:p>
    <w:p>
      <w:pPr>
        <w:pageBreakBefore w:val="0"/>
        <w:wordWrap/>
        <w:topLinePunct w:val="0"/>
        <w:bidi w:val="0"/>
        <w:snapToGrid/>
        <w:spacing w:line="240" w:lineRule="auto"/>
        <w:outlineLvl w:val="1"/>
        <w:rPr>
          <w:rFonts w:eastAsia="楷体" w:cs="楷体"/>
        </w:rPr>
      </w:pPr>
      <w:bookmarkStart w:id="40" w:name="_Toc3241"/>
      <w:bookmarkStart w:id="41" w:name="_Toc16729"/>
      <w:bookmarkStart w:id="42" w:name="_Toc7399"/>
      <w:bookmarkStart w:id="43" w:name="_Toc25146"/>
      <w:bookmarkStart w:id="44" w:name="_Toc2281"/>
      <w:bookmarkStart w:id="45" w:name="_Toc9483"/>
      <w:bookmarkStart w:id="46" w:name="_Toc7051"/>
      <w:r>
        <w:rPr>
          <w:rFonts w:hint="eastAsia" w:eastAsia="楷体" w:cs="楷体"/>
        </w:rPr>
        <w:t>（三）规划范围</w:t>
      </w:r>
      <w:bookmarkEnd w:id="40"/>
      <w:bookmarkEnd w:id="41"/>
      <w:bookmarkEnd w:id="42"/>
      <w:bookmarkEnd w:id="43"/>
      <w:bookmarkEnd w:id="44"/>
      <w:bookmarkEnd w:id="45"/>
      <w:bookmarkEnd w:id="46"/>
    </w:p>
    <w:p>
      <w:pPr>
        <w:pageBreakBefore w:val="0"/>
        <w:wordWrap/>
        <w:topLinePunct w:val="0"/>
        <w:bidi w:val="0"/>
        <w:snapToGrid/>
        <w:spacing w:line="240" w:lineRule="auto"/>
      </w:pPr>
      <w:r>
        <w:rPr>
          <w:rFonts w:hint="eastAsia"/>
        </w:rPr>
        <w:t>内蒙古自治区鄂尔多斯市康巴什区辖区内的新能源可开发总量。</w:t>
      </w:r>
    </w:p>
    <w:p>
      <w:pPr>
        <w:pageBreakBefore w:val="0"/>
        <w:wordWrap/>
        <w:topLinePunct w:val="0"/>
        <w:bidi w:val="0"/>
        <w:snapToGrid/>
        <w:spacing w:line="240" w:lineRule="auto"/>
        <w:outlineLvl w:val="1"/>
        <w:rPr>
          <w:rFonts w:eastAsia="楷体" w:cs="楷体"/>
        </w:rPr>
      </w:pPr>
      <w:bookmarkStart w:id="47" w:name="_Toc744"/>
      <w:bookmarkStart w:id="48" w:name="_Toc9458"/>
      <w:bookmarkStart w:id="49" w:name="_Toc6105"/>
      <w:bookmarkStart w:id="50" w:name="_Toc3734"/>
      <w:bookmarkStart w:id="51" w:name="_Toc23609"/>
      <w:bookmarkStart w:id="52" w:name="_Toc18247"/>
      <w:bookmarkStart w:id="53" w:name="_Toc23246"/>
      <w:r>
        <w:rPr>
          <w:rFonts w:hint="eastAsia" w:eastAsia="楷体" w:cs="楷体"/>
        </w:rPr>
        <w:t>（四）规划期限</w:t>
      </w:r>
      <w:bookmarkEnd w:id="47"/>
      <w:bookmarkEnd w:id="48"/>
      <w:bookmarkEnd w:id="49"/>
      <w:bookmarkEnd w:id="50"/>
      <w:bookmarkEnd w:id="51"/>
      <w:bookmarkEnd w:id="52"/>
      <w:bookmarkEnd w:id="53"/>
    </w:p>
    <w:p>
      <w:pPr>
        <w:pStyle w:val="4"/>
        <w:pageBreakBefore w:val="0"/>
        <w:widowControl/>
        <w:wordWrap/>
        <w:topLinePunct w:val="0"/>
        <w:bidi w:val="0"/>
        <w:snapToGrid/>
        <w:spacing w:line="240" w:lineRule="auto"/>
        <w:ind w:firstLine="630" w:firstLineChars="200"/>
        <w:rPr>
          <w:rFonts w:eastAsia="仿宋" w:cs="Times New Roman"/>
          <w:kern w:val="2"/>
          <w:sz w:val="32"/>
          <w:szCs w:val="22"/>
        </w:rPr>
      </w:pPr>
      <w:r>
        <w:rPr>
          <w:rFonts w:hint="eastAsia" w:eastAsia="仿宋" w:cs="Times New Roman"/>
          <w:kern w:val="2"/>
          <w:sz w:val="32"/>
          <w:szCs w:val="22"/>
        </w:rPr>
        <w:t>规划基准年为2023年，规划期限为202</w:t>
      </w:r>
      <w:r>
        <w:rPr>
          <w:rFonts w:eastAsia="仿宋" w:cs="Times New Roman"/>
          <w:kern w:val="2"/>
          <w:sz w:val="32"/>
          <w:szCs w:val="22"/>
        </w:rPr>
        <w:t>4</w:t>
      </w:r>
      <w:r>
        <w:rPr>
          <w:rFonts w:hint="eastAsia" w:eastAsia="仿宋" w:cs="Times New Roman"/>
          <w:kern w:val="2"/>
          <w:sz w:val="32"/>
          <w:szCs w:val="22"/>
        </w:rPr>
        <w:t>年至2027年，</w:t>
      </w:r>
      <w:r>
        <w:rPr>
          <w:rFonts w:eastAsia="仿宋_GB2312" w:cs="Times New Roman"/>
          <w:sz w:val="32"/>
          <w:szCs w:val="32"/>
        </w:rPr>
        <w:t>展望到203</w:t>
      </w:r>
      <w:r>
        <w:rPr>
          <w:rFonts w:hint="eastAsia" w:eastAsia="仿宋_GB2312" w:cs="Times New Roman"/>
          <w:sz w:val="32"/>
          <w:szCs w:val="32"/>
        </w:rPr>
        <w:t>5</w:t>
      </w:r>
      <w:r>
        <w:rPr>
          <w:rFonts w:eastAsia="仿宋_GB2312" w:cs="Times New Roman"/>
          <w:sz w:val="32"/>
          <w:szCs w:val="32"/>
        </w:rPr>
        <w:t>年。</w:t>
      </w:r>
    </w:p>
    <w:p>
      <w:pPr>
        <w:keepNext/>
        <w:pageBreakBefore w:val="0"/>
        <w:widowControl/>
        <w:kinsoku w:val="0"/>
        <w:wordWrap/>
        <w:topLinePunct w:val="0"/>
        <w:autoSpaceDE w:val="0"/>
        <w:autoSpaceDN w:val="0"/>
        <w:bidi w:val="0"/>
        <w:adjustRightInd w:val="0"/>
        <w:snapToGrid/>
        <w:spacing w:before="100" w:line="240" w:lineRule="auto"/>
        <w:ind w:left="601" w:firstLine="0" w:firstLineChars="0"/>
        <w:jc w:val="left"/>
        <w:textAlignment w:val="baseline"/>
        <w:outlineLvl w:val="0"/>
        <w:rPr>
          <w:rFonts w:eastAsia="黑体" w:cs="黑体"/>
          <w:snapToGrid w:val="0"/>
          <w:color w:val="000000"/>
          <w:spacing w:val="-2"/>
          <w:kern w:val="0"/>
          <w:szCs w:val="32"/>
        </w:rPr>
      </w:pPr>
      <w:bookmarkStart w:id="54" w:name="_Toc10673"/>
      <w:bookmarkStart w:id="55" w:name="_Toc15960"/>
      <w:bookmarkStart w:id="56" w:name="_Toc20313"/>
      <w:bookmarkStart w:id="57" w:name="_Toc27284"/>
      <w:bookmarkStart w:id="58" w:name="_Toc23304"/>
      <w:bookmarkStart w:id="59" w:name="_Toc16547"/>
      <w:bookmarkStart w:id="60" w:name="_Toc4287"/>
      <w:bookmarkStart w:id="61" w:name="_Toc32741"/>
      <w:r>
        <w:rPr>
          <w:rFonts w:hint="eastAsia" w:eastAsia="黑体" w:cs="黑体"/>
          <w:snapToGrid w:val="0"/>
          <w:color w:val="000000"/>
          <w:spacing w:val="-2"/>
          <w:kern w:val="0"/>
          <w:szCs w:val="32"/>
        </w:rPr>
        <w:t>二、指导方针和发展目标</w:t>
      </w:r>
      <w:bookmarkEnd w:id="54"/>
      <w:bookmarkEnd w:id="55"/>
      <w:bookmarkEnd w:id="56"/>
      <w:bookmarkEnd w:id="57"/>
      <w:bookmarkEnd w:id="58"/>
      <w:bookmarkEnd w:id="59"/>
      <w:bookmarkEnd w:id="60"/>
      <w:bookmarkEnd w:id="61"/>
    </w:p>
    <w:p>
      <w:pPr>
        <w:pageBreakBefore w:val="0"/>
        <w:wordWrap/>
        <w:topLinePunct w:val="0"/>
        <w:bidi w:val="0"/>
        <w:snapToGrid/>
        <w:spacing w:line="240" w:lineRule="auto"/>
        <w:outlineLvl w:val="1"/>
        <w:rPr>
          <w:rFonts w:eastAsia="楷体" w:cs="楷体"/>
        </w:rPr>
      </w:pPr>
      <w:bookmarkStart w:id="62" w:name="_Toc21360"/>
      <w:bookmarkStart w:id="63" w:name="_Toc7238"/>
      <w:bookmarkStart w:id="64" w:name="_Toc21857"/>
      <w:bookmarkStart w:id="65" w:name="_Toc16728"/>
      <w:bookmarkStart w:id="66" w:name="_Toc9559"/>
      <w:bookmarkStart w:id="67" w:name="_Toc16703"/>
      <w:bookmarkStart w:id="68" w:name="_Toc26302"/>
      <w:r>
        <w:rPr>
          <w:rFonts w:hint="eastAsia" w:eastAsia="楷体" w:cs="楷体"/>
        </w:rPr>
        <w:t>（一）指导思想</w:t>
      </w:r>
      <w:bookmarkEnd w:id="62"/>
      <w:bookmarkEnd w:id="63"/>
      <w:bookmarkEnd w:id="64"/>
      <w:bookmarkEnd w:id="65"/>
      <w:bookmarkEnd w:id="66"/>
      <w:bookmarkEnd w:id="67"/>
      <w:bookmarkEnd w:id="68"/>
    </w:p>
    <w:p>
      <w:pPr>
        <w:pageBreakBefore w:val="0"/>
        <w:wordWrap/>
        <w:topLinePunct w:val="0"/>
        <w:bidi w:val="0"/>
        <w:snapToGrid/>
        <w:spacing w:line="240" w:lineRule="auto"/>
        <w:rPr>
          <w:rFonts w:eastAsia="方正楷体_GBK" w:cs="Times New Roman"/>
        </w:rPr>
      </w:pPr>
      <w:bookmarkStart w:id="69" w:name="bookmark7"/>
      <w:bookmarkEnd w:id="69"/>
      <w:r>
        <w:rPr>
          <w:rFonts w:hint="eastAsia"/>
        </w:rPr>
        <w:t>以习近平新时代中国特色社会主义思想为指导，深入贯彻党的二十大及二十届历次全会精神，全面落实</w:t>
      </w:r>
      <w:r>
        <w:rPr>
          <w:rFonts w:hint="eastAsia"/>
          <w:lang w:val="en-US" w:eastAsia="zh-CN"/>
        </w:rPr>
        <w:t>习近平</w:t>
      </w:r>
      <w:r>
        <w:rPr>
          <w:rFonts w:hint="eastAsia"/>
        </w:rPr>
        <w:t>总书记关于内蒙古的重要指示批示精神，以铸牢中华民族共同体意识为主线，围绕“碳达峰、碳中和”目标，遵循“四个革命、一个合作”能源安全新战略和“节约、清洁、安全”的能源发展总方针，把握新发展阶段、贯彻新发展理念、融入新发展格局，坚持稳中求进工作总基调，立足以煤为主的基本国情，坚持发展和安全并重，坚持风光氢储煤电油气并举、延链补链融链强链并进、提质增效节能降碳并行，坚决走好“探索以生态优先、绿色发展为导向的高质量发展新路子”，助力建设黄河流域生态保护和高质量发展先行区，加快建设现代能源产业基地，努力构建现代能源体系，率先建成以新能源为主体的能源供给体系和新型电力系统。紧跟自治区“两个屏障”“两个基地”“一个桥头堡”五大任务目标，认真落实自治区“两个率先、两个超过”能源发展目标和鄂尔多斯市“走好新路子，建设先行区”行动指南，锚定“三个四”目标任务，着力把康巴什区打造成为全国城市绿色低碳发展的先行示范区</w:t>
      </w:r>
      <w:r>
        <w:rPr>
          <w:rFonts w:hint="eastAsia" w:eastAsia="宋体"/>
        </w:rPr>
        <w:t>。</w:t>
      </w:r>
    </w:p>
    <w:p>
      <w:pPr>
        <w:keepNext/>
        <w:keepLines w:val="0"/>
        <w:pageBreakBefore w:val="0"/>
        <w:widowControl w:val="0"/>
        <w:kinsoku/>
        <w:wordWrap/>
        <w:overflowPunct/>
        <w:topLinePunct w:val="0"/>
        <w:autoSpaceDE/>
        <w:autoSpaceDN/>
        <w:bidi w:val="0"/>
        <w:adjustRightInd/>
        <w:snapToGrid/>
        <w:spacing w:line="240" w:lineRule="auto"/>
        <w:textAlignment w:val="auto"/>
        <w:outlineLvl w:val="1"/>
        <w:rPr>
          <w:rFonts w:eastAsia="楷体" w:cs="楷体"/>
        </w:rPr>
      </w:pPr>
      <w:bookmarkStart w:id="70" w:name="_Toc5865"/>
      <w:bookmarkStart w:id="71" w:name="_Toc5137"/>
      <w:bookmarkStart w:id="72" w:name="_Toc17124"/>
      <w:bookmarkStart w:id="73" w:name="_Toc16639"/>
      <w:bookmarkStart w:id="74" w:name="_Toc10748"/>
      <w:bookmarkStart w:id="75" w:name="_Toc31833"/>
      <w:bookmarkStart w:id="76" w:name="_Toc11608"/>
      <w:r>
        <w:rPr>
          <w:rFonts w:hint="eastAsia" w:eastAsia="楷体" w:cs="楷体"/>
        </w:rPr>
        <w:t>（二）基本原则</w:t>
      </w:r>
      <w:bookmarkEnd w:id="70"/>
      <w:bookmarkEnd w:id="71"/>
      <w:bookmarkEnd w:id="72"/>
      <w:bookmarkEnd w:id="73"/>
      <w:bookmarkEnd w:id="74"/>
      <w:bookmarkEnd w:id="75"/>
      <w:bookmarkEnd w:id="76"/>
    </w:p>
    <w:p>
      <w:pPr>
        <w:pageBreakBefore w:val="0"/>
        <w:wordWrap/>
        <w:topLinePunct w:val="0"/>
        <w:bidi w:val="0"/>
        <w:snapToGrid/>
        <w:spacing w:line="240" w:lineRule="auto"/>
      </w:pPr>
      <w:r>
        <w:rPr>
          <w:rFonts w:hint="eastAsia"/>
        </w:rPr>
        <w:t>因地制宜，有序推进。统筹利用城镇开发空间以外集中连片、资源富集、便于消纳的区域发展集中式新能源，在城区内利用建筑屋顶立面、结合城市基础设施等发展分布式新能源。因地制宜发展“光伏+”综合利用模式，推动光伏治沙、林光互补等一系列项目落地实施，结合康巴什区节能降碳目标有序推进新能源发展建设。</w:t>
      </w:r>
    </w:p>
    <w:p>
      <w:pPr>
        <w:pageBreakBefore w:val="0"/>
        <w:wordWrap/>
        <w:topLinePunct w:val="0"/>
        <w:bidi w:val="0"/>
        <w:snapToGrid/>
        <w:spacing w:line="240" w:lineRule="auto"/>
      </w:pPr>
      <w:r>
        <w:rPr>
          <w:rFonts w:hint="eastAsia"/>
        </w:rPr>
        <w:t>统筹布局，耦合联动。统筹光伏、氢能、储能、清洁供暖、地热利用、绿色交通等多种要素，实现不同能源形式间的耦合联动，提高系统效率和柔性调节能力。</w:t>
      </w:r>
    </w:p>
    <w:p>
      <w:pPr>
        <w:pageBreakBefore w:val="0"/>
        <w:wordWrap/>
        <w:topLinePunct w:val="0"/>
        <w:bidi w:val="0"/>
        <w:snapToGrid/>
        <w:spacing w:line="240" w:lineRule="auto"/>
      </w:pPr>
      <w:r>
        <w:rPr>
          <w:rFonts w:hint="eastAsia"/>
        </w:rPr>
        <w:t>锚定城市定位。康巴什区是鄂尔多斯市的政治文化中心和花园式生态宜居城市，宜优先发展以本地节能降碳为目标的先进示范项目以及以自发自用为主的小型新能源项目，待建成项目对城市发展、生态环境等方面的影响进行有效评估后，再发展大规模集中式项目。</w:t>
      </w:r>
    </w:p>
    <w:p>
      <w:pPr>
        <w:pageBreakBefore w:val="0"/>
        <w:wordWrap/>
        <w:topLinePunct w:val="0"/>
        <w:bidi w:val="0"/>
        <w:snapToGrid/>
        <w:spacing w:line="240" w:lineRule="auto"/>
      </w:pPr>
      <w:r>
        <w:rPr>
          <w:rFonts w:hint="eastAsia"/>
        </w:rPr>
        <w:t>坚持生态优先。践行绿水青山就是金山银山的发展理念，把生态环境保护摆到更加突出的位置，贯穿到可再生能源规划建设全过程，积极响应自治区光伏治沙行动方案，坚持“先修复、后开发”，充分发挥可再生能源的生态环境效益和生态治理效益，推动可再生能源开发利用与生态环境保护协调发展、相得益彰。</w:t>
      </w:r>
    </w:p>
    <w:p>
      <w:pPr>
        <w:pageBreakBefore w:val="0"/>
        <w:wordWrap/>
        <w:topLinePunct w:val="0"/>
        <w:bidi w:val="0"/>
        <w:snapToGrid/>
        <w:spacing w:line="240" w:lineRule="auto"/>
      </w:pPr>
      <w:r>
        <w:rPr>
          <w:rFonts w:hint="eastAsia"/>
        </w:rPr>
        <w:t>坚持协同融合。加强可再生能源与国土、环保、水利、财税、金融等政策协同，形成促进新时代可再生能源高质量发展的强大合力，推动可再生能源与新兴技术、新型城镇化、新基建等深度融合，不断拓展可再生能源发展新领域、新场景。统筹乡村新能源发展与乡村集体经济，通过集体土地作价入股、收益共享等机制，培育乡村能源合作社等新型集体经济模式，推动城乡居民共同富裕。</w:t>
      </w:r>
    </w:p>
    <w:p>
      <w:pPr>
        <w:pageBreakBefore w:val="0"/>
        <w:wordWrap/>
        <w:topLinePunct w:val="0"/>
        <w:bidi w:val="0"/>
        <w:snapToGrid/>
        <w:spacing w:line="240" w:lineRule="auto"/>
        <w:outlineLvl w:val="1"/>
        <w:rPr>
          <w:rFonts w:eastAsia="楷体" w:cs="楷体"/>
        </w:rPr>
      </w:pPr>
      <w:bookmarkStart w:id="77" w:name="bookmark8"/>
      <w:bookmarkEnd w:id="77"/>
      <w:bookmarkStart w:id="78" w:name="_Toc818"/>
      <w:bookmarkStart w:id="79" w:name="_Toc2963"/>
      <w:bookmarkStart w:id="80" w:name="_Toc16298"/>
      <w:bookmarkStart w:id="81" w:name="_Toc4847"/>
      <w:bookmarkStart w:id="82" w:name="_Toc24648"/>
      <w:bookmarkStart w:id="83" w:name="_Toc20001"/>
      <w:bookmarkStart w:id="84" w:name="_Toc19535"/>
      <w:r>
        <w:rPr>
          <w:rFonts w:hint="eastAsia" w:eastAsia="楷体" w:cs="楷体"/>
        </w:rPr>
        <w:t>（三）发展目标</w:t>
      </w:r>
      <w:bookmarkEnd w:id="78"/>
      <w:bookmarkEnd w:id="79"/>
      <w:bookmarkEnd w:id="80"/>
      <w:bookmarkEnd w:id="81"/>
      <w:bookmarkEnd w:id="82"/>
      <w:bookmarkEnd w:id="83"/>
      <w:bookmarkEnd w:id="84"/>
    </w:p>
    <w:p>
      <w:pPr>
        <w:pageBreakBefore w:val="0"/>
        <w:wordWrap/>
        <w:topLinePunct w:val="0"/>
        <w:bidi w:val="0"/>
        <w:snapToGrid/>
        <w:spacing w:line="240" w:lineRule="auto"/>
      </w:pPr>
      <w:r>
        <w:rPr>
          <w:rFonts w:hint="eastAsia"/>
        </w:rPr>
        <w:t>近期目标：到2027年，康巴什区全区新增新能源装机1</w:t>
      </w:r>
      <w:r>
        <w:rPr>
          <w:rFonts w:hint="eastAsia"/>
          <w:lang w:val="en-US" w:eastAsia="zh-CN"/>
        </w:rPr>
        <w:t>10</w:t>
      </w:r>
      <w:r>
        <w:rPr>
          <w:rFonts w:hint="eastAsia"/>
        </w:rPr>
        <w:t>万千瓦，其中集中式</w:t>
      </w:r>
      <w:r>
        <w:rPr>
          <w:rFonts w:hint="eastAsia"/>
          <w:lang w:val="en-US" w:eastAsia="zh-CN"/>
        </w:rPr>
        <w:t>10</w:t>
      </w:r>
      <w:r>
        <w:rPr>
          <w:rFonts w:hint="eastAsia"/>
        </w:rPr>
        <w:t>0万千瓦，分布式</w:t>
      </w:r>
      <w:r>
        <w:rPr>
          <w:rFonts w:hint="eastAsia"/>
          <w:lang w:val="en-US" w:eastAsia="zh-CN"/>
        </w:rPr>
        <w:t>光伏7</w:t>
      </w:r>
      <w:r>
        <w:rPr>
          <w:rFonts w:hint="eastAsia"/>
        </w:rPr>
        <w:t>万千瓦，</w:t>
      </w:r>
      <w:r>
        <w:rPr>
          <w:rFonts w:hint="eastAsia"/>
          <w:lang w:val="en-US" w:eastAsia="zh-CN"/>
        </w:rPr>
        <w:t>分散式风电3万千瓦，</w:t>
      </w:r>
      <w:r>
        <w:rPr>
          <w:rFonts w:hint="eastAsia"/>
        </w:rPr>
        <w:t>全区新能源发电量达到2</w:t>
      </w:r>
      <w:r>
        <w:rPr>
          <w:rFonts w:hint="eastAsia"/>
          <w:lang w:val="en-US" w:eastAsia="zh-CN"/>
        </w:rPr>
        <w:t>0</w:t>
      </w:r>
      <w:r>
        <w:rPr>
          <w:rFonts w:hint="eastAsia"/>
        </w:rPr>
        <w:t>亿千瓦时，可再生能源非电利用达到3万吨标准煤，建成康巴什绿色低碳示范区。</w:t>
      </w:r>
    </w:p>
    <w:p>
      <w:pPr>
        <w:pageBreakBefore w:val="0"/>
        <w:wordWrap/>
        <w:topLinePunct w:val="0"/>
        <w:bidi w:val="0"/>
        <w:snapToGrid/>
        <w:spacing w:line="240" w:lineRule="auto"/>
      </w:pPr>
      <w:r>
        <w:rPr>
          <w:rFonts w:hint="eastAsia"/>
        </w:rPr>
        <w:t>远期目标：2030年</w:t>
      </w:r>
      <w:r>
        <w:rPr>
          <w:rFonts w:hint="eastAsia"/>
          <w:lang w:val="en-US" w:eastAsia="zh-CN"/>
        </w:rPr>
        <w:t>前</w:t>
      </w:r>
      <w:r>
        <w:rPr>
          <w:rFonts w:hint="eastAsia"/>
        </w:rPr>
        <w:t>如期实现碳达峰，绿色低碳高质量发展取得显著成效，可再生能源消费占比、单位地区生产总值二氧化碳排放等关键指标位居自治区前列。到2035年，新能源成为康巴什区能源供应主体，率先建成全国示范性零碳城市。</w:t>
      </w:r>
    </w:p>
    <w:p>
      <w:pPr>
        <w:pageBreakBefore w:val="0"/>
        <w:widowControl/>
        <w:kinsoku w:val="0"/>
        <w:wordWrap/>
        <w:topLinePunct w:val="0"/>
        <w:autoSpaceDE w:val="0"/>
        <w:autoSpaceDN w:val="0"/>
        <w:bidi w:val="0"/>
        <w:adjustRightInd w:val="0"/>
        <w:snapToGrid/>
        <w:spacing w:before="100" w:line="240" w:lineRule="auto"/>
        <w:ind w:left="601" w:firstLine="0" w:firstLineChars="0"/>
        <w:jc w:val="left"/>
        <w:textAlignment w:val="baseline"/>
        <w:outlineLvl w:val="0"/>
        <w:rPr>
          <w:rFonts w:eastAsia="黑体" w:cs="黑体"/>
          <w:snapToGrid w:val="0"/>
          <w:color w:val="000000"/>
          <w:spacing w:val="-2"/>
          <w:kern w:val="0"/>
          <w:szCs w:val="32"/>
        </w:rPr>
      </w:pPr>
      <w:bookmarkStart w:id="85" w:name="_Toc19550"/>
      <w:bookmarkStart w:id="86" w:name="_Toc22693"/>
      <w:bookmarkStart w:id="87" w:name="_Toc25899"/>
      <w:bookmarkStart w:id="88" w:name="_Toc10717"/>
      <w:bookmarkStart w:id="89" w:name="_Toc4510"/>
      <w:bookmarkStart w:id="90" w:name="_Toc32034"/>
      <w:bookmarkStart w:id="91" w:name="_Toc15493"/>
      <w:bookmarkStart w:id="92" w:name="_Toc24552"/>
      <w:r>
        <w:rPr>
          <w:rFonts w:hint="eastAsia" w:eastAsia="黑体" w:cs="黑体"/>
          <w:snapToGrid w:val="0"/>
          <w:color w:val="000000"/>
          <w:spacing w:val="-2"/>
          <w:kern w:val="0"/>
          <w:szCs w:val="32"/>
        </w:rPr>
        <w:t>三</w:t>
      </w:r>
      <w:r>
        <w:rPr>
          <w:rFonts w:eastAsia="黑体" w:cs="黑体"/>
          <w:snapToGrid w:val="0"/>
          <w:color w:val="000000"/>
          <w:spacing w:val="-2"/>
          <w:kern w:val="0"/>
          <w:szCs w:val="32"/>
        </w:rPr>
        <w:t>、发展基础和发展形势</w:t>
      </w:r>
      <w:bookmarkEnd w:id="85"/>
      <w:bookmarkEnd w:id="86"/>
      <w:bookmarkEnd w:id="87"/>
      <w:bookmarkEnd w:id="88"/>
      <w:bookmarkEnd w:id="89"/>
      <w:bookmarkEnd w:id="90"/>
      <w:bookmarkEnd w:id="91"/>
      <w:bookmarkEnd w:id="92"/>
    </w:p>
    <w:p>
      <w:pPr>
        <w:pageBreakBefore w:val="0"/>
        <w:wordWrap/>
        <w:topLinePunct w:val="0"/>
        <w:bidi w:val="0"/>
        <w:snapToGrid/>
        <w:spacing w:line="240" w:lineRule="auto"/>
        <w:outlineLvl w:val="1"/>
        <w:rPr>
          <w:rFonts w:eastAsia="方正楷体_GB2312" w:cs="方正楷体_GB2312"/>
        </w:rPr>
      </w:pPr>
      <w:bookmarkStart w:id="93" w:name="_Toc21216"/>
      <w:bookmarkStart w:id="94" w:name="_Toc20200"/>
      <w:bookmarkStart w:id="95" w:name="_Toc18162"/>
      <w:bookmarkStart w:id="96" w:name="_Toc16937"/>
      <w:bookmarkStart w:id="97" w:name="_Toc26788"/>
      <w:bookmarkStart w:id="98" w:name="_Toc5978"/>
      <w:bookmarkStart w:id="99" w:name="_Toc17974"/>
      <w:r>
        <w:rPr>
          <w:rFonts w:hint="eastAsia" w:eastAsia="方正楷体_GB2312" w:cs="方正楷体_GB2312"/>
        </w:rPr>
        <w:t>（一）康巴什区自然环境和社会经济现状</w:t>
      </w:r>
      <w:bookmarkEnd w:id="93"/>
      <w:bookmarkEnd w:id="94"/>
      <w:bookmarkEnd w:id="95"/>
      <w:bookmarkEnd w:id="96"/>
      <w:bookmarkEnd w:id="97"/>
      <w:bookmarkEnd w:id="98"/>
      <w:bookmarkEnd w:id="99"/>
    </w:p>
    <w:p>
      <w:pPr>
        <w:pageBreakBefore w:val="0"/>
        <w:wordWrap/>
        <w:topLinePunct w:val="0"/>
        <w:bidi w:val="0"/>
        <w:snapToGrid/>
        <w:spacing w:line="240" w:lineRule="auto"/>
      </w:pPr>
      <w:r>
        <w:rPr>
          <w:rFonts w:hint="eastAsia"/>
        </w:rPr>
        <w:t>康巴什区位于内蒙古自治区西南部、鄂尔多斯市中南部，介于北纬39</w:t>
      </w:r>
      <w:r>
        <w:t>°</w:t>
      </w:r>
      <w:r>
        <w:rPr>
          <w:rFonts w:hint="eastAsia"/>
        </w:rPr>
        <w:t>31′—39</w:t>
      </w:r>
      <w:r>
        <w:t>°</w:t>
      </w:r>
      <w:r>
        <w:rPr>
          <w:rFonts w:hint="eastAsia"/>
        </w:rPr>
        <w:t>45′、东经109</w:t>
      </w:r>
      <w:r>
        <w:t>°</w:t>
      </w:r>
      <w:r>
        <w:rPr>
          <w:rFonts w:hint="eastAsia"/>
        </w:rPr>
        <w:t>38′—110</w:t>
      </w:r>
      <w:r>
        <w:t>°</w:t>
      </w:r>
      <w:r>
        <w:rPr>
          <w:rFonts w:hint="eastAsia"/>
        </w:rPr>
        <w:t>21′之间，毗邻2个区（旗），北靠东胜区，东、南、西三面与伊金霍洛旗接壤，</w:t>
      </w:r>
      <w:r>
        <w:rPr>
          <w:rFonts w:hint="eastAsia"/>
          <w:szCs w:val="24"/>
        </w:rPr>
        <w:t>是鄂尔多斯的政治、文化、科教中心</w:t>
      </w:r>
      <w:r>
        <w:rPr>
          <w:rFonts w:hint="eastAsia"/>
        </w:rPr>
        <w:t>。康巴什区</w:t>
      </w:r>
      <w:r>
        <w:rPr>
          <w:rFonts w:hint="eastAsia"/>
          <w:szCs w:val="24"/>
        </w:rPr>
        <w:t>于2004年启动建设，2016年6月经国务院批准设立县级康巴什区，下辖4个街道办事处、21个社区，</w:t>
      </w:r>
      <w:r>
        <w:rPr>
          <w:rFonts w:hint="eastAsia"/>
        </w:rPr>
        <w:t>全区总面积为372.55平方公里</w:t>
      </w:r>
      <w:r>
        <w:rPr>
          <w:rFonts w:hint="eastAsia"/>
          <w:szCs w:val="24"/>
        </w:rPr>
        <w:t>，建成区面积38.42平方公里，现有人口12.45万</w:t>
      </w:r>
      <w:r>
        <w:rPr>
          <w:rFonts w:hint="eastAsia"/>
        </w:rPr>
        <w:t>。康巴什区地处鄂尔多斯高原腹地，北靠青春山，南临东红海子，三面被乌兰木伦河环绕，地势开阔平坦。康巴什区属典型的温带大陆性气候，日照丰富，四季分明，无霜期短，年均气温6℃左右，城市核心区夏季平均气温21℃，平原“绿洲效应”显著，小气候相对舒适，空气质量优良天数达300天以上。</w:t>
      </w:r>
    </w:p>
    <w:p>
      <w:pPr>
        <w:pageBreakBefore w:val="0"/>
        <w:wordWrap/>
        <w:topLinePunct w:val="0"/>
        <w:bidi w:val="0"/>
        <w:snapToGrid/>
        <w:spacing w:line="240" w:lineRule="auto"/>
      </w:pPr>
      <w:r>
        <w:rPr>
          <w:rFonts w:hint="eastAsia"/>
        </w:rPr>
        <w:t>2023年，康巴什区全年地区生产总值140.95亿元，扣除价格因素影响，同比增长7.3%。分产业看，第一产业增加值为0.003亿元，同比增长4.2%；第二产业增加值36.96亿元，同比增长7.4%；第三产业增加值103.99亿元，同比增长7.2%；三次产业的结构比为0</w:t>
      </w:r>
      <w:r>
        <w:rPr>
          <w:rFonts w:hint="eastAsia"/>
          <w:lang w:eastAsia="zh-CN"/>
        </w:rPr>
        <w:t>:</w:t>
      </w:r>
      <w:r>
        <w:rPr>
          <w:rFonts w:hint="eastAsia"/>
        </w:rPr>
        <w:t>26</w:t>
      </w:r>
      <w:r>
        <w:rPr>
          <w:rFonts w:hint="eastAsia"/>
          <w:lang w:eastAsia="zh-CN"/>
        </w:rPr>
        <w:t>:</w:t>
      </w:r>
      <w:r>
        <w:rPr>
          <w:rFonts w:hint="eastAsia"/>
        </w:rPr>
        <w:t>74。第一、二、三产业对地区生产总值的贡献率分别为0%、23.7%、76.3%。人均地区生产总值达到112133元，同比增长4.5%。</w:t>
      </w:r>
    </w:p>
    <w:p>
      <w:pPr>
        <w:pageBreakBefore w:val="0"/>
        <w:wordWrap/>
        <w:topLinePunct w:val="0"/>
        <w:bidi w:val="0"/>
        <w:snapToGrid/>
        <w:spacing w:line="240" w:lineRule="auto"/>
      </w:pPr>
      <w:r>
        <w:rPr>
          <w:rFonts w:hint="eastAsia"/>
        </w:rPr>
        <w:t>2023年全区签约落地招商项目90项，国内（自治区外）到位资金9.24亿元，增速位居全市第一。市场主体达1.26万户，同比增长53%。总部经济不断壮大，一批企业总部成功入驻。金融机构加速聚集，数字金融创新示范基地具备入驻条件，新增基金管理公司1家、私募股权投资基金8只。数字经济加速成长，“多多评”平台全市注册人数达到127万人，聚合支付总交易额突破11亿元；完成新能源智能网联汽车示范应用一期项目建设，成为自治区首个无人驾驶汽车应用示范场景城市。消费结构不断优化，新能源汽车销售中心正式运营，入驻企业24家，销售额达到15亿元</w:t>
      </w:r>
    </w:p>
    <w:p>
      <w:pPr>
        <w:keepNext/>
        <w:pageBreakBefore w:val="0"/>
        <w:wordWrap/>
        <w:topLinePunct w:val="0"/>
        <w:bidi w:val="0"/>
        <w:snapToGrid/>
        <w:spacing w:line="240" w:lineRule="auto"/>
        <w:outlineLvl w:val="1"/>
        <w:rPr>
          <w:rFonts w:eastAsia="楷体" w:cs="楷体"/>
        </w:rPr>
      </w:pPr>
      <w:bookmarkStart w:id="100" w:name="_Toc22359"/>
      <w:bookmarkStart w:id="101" w:name="_Toc10584"/>
      <w:bookmarkStart w:id="102" w:name="_Toc19957"/>
      <w:bookmarkStart w:id="103" w:name="_Toc5004"/>
      <w:bookmarkStart w:id="104" w:name="_Toc12164"/>
      <w:bookmarkStart w:id="105" w:name="_Toc32359"/>
      <w:bookmarkStart w:id="106" w:name="_Toc21690"/>
      <w:r>
        <w:rPr>
          <w:rFonts w:hint="eastAsia" w:eastAsia="楷体" w:cs="楷体"/>
        </w:rPr>
        <w:t>（二）新能源发展现状</w:t>
      </w:r>
      <w:bookmarkEnd w:id="100"/>
      <w:bookmarkEnd w:id="101"/>
      <w:bookmarkEnd w:id="102"/>
      <w:bookmarkEnd w:id="103"/>
      <w:bookmarkEnd w:id="104"/>
      <w:bookmarkEnd w:id="105"/>
      <w:bookmarkEnd w:id="106"/>
    </w:p>
    <w:p>
      <w:pPr>
        <w:pageBreakBefore w:val="0"/>
        <w:wordWrap/>
        <w:topLinePunct w:val="0"/>
        <w:bidi w:val="0"/>
        <w:snapToGrid/>
        <w:spacing w:line="240" w:lineRule="auto"/>
      </w:pPr>
      <w:r>
        <w:rPr>
          <w:rFonts w:hint="eastAsia"/>
        </w:rPr>
        <w:t>截至2023年底，康巴什区存量新能源项目共有16</w:t>
      </w:r>
      <w:r>
        <w:rPr>
          <w:rFonts w:hint="eastAsia"/>
          <w:lang w:val="en-US" w:eastAsia="zh-CN"/>
        </w:rPr>
        <w:t>.</w:t>
      </w:r>
      <w:r>
        <w:rPr>
          <w:rFonts w:hint="eastAsia"/>
        </w:rPr>
        <w:t>62</w:t>
      </w:r>
      <w:r>
        <w:rPr>
          <w:rFonts w:hint="eastAsia"/>
          <w:lang w:val="en-US" w:eastAsia="zh-CN"/>
        </w:rPr>
        <w:t>万千瓦</w:t>
      </w:r>
      <w:r>
        <w:rPr>
          <w:rFonts w:hint="eastAsia"/>
        </w:rPr>
        <w:t>。其中，已建成新能源项目5项，均为分布式光伏项目，总容量1</w:t>
      </w:r>
      <w:r>
        <w:rPr>
          <w:rFonts w:hint="eastAsia"/>
          <w:lang w:val="en-US" w:eastAsia="zh-CN"/>
        </w:rPr>
        <w:t>.</w:t>
      </w:r>
      <w:r>
        <w:rPr>
          <w:rFonts w:hint="eastAsia"/>
        </w:rPr>
        <w:t>42</w:t>
      </w:r>
      <w:r>
        <w:rPr>
          <w:rFonts w:hint="eastAsia"/>
          <w:lang w:val="en-US" w:eastAsia="zh-CN"/>
        </w:rPr>
        <w:t>万千</w:t>
      </w:r>
      <w:r>
        <w:rPr>
          <w:rFonts w:hint="eastAsia"/>
        </w:rPr>
        <w:t>瓦，年发电量约2300万千瓦时；已批复分布式光伏项目1项，容量为1</w:t>
      </w:r>
      <w:r>
        <w:rPr>
          <w:rFonts w:hint="eastAsia"/>
          <w:lang w:val="en-US" w:eastAsia="zh-CN"/>
        </w:rPr>
        <w:t>.</w:t>
      </w:r>
      <w:r>
        <w:rPr>
          <w:rFonts w:hint="eastAsia"/>
        </w:rPr>
        <w:t>2</w:t>
      </w:r>
      <w:r>
        <w:rPr>
          <w:rFonts w:hint="eastAsia"/>
          <w:lang w:val="en-US" w:eastAsia="zh-CN"/>
        </w:rPr>
        <w:t>万千</w:t>
      </w:r>
      <w:r>
        <w:rPr>
          <w:rFonts w:hint="eastAsia"/>
        </w:rPr>
        <w:t>瓦；已批复集中式光伏项目1项，容量为1</w:t>
      </w:r>
      <w:r>
        <w:t>4</w:t>
      </w:r>
      <w:r>
        <w:rPr>
          <w:rFonts w:hint="eastAsia"/>
          <w:lang w:val="en-US" w:eastAsia="zh-CN"/>
        </w:rPr>
        <w:t>万千</w:t>
      </w:r>
      <w:r>
        <w:rPr>
          <w:rFonts w:hint="eastAsia"/>
        </w:rPr>
        <w:t>瓦，为京能火电灵活性改造消纳新能源项目。</w:t>
      </w:r>
    </w:p>
    <w:p>
      <w:pPr>
        <w:pageBreakBefore w:val="0"/>
        <w:wordWrap/>
        <w:topLinePunct w:val="0"/>
        <w:bidi w:val="0"/>
        <w:snapToGrid/>
        <w:spacing w:line="240" w:lineRule="auto"/>
        <w:rPr>
          <w:rFonts w:cs="Times New Roman"/>
        </w:rPr>
      </w:pPr>
      <w:r>
        <w:rPr>
          <w:rFonts w:hint="eastAsia" w:cs="Times New Roman"/>
        </w:rPr>
        <w:t>当前康巴什区新能源装机量较小，发电量占比较低，主要受限于本地消纳空间较小，无大型用电负荷，新能源开发模式受限。</w:t>
      </w:r>
    </w:p>
    <w:p>
      <w:pPr>
        <w:pageBreakBefore w:val="0"/>
        <w:wordWrap/>
        <w:topLinePunct w:val="0"/>
        <w:bidi w:val="0"/>
        <w:snapToGrid/>
        <w:spacing w:line="240" w:lineRule="auto"/>
        <w:outlineLvl w:val="1"/>
        <w:rPr>
          <w:rFonts w:eastAsia="楷体" w:cs="楷体"/>
        </w:rPr>
      </w:pPr>
      <w:bookmarkStart w:id="107" w:name="_Toc18712"/>
      <w:bookmarkStart w:id="108" w:name="_Toc24678"/>
      <w:bookmarkStart w:id="109" w:name="_Toc19297"/>
      <w:bookmarkStart w:id="110" w:name="_Toc10490"/>
      <w:bookmarkStart w:id="111" w:name="_Toc6353"/>
      <w:bookmarkStart w:id="112" w:name="_Toc23771"/>
      <w:bookmarkStart w:id="113" w:name="_Toc24368"/>
      <w:r>
        <w:rPr>
          <w:rFonts w:hint="eastAsia" w:eastAsia="楷体" w:cs="楷体"/>
        </w:rPr>
        <w:t>（三）风光资源禀赋</w:t>
      </w:r>
      <w:bookmarkEnd w:id="107"/>
      <w:bookmarkEnd w:id="108"/>
      <w:bookmarkEnd w:id="109"/>
      <w:bookmarkEnd w:id="110"/>
      <w:bookmarkEnd w:id="111"/>
      <w:bookmarkEnd w:id="112"/>
      <w:bookmarkEnd w:id="113"/>
    </w:p>
    <w:p>
      <w:pPr>
        <w:pageBreakBefore w:val="0"/>
        <w:wordWrap/>
        <w:topLinePunct w:val="0"/>
        <w:bidi w:val="0"/>
        <w:snapToGrid/>
        <w:spacing w:line="240" w:lineRule="auto"/>
      </w:pPr>
      <w:r>
        <w:rPr>
          <w:rFonts w:hint="eastAsia"/>
        </w:rPr>
        <w:t>1、风能资源概况</w:t>
      </w:r>
    </w:p>
    <w:p>
      <w:pPr>
        <w:pageBreakBefore w:val="0"/>
        <w:wordWrap/>
        <w:topLinePunct w:val="0"/>
        <w:bidi w:val="0"/>
        <w:snapToGrid/>
        <w:spacing w:line="240" w:lineRule="auto"/>
      </w:pPr>
      <w:r>
        <w:rPr>
          <w:rFonts w:hint="eastAsia"/>
        </w:rPr>
        <w:t>（1）鄂尔多斯市风能资源概况</w:t>
      </w:r>
    </w:p>
    <w:p>
      <w:pPr>
        <w:pageBreakBefore w:val="0"/>
        <w:wordWrap/>
        <w:topLinePunct w:val="0"/>
        <w:bidi w:val="0"/>
        <w:snapToGrid/>
        <w:spacing w:line="240" w:lineRule="auto"/>
      </w:pPr>
      <w:r>
        <w:rPr>
          <w:rFonts w:hint="eastAsia"/>
        </w:rPr>
        <w:t>鄂尔多斯市杭锦旗、鄂托克旗、鄂托克前旗位于狼山和阴山之间的狭长风口地带，是西伯利亚冷空气南下的主要通道，具有风能品位高、有效风时多、稳定度高、连续性好等特点，具备建设千万千瓦级大型风电基地的条件。根据Merra2数据，同时参考气象站和测风塔风资源观测数据分析结果，平均风速大多在6m/s以上，风能资源等级多为2～3级，具备较大开发价值。根据风资源实测数据和中尺度风资源软件分析，鄂尔多斯区域经济可开发范围内，风能资源技术可开发量超过1043.2万千瓦。</w:t>
      </w:r>
    </w:p>
    <w:p>
      <w:pPr>
        <w:pageBreakBefore w:val="0"/>
        <w:wordWrap/>
        <w:topLinePunct w:val="0"/>
        <w:bidi w:val="0"/>
        <w:snapToGrid/>
        <w:spacing w:line="240" w:lineRule="auto"/>
        <w:ind w:firstLine="560"/>
        <w:rPr>
          <w:rFonts w:eastAsia="黑体" w:cs="黑体"/>
          <w:color w:val="000000"/>
          <w:sz w:val="24"/>
          <w:szCs w:val="21"/>
        </w:rPr>
      </w:pPr>
      <w:r>
        <w:rPr>
          <w:rFonts w:hint="eastAsia" w:eastAsia="黑体" w:cs="黑体"/>
          <w:sz w:val="28"/>
        </w:rPr>
        <w:drawing>
          <wp:inline distT="0" distB="0" distL="114300" distR="114300">
            <wp:extent cx="4448810" cy="3335655"/>
            <wp:effectExtent l="0" t="0" r="8890" b="4445"/>
            <wp:docPr id="18"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true"/>
                    </pic:cNvPicPr>
                  </pic:nvPicPr>
                  <pic:blipFill>
                    <a:blip r:embed="rId19"/>
                    <a:stretch>
                      <a:fillRect/>
                    </a:stretch>
                  </pic:blipFill>
                  <pic:spPr>
                    <a:xfrm>
                      <a:off x="0" y="0"/>
                      <a:ext cx="4448810" cy="3335655"/>
                    </a:xfrm>
                    <a:prstGeom prst="rect">
                      <a:avLst/>
                    </a:prstGeom>
                    <a:noFill/>
                    <a:ln>
                      <a:noFill/>
                    </a:ln>
                  </pic:spPr>
                </pic:pic>
              </a:graphicData>
            </a:graphic>
          </wp:inline>
        </w:drawing>
      </w:r>
    </w:p>
    <w:p>
      <w:pPr>
        <w:pStyle w:val="27"/>
        <w:bidi w:val="0"/>
      </w:pPr>
      <w:r>
        <w:rPr>
          <w:rFonts w:hint="eastAsia"/>
        </w:rPr>
        <w:t>图3-1 鄂尔多斯市100米高度年平均风速分布图（数据来源：Merra2）</w:t>
      </w:r>
    </w:p>
    <w:p>
      <w:pPr>
        <w:pageBreakBefore w:val="0"/>
        <w:wordWrap/>
        <w:topLinePunct w:val="0"/>
        <w:bidi w:val="0"/>
        <w:snapToGrid/>
        <w:spacing w:line="240" w:lineRule="auto"/>
      </w:pPr>
      <w:r>
        <w:rPr>
          <w:rFonts w:hint="eastAsia"/>
        </w:rPr>
        <w:t>（2）康巴什风能资源概况</w:t>
      </w:r>
    </w:p>
    <w:p>
      <w:pPr>
        <w:pageBreakBefore w:val="0"/>
        <w:wordWrap/>
        <w:topLinePunct w:val="0"/>
        <w:bidi w:val="0"/>
        <w:snapToGrid/>
        <w:spacing w:line="240" w:lineRule="auto"/>
      </w:pPr>
      <w:r>
        <w:rPr>
          <w:rFonts w:hint="eastAsia"/>
        </w:rPr>
        <w:t>康巴什风能资源分布不均，呈现西部和东部高，中部低的趋势，其中西北区域位于西伯利亚冷空气南下的主要通道，风资源最为优异，东中部区域次之，100m高度风速在5.7m/s～6.5m/s之间，风能密度在183～271W/m</w:t>
      </w:r>
      <w:r>
        <w:rPr>
          <w:rFonts w:hint="eastAsia"/>
          <w:vertAlign w:val="superscript"/>
        </w:rPr>
        <w:t>2</w:t>
      </w:r>
      <w:r>
        <w:rPr>
          <w:rFonts w:hint="eastAsia"/>
        </w:rPr>
        <w:t>之间，具有较好的开发价值。</w:t>
      </w:r>
    </w:p>
    <w:p>
      <w:pPr>
        <w:pStyle w:val="39"/>
        <w:bidi w:val="0"/>
      </w:pPr>
      <w:r>
        <w:rPr>
          <w:rFonts w:hint="eastAsia"/>
        </w:rPr>
        <w:drawing>
          <wp:inline distT="0" distB="0" distL="114300" distR="114300">
            <wp:extent cx="5273675" cy="3172460"/>
            <wp:effectExtent l="0" t="0" r="0" b="0"/>
            <wp:docPr id="17" name="图片 17" descr="c0256eceeca02b1f97b6d27d7a6e36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c0256eceeca02b1f97b6d27d7a6e36e"/>
                    <pic:cNvPicPr>
                      <a:picLocks noChangeAspect="true"/>
                    </pic:cNvPicPr>
                  </pic:nvPicPr>
                  <pic:blipFill>
                    <a:blip r:embed="rId20"/>
                    <a:srcRect t="14918"/>
                    <a:stretch>
                      <a:fillRect/>
                    </a:stretch>
                  </pic:blipFill>
                  <pic:spPr>
                    <a:xfrm>
                      <a:off x="0" y="0"/>
                      <a:ext cx="5273675" cy="3172460"/>
                    </a:xfrm>
                    <a:prstGeom prst="rect">
                      <a:avLst/>
                    </a:prstGeom>
                  </pic:spPr>
                </pic:pic>
              </a:graphicData>
            </a:graphic>
          </wp:inline>
        </w:drawing>
      </w:r>
    </w:p>
    <w:p>
      <w:pPr>
        <w:pStyle w:val="27"/>
        <w:bidi w:val="0"/>
      </w:pPr>
      <w:r>
        <w:rPr>
          <w:rFonts w:hint="eastAsia"/>
        </w:rPr>
        <w:t>图3-2 康巴什区100米高度风功率密度分布图（数据来源：Merra2）</w:t>
      </w:r>
    </w:p>
    <w:p>
      <w:pPr>
        <w:pageBreakBefore w:val="0"/>
        <w:wordWrap/>
        <w:topLinePunct w:val="0"/>
        <w:bidi w:val="0"/>
        <w:snapToGrid/>
        <w:spacing w:line="240" w:lineRule="auto"/>
        <w:rPr>
          <w:rFonts w:cs="Times New Roman"/>
        </w:rPr>
      </w:pPr>
      <w:r>
        <w:rPr>
          <w:rFonts w:hint="eastAsia" w:cs="Times New Roman"/>
        </w:rPr>
        <w:t>（3）风资源分析</w:t>
      </w:r>
    </w:p>
    <w:p>
      <w:pPr>
        <w:pageBreakBefore w:val="0"/>
        <w:wordWrap/>
        <w:topLinePunct w:val="0"/>
        <w:bidi w:val="0"/>
        <w:snapToGrid/>
        <w:spacing w:line="240" w:lineRule="auto"/>
        <w:rPr>
          <w:rFonts w:cs="方正仿宋_GB2312"/>
        </w:rPr>
      </w:pPr>
      <w:r>
        <w:rPr>
          <w:rFonts w:hint="eastAsia" w:cs="方正仿宋_GB2312"/>
        </w:rPr>
        <w:t>1）风速和风功率</w:t>
      </w:r>
    </w:p>
    <w:p>
      <w:pPr>
        <w:pageBreakBefore w:val="0"/>
        <w:wordWrap/>
        <w:topLinePunct w:val="0"/>
        <w:bidi w:val="0"/>
        <w:snapToGrid/>
        <w:spacing w:line="240" w:lineRule="auto"/>
        <w:rPr>
          <w:rFonts w:cs="仿宋_GB2312"/>
        </w:rPr>
      </w:pPr>
      <w:r>
        <w:rPr>
          <w:rFonts w:hint="eastAsia" w:cs="方正仿宋_GB2312"/>
        </w:rPr>
        <w:t>100m高度风速和风功率密度年内变化曲线见下图，风速与风功率年内变化见下表。由表中数据可以看出，</w:t>
      </w:r>
      <w:r>
        <w:rPr>
          <w:rFonts w:hint="eastAsia" w:cs="仿宋_GB2312"/>
        </w:rPr>
        <w:t>2-6月风速及风功率密度较大，其他各月相对较小。</w:t>
      </w:r>
    </w:p>
    <w:p>
      <w:pPr>
        <w:pStyle w:val="27"/>
        <w:keepNext/>
        <w:keepLines w:val="0"/>
        <w:pageBreakBefore w:val="0"/>
        <w:widowControl/>
        <w:kinsoku/>
        <w:wordWrap/>
        <w:overflowPunct/>
        <w:topLinePunct w:val="0"/>
        <w:autoSpaceDE/>
        <w:autoSpaceDN/>
        <w:bidi w:val="0"/>
        <w:adjustRightInd/>
        <w:snapToGrid/>
        <w:textAlignment w:val="auto"/>
      </w:pPr>
      <w:bookmarkStart w:id="114" w:name="_Ref19634870"/>
      <w:r>
        <w:rPr>
          <w:rFonts w:hint="eastAsia"/>
        </w:rPr>
        <w:t>表</w:t>
      </w:r>
      <w:bookmarkEnd w:id="114"/>
      <w:r>
        <w:rPr>
          <w:rFonts w:hint="eastAsia"/>
        </w:rPr>
        <w:t>3-1   100m高度月平均风速、风功率密度统计表</w:t>
      </w:r>
    </w:p>
    <w:p>
      <w:pPr>
        <w:pStyle w:val="27"/>
        <w:keepNext/>
        <w:keepLines w:val="0"/>
        <w:pageBreakBefore w:val="0"/>
        <w:widowControl/>
        <w:kinsoku/>
        <w:wordWrap/>
        <w:overflowPunct/>
        <w:topLinePunct w:val="0"/>
        <w:autoSpaceDE/>
        <w:autoSpaceDN/>
        <w:bidi w:val="0"/>
        <w:adjustRightInd/>
        <w:snapToGrid/>
        <w:jc w:val="right"/>
        <w:textAlignment w:val="auto"/>
        <w:rPr>
          <w:rFonts w:hint="eastAsia" w:ascii="Times New Roman" w:hAnsi="Times New Roman"/>
          <w:b w:val="0"/>
        </w:rPr>
      </w:pPr>
      <w:r>
        <w:rPr>
          <w:rFonts w:hint="eastAsia" w:ascii="Times New Roman" w:hAnsi="Times New Roman"/>
          <w:b w:val="0"/>
        </w:rPr>
        <w:t>单位：风速：m/s；风功率密度：W/m²</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9"/>
        <w:gridCol w:w="751"/>
        <w:gridCol w:w="603"/>
        <w:gridCol w:w="603"/>
        <w:gridCol w:w="602"/>
        <w:gridCol w:w="602"/>
        <w:gridCol w:w="602"/>
        <w:gridCol w:w="602"/>
        <w:gridCol w:w="602"/>
        <w:gridCol w:w="602"/>
        <w:gridCol w:w="707"/>
        <w:gridCol w:w="707"/>
        <w:gridCol w:w="707"/>
        <w:gridCol w:w="65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96" w:type="pct"/>
            <w:tcBorders>
              <w:tl2br w:val="nil"/>
              <w:tr2bl w:val="nil"/>
            </w:tcBorders>
            <w:shd w:val="clear" w:color="auto" w:fill="auto"/>
            <w:noWrap/>
            <w:vAlign w:val="center"/>
          </w:tcPr>
          <w:p>
            <w:pPr>
              <w:pStyle w:val="39"/>
              <w:bidi w:val="0"/>
            </w:pPr>
            <w:bookmarkStart w:id="115" w:name="OLE_LINK36"/>
            <w:r>
              <w:rPr>
                <w:rFonts w:hint="eastAsia"/>
              </w:rPr>
              <w:t>项目</w:t>
            </w:r>
          </w:p>
        </w:tc>
        <w:tc>
          <w:tcPr>
            <w:tcW w:w="414" w:type="pct"/>
            <w:tcBorders>
              <w:tl2br w:val="nil"/>
              <w:tr2bl w:val="nil"/>
            </w:tcBorders>
            <w:shd w:val="clear" w:color="auto" w:fill="auto"/>
            <w:noWrap/>
            <w:vAlign w:val="center"/>
          </w:tcPr>
          <w:p>
            <w:pPr>
              <w:pStyle w:val="39"/>
              <w:bidi w:val="0"/>
            </w:pPr>
            <w:r>
              <w:rPr>
                <w:rFonts w:hint="eastAsia"/>
              </w:rPr>
              <w:t>1月</w:t>
            </w:r>
          </w:p>
        </w:tc>
        <w:tc>
          <w:tcPr>
            <w:tcW w:w="332" w:type="pct"/>
            <w:tcBorders>
              <w:tl2br w:val="nil"/>
              <w:tr2bl w:val="nil"/>
            </w:tcBorders>
            <w:shd w:val="clear" w:color="auto" w:fill="auto"/>
            <w:noWrap/>
            <w:vAlign w:val="center"/>
          </w:tcPr>
          <w:p>
            <w:pPr>
              <w:pStyle w:val="39"/>
              <w:bidi w:val="0"/>
            </w:pPr>
            <w:r>
              <w:rPr>
                <w:rFonts w:hint="eastAsia"/>
              </w:rPr>
              <w:t>2月</w:t>
            </w:r>
          </w:p>
        </w:tc>
        <w:tc>
          <w:tcPr>
            <w:tcW w:w="332" w:type="pct"/>
            <w:tcBorders>
              <w:tl2br w:val="nil"/>
              <w:tr2bl w:val="nil"/>
            </w:tcBorders>
            <w:shd w:val="clear" w:color="auto" w:fill="auto"/>
            <w:noWrap/>
            <w:vAlign w:val="center"/>
          </w:tcPr>
          <w:p>
            <w:pPr>
              <w:pStyle w:val="39"/>
              <w:bidi w:val="0"/>
            </w:pPr>
            <w:r>
              <w:rPr>
                <w:rFonts w:hint="eastAsia"/>
              </w:rPr>
              <w:t>3月</w:t>
            </w:r>
          </w:p>
        </w:tc>
        <w:tc>
          <w:tcPr>
            <w:tcW w:w="332" w:type="pct"/>
            <w:tcBorders>
              <w:tl2br w:val="nil"/>
              <w:tr2bl w:val="nil"/>
            </w:tcBorders>
            <w:shd w:val="clear" w:color="auto" w:fill="auto"/>
            <w:noWrap/>
            <w:vAlign w:val="center"/>
          </w:tcPr>
          <w:p>
            <w:pPr>
              <w:pStyle w:val="39"/>
              <w:bidi w:val="0"/>
            </w:pPr>
            <w:r>
              <w:rPr>
                <w:rFonts w:hint="eastAsia"/>
              </w:rPr>
              <w:t>4月</w:t>
            </w:r>
          </w:p>
        </w:tc>
        <w:tc>
          <w:tcPr>
            <w:tcW w:w="332" w:type="pct"/>
            <w:tcBorders>
              <w:tl2br w:val="nil"/>
              <w:tr2bl w:val="nil"/>
            </w:tcBorders>
            <w:shd w:val="clear" w:color="auto" w:fill="auto"/>
            <w:noWrap/>
            <w:vAlign w:val="center"/>
          </w:tcPr>
          <w:p>
            <w:pPr>
              <w:pStyle w:val="39"/>
              <w:bidi w:val="0"/>
            </w:pPr>
            <w:r>
              <w:rPr>
                <w:rFonts w:hint="eastAsia"/>
              </w:rPr>
              <w:t>5月</w:t>
            </w:r>
          </w:p>
        </w:tc>
        <w:tc>
          <w:tcPr>
            <w:tcW w:w="332" w:type="pct"/>
            <w:tcBorders>
              <w:tl2br w:val="nil"/>
              <w:tr2bl w:val="nil"/>
            </w:tcBorders>
            <w:shd w:val="clear" w:color="auto" w:fill="auto"/>
            <w:noWrap/>
            <w:vAlign w:val="center"/>
          </w:tcPr>
          <w:p>
            <w:pPr>
              <w:pStyle w:val="39"/>
              <w:bidi w:val="0"/>
            </w:pPr>
            <w:r>
              <w:rPr>
                <w:rFonts w:hint="eastAsia"/>
              </w:rPr>
              <w:t>6月</w:t>
            </w:r>
          </w:p>
        </w:tc>
        <w:tc>
          <w:tcPr>
            <w:tcW w:w="332" w:type="pct"/>
            <w:tcBorders>
              <w:tl2br w:val="nil"/>
              <w:tr2bl w:val="nil"/>
            </w:tcBorders>
            <w:shd w:val="clear" w:color="auto" w:fill="auto"/>
            <w:noWrap/>
            <w:vAlign w:val="center"/>
          </w:tcPr>
          <w:p>
            <w:pPr>
              <w:pStyle w:val="39"/>
              <w:bidi w:val="0"/>
            </w:pPr>
            <w:r>
              <w:rPr>
                <w:rFonts w:hint="eastAsia"/>
              </w:rPr>
              <w:t>7月</w:t>
            </w:r>
          </w:p>
        </w:tc>
        <w:tc>
          <w:tcPr>
            <w:tcW w:w="332" w:type="pct"/>
            <w:tcBorders>
              <w:tl2br w:val="nil"/>
              <w:tr2bl w:val="nil"/>
            </w:tcBorders>
            <w:shd w:val="clear" w:color="auto" w:fill="auto"/>
            <w:noWrap/>
            <w:vAlign w:val="center"/>
          </w:tcPr>
          <w:p>
            <w:pPr>
              <w:pStyle w:val="39"/>
              <w:bidi w:val="0"/>
            </w:pPr>
            <w:r>
              <w:rPr>
                <w:rFonts w:hint="eastAsia"/>
              </w:rPr>
              <w:t>8月</w:t>
            </w:r>
          </w:p>
        </w:tc>
        <w:tc>
          <w:tcPr>
            <w:tcW w:w="332" w:type="pct"/>
            <w:tcBorders>
              <w:tl2br w:val="nil"/>
              <w:tr2bl w:val="nil"/>
            </w:tcBorders>
            <w:shd w:val="clear" w:color="auto" w:fill="auto"/>
            <w:noWrap/>
            <w:vAlign w:val="center"/>
          </w:tcPr>
          <w:p>
            <w:pPr>
              <w:pStyle w:val="39"/>
              <w:bidi w:val="0"/>
            </w:pPr>
            <w:r>
              <w:rPr>
                <w:rFonts w:hint="eastAsia"/>
              </w:rPr>
              <w:t>9月</w:t>
            </w:r>
          </w:p>
        </w:tc>
        <w:tc>
          <w:tcPr>
            <w:tcW w:w="390" w:type="pct"/>
            <w:tcBorders>
              <w:tl2br w:val="nil"/>
              <w:tr2bl w:val="nil"/>
            </w:tcBorders>
            <w:shd w:val="clear" w:color="auto" w:fill="auto"/>
            <w:noWrap/>
            <w:vAlign w:val="center"/>
          </w:tcPr>
          <w:p>
            <w:pPr>
              <w:pStyle w:val="39"/>
              <w:bidi w:val="0"/>
            </w:pPr>
            <w:r>
              <w:rPr>
                <w:rFonts w:hint="eastAsia"/>
              </w:rPr>
              <w:t>10月</w:t>
            </w:r>
          </w:p>
        </w:tc>
        <w:tc>
          <w:tcPr>
            <w:tcW w:w="390" w:type="pct"/>
            <w:tcBorders>
              <w:tl2br w:val="nil"/>
              <w:tr2bl w:val="nil"/>
            </w:tcBorders>
            <w:shd w:val="clear" w:color="auto" w:fill="auto"/>
            <w:noWrap/>
            <w:vAlign w:val="center"/>
          </w:tcPr>
          <w:p>
            <w:pPr>
              <w:pStyle w:val="39"/>
              <w:bidi w:val="0"/>
            </w:pPr>
            <w:r>
              <w:rPr>
                <w:rFonts w:hint="eastAsia"/>
              </w:rPr>
              <w:t>11月</w:t>
            </w:r>
          </w:p>
        </w:tc>
        <w:tc>
          <w:tcPr>
            <w:tcW w:w="390" w:type="pct"/>
            <w:tcBorders>
              <w:tl2br w:val="nil"/>
              <w:tr2bl w:val="nil"/>
            </w:tcBorders>
            <w:shd w:val="clear" w:color="auto" w:fill="auto"/>
            <w:noWrap/>
            <w:vAlign w:val="center"/>
          </w:tcPr>
          <w:p>
            <w:pPr>
              <w:pStyle w:val="39"/>
              <w:bidi w:val="0"/>
            </w:pPr>
            <w:r>
              <w:rPr>
                <w:rFonts w:hint="eastAsia"/>
              </w:rPr>
              <w:t>12月</w:t>
            </w:r>
          </w:p>
        </w:tc>
        <w:tc>
          <w:tcPr>
            <w:tcW w:w="360" w:type="pct"/>
            <w:tcBorders>
              <w:tl2br w:val="nil"/>
              <w:tr2bl w:val="nil"/>
            </w:tcBorders>
            <w:shd w:val="clear" w:color="auto" w:fill="auto"/>
            <w:noWrap/>
            <w:vAlign w:val="center"/>
          </w:tcPr>
          <w:p>
            <w:pPr>
              <w:pStyle w:val="39"/>
              <w:bidi w:val="0"/>
            </w:pPr>
            <w:r>
              <w:rPr>
                <w:rFonts w:hint="eastAsia"/>
              </w:rPr>
              <w:t>年均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 w:type="pct"/>
            <w:tcBorders>
              <w:tl2br w:val="nil"/>
              <w:tr2bl w:val="nil"/>
            </w:tcBorders>
            <w:shd w:val="clear" w:color="auto" w:fill="auto"/>
            <w:noWrap/>
            <w:vAlign w:val="center"/>
          </w:tcPr>
          <w:p>
            <w:pPr>
              <w:pStyle w:val="39"/>
              <w:bidi w:val="0"/>
            </w:pPr>
            <w:r>
              <w:rPr>
                <w:rFonts w:hint="eastAsia"/>
              </w:rPr>
              <w:t>风速</w:t>
            </w:r>
          </w:p>
        </w:tc>
        <w:tc>
          <w:tcPr>
            <w:tcW w:w="706" w:type="dxa"/>
            <w:tcBorders>
              <w:tl2br w:val="nil"/>
              <w:tr2bl w:val="nil"/>
            </w:tcBorders>
            <w:shd w:val="clear" w:color="auto" w:fill="auto"/>
            <w:noWrap/>
            <w:vAlign w:val="center"/>
          </w:tcPr>
          <w:p>
            <w:pPr>
              <w:pStyle w:val="39"/>
              <w:bidi w:val="0"/>
            </w:pPr>
            <w:r>
              <w:t xml:space="preserve">4.5 </w:t>
            </w:r>
          </w:p>
        </w:tc>
        <w:tc>
          <w:tcPr>
            <w:tcW w:w="566" w:type="dxa"/>
            <w:tcBorders>
              <w:tl2br w:val="nil"/>
              <w:tr2bl w:val="nil"/>
            </w:tcBorders>
            <w:shd w:val="clear" w:color="auto" w:fill="auto"/>
            <w:noWrap/>
            <w:vAlign w:val="center"/>
          </w:tcPr>
          <w:p>
            <w:pPr>
              <w:pStyle w:val="39"/>
              <w:bidi w:val="0"/>
            </w:pPr>
            <w:r>
              <w:t xml:space="preserve">6.3 </w:t>
            </w:r>
          </w:p>
        </w:tc>
        <w:tc>
          <w:tcPr>
            <w:tcW w:w="566" w:type="dxa"/>
            <w:tcBorders>
              <w:tl2br w:val="nil"/>
              <w:tr2bl w:val="nil"/>
            </w:tcBorders>
            <w:shd w:val="clear" w:color="auto" w:fill="auto"/>
            <w:noWrap/>
            <w:vAlign w:val="center"/>
          </w:tcPr>
          <w:p>
            <w:pPr>
              <w:pStyle w:val="39"/>
              <w:bidi w:val="0"/>
            </w:pPr>
            <w:r>
              <w:t xml:space="preserve">7.5 </w:t>
            </w:r>
          </w:p>
        </w:tc>
        <w:tc>
          <w:tcPr>
            <w:tcW w:w="566" w:type="dxa"/>
            <w:tcBorders>
              <w:tl2br w:val="nil"/>
              <w:tr2bl w:val="nil"/>
            </w:tcBorders>
            <w:shd w:val="clear" w:color="auto" w:fill="auto"/>
            <w:noWrap/>
            <w:vAlign w:val="center"/>
          </w:tcPr>
          <w:p>
            <w:pPr>
              <w:pStyle w:val="39"/>
              <w:bidi w:val="0"/>
            </w:pPr>
            <w:r>
              <w:t xml:space="preserve">6.5 </w:t>
            </w:r>
          </w:p>
        </w:tc>
        <w:tc>
          <w:tcPr>
            <w:tcW w:w="566" w:type="dxa"/>
            <w:tcBorders>
              <w:tl2br w:val="nil"/>
              <w:tr2bl w:val="nil"/>
            </w:tcBorders>
            <w:shd w:val="clear" w:color="auto" w:fill="auto"/>
            <w:noWrap/>
            <w:vAlign w:val="center"/>
          </w:tcPr>
          <w:p>
            <w:pPr>
              <w:pStyle w:val="39"/>
              <w:bidi w:val="0"/>
            </w:pPr>
            <w:r>
              <w:t xml:space="preserve">7.3 </w:t>
            </w:r>
          </w:p>
        </w:tc>
        <w:tc>
          <w:tcPr>
            <w:tcW w:w="566" w:type="dxa"/>
            <w:tcBorders>
              <w:tl2br w:val="nil"/>
              <w:tr2bl w:val="nil"/>
            </w:tcBorders>
            <w:shd w:val="clear" w:color="auto" w:fill="auto"/>
            <w:noWrap/>
            <w:vAlign w:val="center"/>
          </w:tcPr>
          <w:p>
            <w:pPr>
              <w:pStyle w:val="39"/>
              <w:bidi w:val="0"/>
            </w:pPr>
            <w:r>
              <w:t xml:space="preserve">5.9 </w:t>
            </w:r>
          </w:p>
        </w:tc>
        <w:tc>
          <w:tcPr>
            <w:tcW w:w="566" w:type="dxa"/>
            <w:tcBorders>
              <w:tl2br w:val="nil"/>
              <w:tr2bl w:val="nil"/>
            </w:tcBorders>
            <w:shd w:val="clear" w:color="auto" w:fill="auto"/>
            <w:noWrap/>
            <w:vAlign w:val="center"/>
          </w:tcPr>
          <w:p>
            <w:pPr>
              <w:pStyle w:val="39"/>
              <w:bidi w:val="0"/>
            </w:pPr>
            <w:r>
              <w:t xml:space="preserve">5.2 </w:t>
            </w:r>
          </w:p>
        </w:tc>
        <w:tc>
          <w:tcPr>
            <w:tcW w:w="566" w:type="dxa"/>
            <w:tcBorders>
              <w:tl2br w:val="nil"/>
              <w:tr2bl w:val="nil"/>
            </w:tcBorders>
            <w:shd w:val="clear" w:color="auto" w:fill="auto"/>
            <w:noWrap/>
            <w:vAlign w:val="center"/>
          </w:tcPr>
          <w:p>
            <w:pPr>
              <w:pStyle w:val="39"/>
              <w:bidi w:val="0"/>
            </w:pPr>
            <w:r>
              <w:t xml:space="preserve">5.6 </w:t>
            </w:r>
          </w:p>
        </w:tc>
        <w:tc>
          <w:tcPr>
            <w:tcW w:w="566" w:type="dxa"/>
            <w:tcBorders>
              <w:tl2br w:val="nil"/>
              <w:tr2bl w:val="nil"/>
            </w:tcBorders>
            <w:shd w:val="clear" w:color="auto" w:fill="auto"/>
            <w:noWrap/>
            <w:vAlign w:val="center"/>
          </w:tcPr>
          <w:p>
            <w:pPr>
              <w:pStyle w:val="39"/>
              <w:bidi w:val="0"/>
            </w:pPr>
            <w:r>
              <w:t xml:space="preserve">5.5 </w:t>
            </w:r>
          </w:p>
        </w:tc>
        <w:tc>
          <w:tcPr>
            <w:tcW w:w="666" w:type="dxa"/>
            <w:tcBorders>
              <w:tl2br w:val="nil"/>
              <w:tr2bl w:val="nil"/>
            </w:tcBorders>
            <w:shd w:val="clear" w:color="auto" w:fill="auto"/>
            <w:noWrap/>
            <w:vAlign w:val="center"/>
          </w:tcPr>
          <w:p>
            <w:pPr>
              <w:pStyle w:val="39"/>
              <w:bidi w:val="0"/>
            </w:pPr>
            <w:r>
              <w:t xml:space="preserve">5.9 </w:t>
            </w:r>
          </w:p>
        </w:tc>
        <w:tc>
          <w:tcPr>
            <w:tcW w:w="666" w:type="dxa"/>
            <w:tcBorders>
              <w:tl2br w:val="nil"/>
              <w:tr2bl w:val="nil"/>
            </w:tcBorders>
            <w:shd w:val="clear" w:color="auto" w:fill="auto"/>
            <w:noWrap/>
            <w:vAlign w:val="center"/>
          </w:tcPr>
          <w:p>
            <w:pPr>
              <w:pStyle w:val="39"/>
              <w:bidi w:val="0"/>
            </w:pPr>
            <w:r>
              <w:t xml:space="preserve">5.8 </w:t>
            </w:r>
          </w:p>
        </w:tc>
        <w:tc>
          <w:tcPr>
            <w:tcW w:w="666" w:type="dxa"/>
            <w:tcBorders>
              <w:tl2br w:val="nil"/>
              <w:tr2bl w:val="nil"/>
            </w:tcBorders>
            <w:shd w:val="clear" w:color="auto" w:fill="auto"/>
            <w:noWrap/>
            <w:vAlign w:val="center"/>
          </w:tcPr>
          <w:p>
            <w:pPr>
              <w:pStyle w:val="39"/>
              <w:bidi w:val="0"/>
            </w:pPr>
            <w:r>
              <w:t xml:space="preserve">6.2 </w:t>
            </w:r>
          </w:p>
        </w:tc>
        <w:tc>
          <w:tcPr>
            <w:tcW w:w="615" w:type="dxa"/>
            <w:tcBorders>
              <w:tl2br w:val="nil"/>
              <w:tr2bl w:val="nil"/>
            </w:tcBorders>
            <w:shd w:val="clear" w:color="auto" w:fill="auto"/>
            <w:noWrap/>
            <w:vAlign w:val="center"/>
          </w:tcPr>
          <w:p>
            <w:pPr>
              <w:pStyle w:val="39"/>
              <w:bidi w:val="0"/>
            </w:pPr>
            <w:r>
              <w:t xml:space="preserve">6.0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 w:type="pct"/>
            <w:tcBorders>
              <w:tl2br w:val="nil"/>
              <w:tr2bl w:val="nil"/>
            </w:tcBorders>
            <w:shd w:val="clear" w:color="auto" w:fill="auto"/>
            <w:noWrap/>
            <w:vAlign w:val="center"/>
          </w:tcPr>
          <w:p>
            <w:pPr>
              <w:pStyle w:val="39"/>
              <w:bidi w:val="0"/>
            </w:pPr>
            <w:r>
              <w:rPr>
                <w:rFonts w:hint="eastAsia"/>
              </w:rPr>
              <w:t>风功率</w:t>
            </w:r>
          </w:p>
        </w:tc>
        <w:tc>
          <w:tcPr>
            <w:tcW w:w="414" w:type="pct"/>
            <w:tcBorders>
              <w:tl2br w:val="nil"/>
              <w:tr2bl w:val="nil"/>
            </w:tcBorders>
            <w:shd w:val="clear" w:color="auto" w:fill="auto"/>
            <w:noWrap/>
            <w:vAlign w:val="center"/>
          </w:tcPr>
          <w:p>
            <w:pPr>
              <w:pStyle w:val="39"/>
              <w:bidi w:val="0"/>
            </w:pPr>
            <w:r>
              <w:rPr>
                <w:rFonts w:hint="eastAsia"/>
              </w:rPr>
              <w:t>88</w:t>
            </w:r>
          </w:p>
        </w:tc>
        <w:tc>
          <w:tcPr>
            <w:tcW w:w="332" w:type="pct"/>
            <w:tcBorders>
              <w:tl2br w:val="nil"/>
              <w:tr2bl w:val="nil"/>
            </w:tcBorders>
            <w:shd w:val="clear" w:color="auto" w:fill="auto"/>
            <w:noWrap/>
            <w:vAlign w:val="center"/>
          </w:tcPr>
          <w:p>
            <w:pPr>
              <w:pStyle w:val="39"/>
              <w:bidi w:val="0"/>
            </w:pPr>
            <w:r>
              <w:rPr>
                <w:rFonts w:hint="eastAsia"/>
              </w:rPr>
              <w:t>214</w:t>
            </w:r>
          </w:p>
        </w:tc>
        <w:tc>
          <w:tcPr>
            <w:tcW w:w="332" w:type="pct"/>
            <w:tcBorders>
              <w:tl2br w:val="nil"/>
              <w:tr2bl w:val="nil"/>
            </w:tcBorders>
            <w:shd w:val="clear" w:color="auto" w:fill="auto"/>
            <w:noWrap/>
            <w:vAlign w:val="center"/>
          </w:tcPr>
          <w:p>
            <w:pPr>
              <w:pStyle w:val="39"/>
              <w:bidi w:val="0"/>
            </w:pPr>
            <w:r>
              <w:rPr>
                <w:rFonts w:hint="eastAsia"/>
              </w:rPr>
              <w:t>322</w:t>
            </w:r>
          </w:p>
        </w:tc>
        <w:tc>
          <w:tcPr>
            <w:tcW w:w="332" w:type="pct"/>
            <w:tcBorders>
              <w:tl2br w:val="nil"/>
              <w:tr2bl w:val="nil"/>
            </w:tcBorders>
            <w:shd w:val="clear" w:color="auto" w:fill="auto"/>
            <w:noWrap/>
            <w:vAlign w:val="center"/>
          </w:tcPr>
          <w:p>
            <w:pPr>
              <w:pStyle w:val="39"/>
              <w:bidi w:val="0"/>
            </w:pPr>
            <w:r>
              <w:rPr>
                <w:rFonts w:hint="eastAsia"/>
              </w:rPr>
              <w:t>250</w:t>
            </w:r>
          </w:p>
        </w:tc>
        <w:tc>
          <w:tcPr>
            <w:tcW w:w="332" w:type="pct"/>
            <w:tcBorders>
              <w:tl2br w:val="nil"/>
              <w:tr2bl w:val="nil"/>
            </w:tcBorders>
            <w:shd w:val="clear" w:color="auto" w:fill="auto"/>
            <w:noWrap/>
            <w:vAlign w:val="center"/>
          </w:tcPr>
          <w:p>
            <w:pPr>
              <w:pStyle w:val="39"/>
              <w:bidi w:val="0"/>
            </w:pPr>
            <w:r>
              <w:rPr>
                <w:rFonts w:hint="eastAsia"/>
              </w:rPr>
              <w:t>323</w:t>
            </w:r>
          </w:p>
        </w:tc>
        <w:tc>
          <w:tcPr>
            <w:tcW w:w="332" w:type="pct"/>
            <w:tcBorders>
              <w:tl2br w:val="nil"/>
              <w:tr2bl w:val="nil"/>
            </w:tcBorders>
            <w:shd w:val="clear" w:color="auto" w:fill="auto"/>
            <w:noWrap/>
            <w:vAlign w:val="center"/>
          </w:tcPr>
          <w:p>
            <w:pPr>
              <w:pStyle w:val="39"/>
              <w:bidi w:val="0"/>
            </w:pPr>
            <w:r>
              <w:rPr>
                <w:rFonts w:hint="eastAsia"/>
              </w:rPr>
              <w:t>203</w:t>
            </w:r>
          </w:p>
        </w:tc>
        <w:tc>
          <w:tcPr>
            <w:tcW w:w="332" w:type="pct"/>
            <w:tcBorders>
              <w:tl2br w:val="nil"/>
              <w:tr2bl w:val="nil"/>
            </w:tcBorders>
            <w:shd w:val="clear" w:color="auto" w:fill="auto"/>
            <w:noWrap/>
            <w:vAlign w:val="center"/>
          </w:tcPr>
          <w:p>
            <w:pPr>
              <w:pStyle w:val="39"/>
              <w:bidi w:val="0"/>
            </w:pPr>
            <w:r>
              <w:rPr>
                <w:rFonts w:hint="eastAsia"/>
              </w:rPr>
              <w:t>118</w:t>
            </w:r>
          </w:p>
        </w:tc>
        <w:tc>
          <w:tcPr>
            <w:tcW w:w="332" w:type="pct"/>
            <w:tcBorders>
              <w:tl2br w:val="nil"/>
              <w:tr2bl w:val="nil"/>
            </w:tcBorders>
            <w:shd w:val="clear" w:color="auto" w:fill="auto"/>
            <w:noWrap/>
            <w:vAlign w:val="center"/>
          </w:tcPr>
          <w:p>
            <w:pPr>
              <w:pStyle w:val="39"/>
              <w:bidi w:val="0"/>
            </w:pPr>
            <w:r>
              <w:rPr>
                <w:rFonts w:hint="eastAsia"/>
              </w:rPr>
              <w:t>138</w:t>
            </w:r>
          </w:p>
        </w:tc>
        <w:tc>
          <w:tcPr>
            <w:tcW w:w="332" w:type="pct"/>
            <w:tcBorders>
              <w:tl2br w:val="nil"/>
              <w:tr2bl w:val="nil"/>
            </w:tcBorders>
            <w:shd w:val="clear" w:color="auto" w:fill="auto"/>
            <w:noWrap/>
            <w:vAlign w:val="center"/>
          </w:tcPr>
          <w:p>
            <w:pPr>
              <w:pStyle w:val="39"/>
              <w:bidi w:val="0"/>
            </w:pPr>
            <w:r>
              <w:rPr>
                <w:rFonts w:hint="eastAsia"/>
              </w:rPr>
              <w:t>129</w:t>
            </w:r>
          </w:p>
        </w:tc>
        <w:tc>
          <w:tcPr>
            <w:tcW w:w="390" w:type="pct"/>
            <w:tcBorders>
              <w:tl2br w:val="nil"/>
              <w:tr2bl w:val="nil"/>
            </w:tcBorders>
            <w:shd w:val="clear" w:color="auto" w:fill="auto"/>
            <w:noWrap/>
            <w:vAlign w:val="center"/>
          </w:tcPr>
          <w:p>
            <w:pPr>
              <w:pStyle w:val="39"/>
              <w:bidi w:val="0"/>
            </w:pPr>
            <w:r>
              <w:rPr>
                <w:rFonts w:hint="eastAsia"/>
              </w:rPr>
              <w:t>168</w:t>
            </w:r>
          </w:p>
        </w:tc>
        <w:tc>
          <w:tcPr>
            <w:tcW w:w="390" w:type="pct"/>
            <w:tcBorders>
              <w:tl2br w:val="nil"/>
              <w:tr2bl w:val="nil"/>
            </w:tcBorders>
            <w:shd w:val="clear" w:color="auto" w:fill="auto"/>
            <w:noWrap/>
            <w:vAlign w:val="center"/>
          </w:tcPr>
          <w:p>
            <w:pPr>
              <w:pStyle w:val="39"/>
              <w:bidi w:val="0"/>
            </w:pPr>
            <w:r>
              <w:rPr>
                <w:rFonts w:hint="eastAsia"/>
              </w:rPr>
              <w:t>197</w:t>
            </w:r>
          </w:p>
        </w:tc>
        <w:tc>
          <w:tcPr>
            <w:tcW w:w="390" w:type="pct"/>
            <w:tcBorders>
              <w:tl2br w:val="nil"/>
              <w:tr2bl w:val="nil"/>
            </w:tcBorders>
            <w:shd w:val="clear" w:color="auto" w:fill="auto"/>
            <w:noWrap/>
            <w:vAlign w:val="center"/>
          </w:tcPr>
          <w:p>
            <w:pPr>
              <w:pStyle w:val="39"/>
              <w:bidi w:val="0"/>
            </w:pPr>
            <w:r>
              <w:rPr>
                <w:rFonts w:hint="eastAsia"/>
              </w:rPr>
              <w:t>194</w:t>
            </w:r>
          </w:p>
        </w:tc>
        <w:tc>
          <w:tcPr>
            <w:tcW w:w="360" w:type="pct"/>
            <w:tcBorders>
              <w:tl2br w:val="nil"/>
              <w:tr2bl w:val="nil"/>
            </w:tcBorders>
            <w:shd w:val="clear" w:color="auto" w:fill="auto"/>
            <w:noWrap/>
            <w:vAlign w:val="center"/>
          </w:tcPr>
          <w:p>
            <w:pPr>
              <w:pStyle w:val="39"/>
              <w:bidi w:val="0"/>
            </w:pPr>
            <w:r>
              <w:rPr>
                <w:rFonts w:hint="eastAsia"/>
              </w:rPr>
              <w:t>195</w:t>
            </w:r>
          </w:p>
        </w:tc>
      </w:tr>
      <w:bookmarkEnd w:id="115"/>
    </w:tbl>
    <w:p>
      <w:pPr>
        <w:keepNext w:val="0"/>
        <w:keepLines w:val="0"/>
        <w:pageBreakBefore w:val="0"/>
        <w:widowControl/>
        <w:kinsoku/>
        <w:wordWrap/>
        <w:overflowPunct/>
        <w:topLinePunct w:val="0"/>
        <w:autoSpaceDE/>
        <w:autoSpaceDN/>
        <w:bidi w:val="0"/>
        <w:adjustRightInd/>
        <w:snapToGrid/>
        <w:spacing w:before="306" w:beforeLines="50" w:line="240" w:lineRule="auto"/>
        <w:ind w:firstLine="0" w:firstLineChars="0"/>
        <w:jc w:val="center"/>
        <w:textAlignment w:val="auto"/>
        <w:rPr>
          <w:color w:val="000000"/>
          <w:sz w:val="18"/>
          <w:szCs w:val="21"/>
        </w:rPr>
      </w:pPr>
      <w:r>
        <w:drawing>
          <wp:inline distT="0" distB="0" distL="114300" distR="114300">
            <wp:extent cx="4834255" cy="2694305"/>
            <wp:effectExtent l="0" t="0" r="12065" b="3175"/>
            <wp:docPr id="2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true"/>
                    </pic:cNvPicPr>
                  </pic:nvPicPr>
                  <pic:blipFill>
                    <a:blip r:embed="rId21"/>
                    <a:stretch>
                      <a:fillRect/>
                    </a:stretch>
                  </pic:blipFill>
                  <pic:spPr>
                    <a:xfrm>
                      <a:off x="0" y="0"/>
                      <a:ext cx="4834255" cy="2694305"/>
                    </a:xfrm>
                    <a:prstGeom prst="rect">
                      <a:avLst/>
                    </a:prstGeom>
                    <a:noFill/>
                    <a:ln>
                      <a:noFill/>
                    </a:ln>
                  </pic:spPr>
                </pic:pic>
              </a:graphicData>
            </a:graphic>
          </wp:inline>
        </w:drawing>
      </w:r>
    </w:p>
    <w:p>
      <w:pPr>
        <w:pStyle w:val="27"/>
        <w:bidi w:val="0"/>
      </w:pPr>
      <w:r>
        <w:rPr>
          <w:rFonts w:hint="eastAsia"/>
          <w:lang w:eastAsia="zh-CN"/>
        </w:rPr>
        <w:t>图3-</w:t>
      </w:r>
      <w:r>
        <w:rPr>
          <w:rFonts w:hint="eastAsia"/>
        </w:rPr>
        <w:t>3 100m高度平均风速和风功率密度年变化曲线</w:t>
      </w:r>
    </w:p>
    <w:p>
      <w:pPr>
        <w:pageBreakBefore w:val="0"/>
        <w:wordWrap/>
        <w:topLinePunct w:val="0"/>
        <w:bidi w:val="0"/>
        <w:snapToGrid/>
        <w:spacing w:line="240" w:lineRule="auto"/>
        <w:rPr>
          <w:rFonts w:cs="方正仿宋_GB2312"/>
        </w:rPr>
      </w:pPr>
      <w:r>
        <w:rPr>
          <w:rFonts w:hint="eastAsia" w:cs="方正仿宋_GB2312"/>
        </w:rPr>
        <w:t>2）风速和风功率密度的日内变化</w:t>
      </w:r>
    </w:p>
    <w:p>
      <w:pPr>
        <w:pageBreakBefore w:val="0"/>
        <w:widowControl/>
        <w:wordWrap/>
        <w:topLinePunct w:val="0"/>
        <w:bidi w:val="0"/>
        <w:snapToGrid/>
        <w:spacing w:line="240" w:lineRule="auto"/>
        <w:rPr>
          <w:color w:val="000000"/>
        </w:rPr>
      </w:pPr>
      <w:r>
        <w:rPr>
          <w:rFonts w:hint="eastAsia" w:cs="方正仿宋_GB2312"/>
        </w:rPr>
        <w:t>100m高度风速和风功率密度日变化曲线见下图。</w:t>
      </w:r>
    </w:p>
    <w:p>
      <w:pPr>
        <w:pStyle w:val="27"/>
        <w:bidi w:val="0"/>
      </w:pPr>
      <w:r>
        <w:rPr>
          <w:rFonts w:hint="eastAsia"/>
          <w:lang w:eastAsia="zh-CN"/>
        </w:rPr>
        <w:t>表3-</w:t>
      </w:r>
      <w:r>
        <w:rPr>
          <w:rFonts w:hint="eastAsia"/>
        </w:rPr>
        <w:t>2</w:t>
      </w:r>
      <w:r>
        <w:t xml:space="preserve">  </w:t>
      </w:r>
      <w:r>
        <w:rPr>
          <w:rFonts w:hint="eastAsia"/>
        </w:rPr>
        <w:t>100m</w:t>
      </w:r>
      <w:r>
        <w:t>高度风速风功率日变化统计表</w:t>
      </w:r>
    </w:p>
    <w:tbl>
      <w:tblPr>
        <w:tblStyle w:val="17"/>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3936"/>
        <w:gridCol w:w="389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80" w:type="pct"/>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时间</w:t>
            </w:r>
          </w:p>
        </w:tc>
        <w:tc>
          <w:tcPr>
            <w:tcW w:w="4319" w:type="pct"/>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10</w:t>
            </w:r>
            <w:r>
              <w:rPr>
                <w:rFonts w:cs="Times New Roman"/>
                <w:kern w:val="0"/>
                <w:sz w:val="24"/>
                <w:szCs w:val="24"/>
              </w:rPr>
              <w:t>0m</w:t>
            </w:r>
            <w:r>
              <w:rPr>
                <w:rFonts w:hint="eastAsia" w:cs="Times New Roman"/>
                <w:kern w:val="0"/>
                <w:sz w:val="24"/>
                <w:szCs w:val="24"/>
              </w:rPr>
              <w:t>高度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80" w:type="pct"/>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平均风速（m/s）</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风功率密度（W/m</w:t>
            </w:r>
            <w:r>
              <w:rPr>
                <w:rFonts w:cs="Times New Roman"/>
                <w:kern w:val="0"/>
                <w:sz w:val="24"/>
                <w:szCs w:val="24"/>
                <w:vertAlign w:val="superscript"/>
              </w:rPr>
              <w:t>2</w:t>
            </w:r>
            <w:r>
              <w:rPr>
                <w:rFonts w:cs="Times New Roman"/>
                <w:kern w:val="0"/>
                <w:sz w:val="24"/>
                <w:szCs w:val="24"/>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0</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6.38</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200.28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6.36</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196.32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2</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6.30</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192.64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3</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6.24</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189.13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4</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6.19</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186.58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5</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6.01</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171.62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6</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5.72</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149.50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7</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5.45</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135.65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8</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5.34</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136.12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9</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5.41</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152.96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10</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5.59</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174.95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11</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5.85</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196.92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12</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6.03</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218.16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13</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6.18</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237.77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14</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6.28</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254.20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15</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6.31</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259.79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16</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6.21</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249.20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17</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5.96</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219.61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18</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5.81</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192.83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19</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5.81</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183.27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20</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5.97</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189.47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21</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6.12</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196.50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22</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6.25</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199.63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23</w:t>
            </w:r>
          </w:p>
        </w:tc>
        <w:tc>
          <w:tcPr>
            <w:tcW w:w="217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6.36</w:t>
            </w:r>
          </w:p>
        </w:tc>
        <w:tc>
          <w:tcPr>
            <w:tcW w:w="2147"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202.32</w:t>
            </w:r>
          </w:p>
        </w:tc>
      </w:tr>
    </w:tbl>
    <w:p>
      <w:pPr>
        <w:keepNext w:val="0"/>
        <w:keepLines w:val="0"/>
        <w:pageBreakBefore w:val="0"/>
        <w:widowControl/>
        <w:kinsoku/>
        <w:wordWrap/>
        <w:overflowPunct/>
        <w:topLinePunct w:val="0"/>
        <w:autoSpaceDE/>
        <w:autoSpaceDN/>
        <w:bidi w:val="0"/>
        <w:adjustRightInd/>
        <w:snapToGrid w:val="0"/>
        <w:spacing w:before="120" w:after="120" w:line="240" w:lineRule="auto"/>
        <w:ind w:firstLine="0" w:firstLineChars="0"/>
        <w:jc w:val="center"/>
        <w:textAlignment w:val="auto"/>
        <w:rPr>
          <w:szCs w:val="21"/>
        </w:rPr>
      </w:pPr>
      <w:r>
        <w:drawing>
          <wp:inline distT="0" distB="0" distL="114300" distR="114300">
            <wp:extent cx="4587875" cy="2737485"/>
            <wp:effectExtent l="0" t="0" r="14605" b="5715"/>
            <wp:docPr id="25"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true"/>
                    </pic:cNvPicPr>
                  </pic:nvPicPr>
                  <pic:blipFill>
                    <a:blip r:embed="rId22"/>
                    <a:stretch>
                      <a:fillRect/>
                    </a:stretch>
                  </pic:blipFill>
                  <pic:spPr>
                    <a:xfrm>
                      <a:off x="0" y="0"/>
                      <a:ext cx="4587875" cy="2737485"/>
                    </a:xfrm>
                    <a:prstGeom prst="rect">
                      <a:avLst/>
                    </a:prstGeom>
                    <a:noFill/>
                    <a:ln>
                      <a:noFill/>
                    </a:ln>
                  </pic:spPr>
                </pic:pic>
              </a:graphicData>
            </a:graphic>
          </wp:inline>
        </w:drawing>
      </w:r>
    </w:p>
    <w:p>
      <w:pPr>
        <w:pStyle w:val="27"/>
        <w:bidi w:val="0"/>
      </w:pPr>
      <w:r>
        <w:rPr>
          <w:rFonts w:hint="eastAsia"/>
          <w:lang w:eastAsia="zh-CN"/>
        </w:rPr>
        <w:t>图3-</w:t>
      </w:r>
      <w:r>
        <w:rPr>
          <w:rFonts w:hint="eastAsia"/>
        </w:rPr>
        <w:t>4 100m高度风速及风功率密度日内变化曲线</w:t>
      </w:r>
    </w:p>
    <w:p>
      <w:pPr>
        <w:pageBreakBefore w:val="0"/>
        <w:wordWrap/>
        <w:topLinePunct w:val="0"/>
        <w:bidi w:val="0"/>
        <w:snapToGrid/>
        <w:spacing w:line="240" w:lineRule="auto"/>
        <w:rPr>
          <w:rFonts w:cs="方正仿宋_GB2312"/>
        </w:rPr>
      </w:pPr>
      <w:r>
        <w:rPr>
          <w:rFonts w:hint="eastAsia" w:cs="方正仿宋_GB2312"/>
        </w:rPr>
        <w:t>3）主风能和主风向</w:t>
      </w:r>
    </w:p>
    <w:p>
      <w:pPr>
        <w:pageBreakBefore w:val="0"/>
        <w:wordWrap/>
        <w:topLinePunct w:val="0"/>
        <w:bidi w:val="0"/>
        <w:snapToGrid/>
        <w:spacing w:line="240" w:lineRule="auto"/>
        <w:rPr>
          <w:rFonts w:cs="方正仿宋_GB2312"/>
        </w:rPr>
      </w:pPr>
      <w:r>
        <w:rPr>
          <w:rFonts w:hint="eastAsia" w:cs="方正仿宋_GB2312"/>
        </w:rPr>
        <w:t>100m高度的主风能为NW，次主风能为WNW；主风向为NW，次主风向为WNW。</w:t>
      </w:r>
    </w:p>
    <w:p>
      <w:pPr>
        <w:pStyle w:val="27"/>
        <w:bidi w:val="0"/>
      </w:pPr>
      <w:r>
        <w:rPr>
          <w:rFonts w:hint="eastAsia"/>
          <w:lang w:eastAsia="zh-CN"/>
        </w:rPr>
        <w:t>表3-</w:t>
      </w:r>
      <w:r>
        <w:rPr>
          <w:rFonts w:hint="eastAsia"/>
        </w:rPr>
        <w:t>3     风能频率统计表</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523"/>
        <w:gridCol w:w="3267"/>
        <w:gridCol w:w="326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392"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扇区</w:t>
            </w:r>
          </w:p>
        </w:tc>
        <w:tc>
          <w:tcPr>
            <w:tcW w:w="180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风向频率</w:t>
            </w:r>
          </w:p>
        </w:tc>
        <w:tc>
          <w:tcPr>
            <w:tcW w:w="180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风能频率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N</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4.64%</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2.67%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NNE</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3.20%</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NE</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2.47%</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0.86%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ENE</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2.54%</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0.68%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ENE</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2.02%</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0.56%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ESE</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1.88%</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0.53%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SE</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3.76%</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2.45%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SSE</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7.57%</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7.37%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S</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8.45%</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8.44%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SSW</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7.02%</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4.48%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SW</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6.33%</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3.68%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WSW</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7.37%</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6.43%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W</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10.20%</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13.91%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WNW</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11.30%</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18.38%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NW</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13.52%</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19.73%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NNW</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7.73%</w:t>
            </w:r>
          </w:p>
        </w:tc>
        <w:tc>
          <w:tcPr>
            <w:tcW w:w="1803" w:type="pct"/>
            <w:tcBorders>
              <w:tl2br w:val="nil"/>
              <w:tr2bl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7.90%</w:t>
            </w:r>
          </w:p>
        </w:tc>
      </w:tr>
    </w:tbl>
    <w:p>
      <w:pPr>
        <w:pageBreakBefore w:val="0"/>
        <w:wordWrap/>
        <w:topLinePunct w:val="0"/>
        <w:bidi w:val="0"/>
        <w:snapToGrid/>
        <w:spacing w:line="240" w:lineRule="auto"/>
        <w:ind w:firstLine="3" w:firstLineChars="1"/>
        <w:jc w:val="center"/>
        <w:rPr>
          <w:rFonts w:cs="Times New Roman"/>
          <w:sz w:val="21"/>
        </w:rPr>
      </w:pPr>
      <w:r>
        <w:drawing>
          <wp:inline distT="0" distB="0" distL="114300" distR="114300">
            <wp:extent cx="2157730" cy="2157730"/>
            <wp:effectExtent l="0" t="0" r="6350" b="6350"/>
            <wp:docPr id="26"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true"/>
                    </pic:cNvPicPr>
                  </pic:nvPicPr>
                  <pic:blipFill>
                    <a:blip r:embed="rId23"/>
                    <a:stretch>
                      <a:fillRect/>
                    </a:stretch>
                  </pic:blipFill>
                  <pic:spPr>
                    <a:xfrm>
                      <a:off x="0" y="0"/>
                      <a:ext cx="2157730" cy="2157730"/>
                    </a:xfrm>
                    <a:prstGeom prst="rect">
                      <a:avLst/>
                    </a:prstGeom>
                    <a:noFill/>
                    <a:ln>
                      <a:noFill/>
                    </a:ln>
                  </pic:spPr>
                </pic:pic>
              </a:graphicData>
            </a:graphic>
          </wp:inline>
        </w:drawing>
      </w:r>
      <w:r>
        <w:drawing>
          <wp:inline distT="0" distB="0" distL="114300" distR="114300">
            <wp:extent cx="2176145" cy="2170430"/>
            <wp:effectExtent l="0" t="0" r="3175" b="8890"/>
            <wp:docPr id="27"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true"/>
                    </pic:cNvPicPr>
                  </pic:nvPicPr>
                  <pic:blipFill>
                    <a:blip r:embed="rId24"/>
                    <a:stretch>
                      <a:fillRect/>
                    </a:stretch>
                  </pic:blipFill>
                  <pic:spPr>
                    <a:xfrm>
                      <a:off x="0" y="0"/>
                      <a:ext cx="2176145" cy="2170430"/>
                    </a:xfrm>
                    <a:prstGeom prst="rect">
                      <a:avLst/>
                    </a:prstGeom>
                    <a:noFill/>
                    <a:ln>
                      <a:noFill/>
                    </a:ln>
                  </pic:spPr>
                </pic:pic>
              </a:graphicData>
            </a:graphic>
          </wp:inline>
        </w:drawing>
      </w:r>
    </w:p>
    <w:p>
      <w:pPr>
        <w:pStyle w:val="27"/>
        <w:bidi w:val="0"/>
      </w:pPr>
      <w:r>
        <w:rPr>
          <w:rFonts w:hint="eastAsia"/>
          <w:lang w:eastAsia="zh-CN"/>
        </w:rPr>
        <w:t>图3-</w:t>
      </w:r>
      <w:r>
        <w:rPr>
          <w:rFonts w:hint="eastAsia"/>
        </w:rPr>
        <w:t>5    100m高度风能风向玫瑰图</w:t>
      </w:r>
    </w:p>
    <w:p>
      <w:pPr>
        <w:pageBreakBefore w:val="0"/>
        <w:wordWrap/>
        <w:topLinePunct w:val="0"/>
        <w:bidi w:val="0"/>
        <w:snapToGrid/>
        <w:spacing w:line="240" w:lineRule="auto"/>
      </w:pPr>
      <w:r>
        <w:rPr>
          <w:rFonts w:hint="eastAsia" w:cs="方正仿宋_GB2312"/>
        </w:rPr>
        <w:t>100m高度风速为6.01m/s，风功率密度为195W/</w:t>
      </w:r>
      <w:r>
        <w:rPr>
          <w:rFonts w:cs="Times New Roman"/>
        </w:rPr>
        <w:t>m²</w:t>
      </w:r>
      <w:r>
        <w:rPr>
          <w:rFonts w:hint="eastAsia" w:cs="方正仿宋_GB2312"/>
        </w:rPr>
        <w:t>，2-6月份风速及风功率密度较大，其他各月相对较小，主风能为NW，次主风能为WNW；主风向为NW，次主风向为WNW。该区域风能资源具有一定开发价值。</w:t>
      </w:r>
    </w:p>
    <w:p>
      <w:pPr>
        <w:pageBreakBefore w:val="0"/>
        <w:wordWrap/>
        <w:topLinePunct w:val="0"/>
        <w:bidi w:val="0"/>
        <w:snapToGrid/>
        <w:spacing w:line="240" w:lineRule="auto"/>
        <w:rPr>
          <w:rFonts w:cs="方正仿宋_GB2312"/>
        </w:rPr>
      </w:pPr>
      <w:r>
        <w:rPr>
          <w:rFonts w:hint="eastAsia" w:cs="Times New Roman"/>
        </w:rPr>
        <w:t>2、</w:t>
      </w:r>
      <w:r>
        <w:rPr>
          <w:rFonts w:hint="eastAsia" w:cs="方正仿宋_GB2312"/>
        </w:rPr>
        <w:t>太阳能资源概况</w:t>
      </w:r>
    </w:p>
    <w:p>
      <w:pPr>
        <w:pageBreakBefore w:val="0"/>
        <w:wordWrap/>
        <w:topLinePunct w:val="0"/>
        <w:bidi w:val="0"/>
        <w:snapToGrid/>
        <w:spacing w:line="240" w:lineRule="auto"/>
        <w:rPr>
          <w:rFonts w:cs="方正仿宋_GB2312"/>
        </w:rPr>
      </w:pPr>
      <w:r>
        <w:rPr>
          <w:rFonts w:hint="eastAsia" w:cs="方正仿宋_GB2312"/>
        </w:rPr>
        <w:t>（1）鄂尔多斯市太阳能资源概况</w:t>
      </w:r>
    </w:p>
    <w:p>
      <w:pPr>
        <w:pageBreakBefore w:val="0"/>
        <w:wordWrap/>
        <w:topLinePunct w:val="0"/>
        <w:bidi w:val="0"/>
        <w:snapToGrid/>
        <w:spacing w:line="240" w:lineRule="auto"/>
        <w:rPr>
          <w:rFonts w:cs="方正仿宋_GB2312"/>
        </w:rPr>
      </w:pPr>
      <w:r>
        <w:rPr>
          <w:rFonts w:hint="eastAsia" w:cs="方正仿宋_GB2312"/>
        </w:rPr>
        <w:t>鄂尔多斯市是内蒙古自治区仅次于阿拉善盟的太阳能资源丰富地区，年水平总辐射量在1388～1752kWh/m</w:t>
      </w:r>
      <w:r>
        <w:rPr>
          <w:rFonts w:hint="eastAsia" w:cs="方正仿宋_GB2312"/>
          <w:vertAlign w:val="superscript"/>
        </w:rPr>
        <w:t>2</w:t>
      </w:r>
      <w:r>
        <w:rPr>
          <w:rFonts w:hint="eastAsia" w:cs="方正仿宋_GB2312"/>
        </w:rPr>
        <w:t>之间，属于全国太阳能资源二类和三类地区，具备较大开发价值，主要的行政区域包括鄂托克前旗、伊金霍洛旗、康巴什区等。</w:t>
      </w:r>
    </w:p>
    <w:p>
      <w:pPr>
        <w:pageBreakBefore w:val="0"/>
        <w:wordWrap/>
        <w:topLinePunct w:val="0"/>
        <w:bidi w:val="0"/>
        <w:snapToGrid/>
        <w:spacing w:line="240" w:lineRule="auto"/>
        <w:ind w:firstLine="0" w:firstLineChars="0"/>
        <w:rPr>
          <w:rFonts w:cs="方正仿宋_GB2312"/>
          <w:color w:val="000000"/>
          <w:sz w:val="24"/>
          <w:szCs w:val="21"/>
        </w:rPr>
      </w:pPr>
      <w:r>
        <w:rPr>
          <w:rFonts w:hint="eastAsia" w:cs="方正仿宋_GB2312"/>
          <w:color w:val="000000"/>
          <w:sz w:val="24"/>
          <w:szCs w:val="21"/>
        </w:rPr>
        <w:drawing>
          <wp:inline distT="0" distB="0" distL="114300" distR="114300">
            <wp:extent cx="5273675" cy="3728720"/>
            <wp:effectExtent l="0" t="0" r="9525" b="5080"/>
            <wp:docPr id="20" name="图片 20" descr="02e887f9dba4aa6d86df9c22cd3580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20" descr="02e887f9dba4aa6d86df9c22cd3580e"/>
                    <pic:cNvPicPr>
                      <a:picLocks noChangeAspect="true"/>
                    </pic:cNvPicPr>
                  </pic:nvPicPr>
                  <pic:blipFill>
                    <a:blip r:embed="rId25"/>
                    <a:stretch>
                      <a:fillRect/>
                    </a:stretch>
                  </pic:blipFill>
                  <pic:spPr>
                    <a:xfrm>
                      <a:off x="0" y="0"/>
                      <a:ext cx="5273675" cy="3728720"/>
                    </a:xfrm>
                    <a:prstGeom prst="rect">
                      <a:avLst/>
                    </a:prstGeom>
                  </pic:spPr>
                </pic:pic>
              </a:graphicData>
            </a:graphic>
          </wp:inline>
        </w:drawing>
      </w:r>
    </w:p>
    <w:p>
      <w:pPr>
        <w:pStyle w:val="27"/>
        <w:bidi w:val="0"/>
      </w:pPr>
      <w:r>
        <w:rPr>
          <w:rFonts w:hint="eastAsia"/>
          <w:lang w:eastAsia="zh-CN"/>
        </w:rPr>
        <w:t>图3-</w:t>
      </w:r>
      <w:r>
        <w:rPr>
          <w:rFonts w:hint="eastAsia"/>
        </w:rPr>
        <w:t>6 鄂尔多斯市年水平总辐射量分布图</w:t>
      </w:r>
    </w:p>
    <w:p>
      <w:pPr>
        <w:pageBreakBefore w:val="0"/>
        <w:wordWrap/>
        <w:topLinePunct w:val="0"/>
        <w:bidi w:val="0"/>
        <w:snapToGrid/>
        <w:spacing w:line="240" w:lineRule="auto"/>
        <w:rPr>
          <w:rFonts w:cs="方正仿宋_GB2312"/>
        </w:rPr>
      </w:pPr>
      <w:r>
        <w:rPr>
          <w:rFonts w:hint="eastAsia" w:cs="方正仿宋_GB2312"/>
        </w:rPr>
        <w:t>2、康巴什区太阳能资源概况</w:t>
      </w:r>
    </w:p>
    <w:p>
      <w:pPr>
        <w:pageBreakBefore w:val="0"/>
        <w:wordWrap/>
        <w:topLinePunct w:val="0"/>
        <w:bidi w:val="0"/>
        <w:snapToGrid/>
        <w:spacing w:line="240" w:lineRule="auto"/>
        <w:rPr>
          <w:rFonts w:cs="Times New Roman"/>
        </w:rPr>
      </w:pPr>
      <w:r>
        <w:rPr>
          <w:rFonts w:hint="eastAsia" w:cs="方正仿宋_GB2312"/>
        </w:rPr>
        <w:t>康巴什区域内太阳能资源丰富，水平总辐射量整体呈现东低西高的趋势，但东西差距较小，年水平总辐射量在1610～1683kWh/m</w:t>
      </w:r>
      <w:r>
        <w:rPr>
          <w:rFonts w:hint="eastAsia" w:cs="方正仿宋_GB2312"/>
          <w:vertAlign w:val="superscript"/>
        </w:rPr>
        <w:t>2</w:t>
      </w:r>
      <w:r>
        <w:rPr>
          <w:rFonts w:hint="eastAsia" w:cs="方正仿宋_GB2312"/>
        </w:rPr>
        <w:t>之间，属于很丰富区（B类区域），具备较大开发价值</w:t>
      </w:r>
      <w:r>
        <w:rPr>
          <w:rFonts w:hint="eastAsia" w:cs="Times New Roman"/>
        </w:rPr>
        <w:t>。</w:t>
      </w:r>
    </w:p>
    <w:p>
      <w:pPr>
        <w:pStyle w:val="39"/>
        <w:bidi w:val="0"/>
      </w:pPr>
      <w:r>
        <w:drawing>
          <wp:inline distT="0" distB="0" distL="114300" distR="114300">
            <wp:extent cx="5273675" cy="3190875"/>
            <wp:effectExtent l="0" t="0" r="14605" b="9525"/>
            <wp:docPr id="10" name="图片 10" descr="53c90827d3cfeec9b44864ced8c1f0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descr="53c90827d3cfeec9b44864ced8c1f05"/>
                    <pic:cNvPicPr>
                      <a:picLocks noChangeAspect="true"/>
                    </pic:cNvPicPr>
                  </pic:nvPicPr>
                  <pic:blipFill>
                    <a:blip r:embed="rId26"/>
                    <a:srcRect t="14424"/>
                    <a:stretch>
                      <a:fillRect/>
                    </a:stretch>
                  </pic:blipFill>
                  <pic:spPr>
                    <a:xfrm>
                      <a:off x="0" y="0"/>
                      <a:ext cx="5273675" cy="3190875"/>
                    </a:xfrm>
                    <a:prstGeom prst="rect">
                      <a:avLst/>
                    </a:prstGeom>
                  </pic:spPr>
                </pic:pic>
              </a:graphicData>
            </a:graphic>
          </wp:inline>
        </w:drawing>
      </w:r>
    </w:p>
    <w:p>
      <w:pPr>
        <w:pStyle w:val="27"/>
        <w:bidi w:val="0"/>
      </w:pPr>
      <w:r>
        <w:rPr>
          <w:rFonts w:hint="eastAsia"/>
          <w:lang w:eastAsia="zh-CN"/>
        </w:rPr>
        <w:t>图3-</w:t>
      </w:r>
      <w:r>
        <w:rPr>
          <w:rFonts w:hint="eastAsia"/>
        </w:rPr>
        <w:t>7 康巴什区年水平总辐射量分布图</w:t>
      </w:r>
    </w:p>
    <w:p>
      <w:pPr>
        <w:pageBreakBefore w:val="0"/>
        <w:numPr>
          <w:ilvl w:val="0"/>
          <w:numId w:val="1"/>
        </w:numPr>
        <w:wordWrap/>
        <w:topLinePunct w:val="0"/>
        <w:bidi w:val="0"/>
        <w:snapToGrid/>
        <w:spacing w:line="240" w:lineRule="auto"/>
        <w:rPr>
          <w:rFonts w:cs="方正仿宋_GB2312"/>
        </w:rPr>
      </w:pPr>
      <w:r>
        <w:rPr>
          <w:rFonts w:hint="eastAsia" w:cs="方正仿宋_GB2312"/>
        </w:rPr>
        <w:t>太阳能资源年变化特征及稳定度等级</w:t>
      </w:r>
    </w:p>
    <w:p>
      <w:pPr>
        <w:pageBreakBefore w:val="0"/>
        <w:wordWrap/>
        <w:topLinePunct w:val="0"/>
        <w:bidi w:val="0"/>
        <w:snapToGrid/>
        <w:spacing w:line="240" w:lineRule="auto"/>
        <w:rPr>
          <w:rFonts w:cs="方正仿宋_GB2312"/>
        </w:rPr>
      </w:pPr>
      <w:r>
        <w:rPr>
          <w:rFonts w:hint="eastAsia" w:cs="方正仿宋_GB2312"/>
        </w:rPr>
        <w:t>（1）年内分布</w:t>
      </w:r>
    </w:p>
    <w:p>
      <w:pPr>
        <w:pageBreakBefore w:val="0"/>
        <w:wordWrap/>
        <w:topLinePunct w:val="0"/>
        <w:bidi w:val="0"/>
        <w:snapToGrid/>
        <w:spacing w:line="240" w:lineRule="auto"/>
        <w:rPr>
          <w:rFonts w:cs="方正仿宋_GB2312"/>
          <w:lang w:val="en-AU"/>
        </w:rPr>
      </w:pPr>
      <w:r>
        <w:rPr>
          <w:rFonts w:hint="eastAsia" w:cs="方正仿宋_GB2312"/>
          <w:lang w:val="en-AU"/>
        </w:rPr>
        <w:t>根据Solargis数据库，</w:t>
      </w:r>
      <w:r>
        <w:rPr>
          <w:rFonts w:hint="eastAsia" w:cs="方正仿宋_GB2312"/>
        </w:rPr>
        <w:t>康巴什区</w:t>
      </w:r>
      <w:r>
        <w:rPr>
          <w:rFonts w:hint="eastAsia" w:cs="方正仿宋_GB2312"/>
          <w:lang w:val="en-AU"/>
        </w:rPr>
        <w:t>多年平均年水平面总辐射量为5691MJ/m</w:t>
      </w:r>
      <w:r>
        <w:rPr>
          <w:rFonts w:hint="eastAsia" w:cs="方正仿宋_GB2312"/>
          <w:vertAlign w:val="superscript"/>
          <w:lang w:val="en-AU"/>
        </w:rPr>
        <w:t>2</w:t>
      </w:r>
      <w:r>
        <w:rPr>
          <w:rFonts w:hint="eastAsia" w:cs="方正仿宋_GB2312"/>
          <w:lang w:val="en-AU"/>
        </w:rPr>
        <w:t>，根据《太阳能资源评估方法》，场址区域年水平面总辐射量为B级（很丰富）。</w:t>
      </w:r>
    </w:p>
    <w:p>
      <w:pPr>
        <w:pageBreakBefore w:val="0"/>
        <w:wordWrap/>
        <w:topLinePunct w:val="0"/>
        <w:bidi w:val="0"/>
        <w:snapToGrid/>
        <w:spacing w:line="240" w:lineRule="auto"/>
        <w:rPr>
          <w:rFonts w:cs="方正仿宋_GB2312"/>
          <w:lang w:val="en-AU"/>
        </w:rPr>
      </w:pPr>
      <w:r>
        <w:rPr>
          <w:rFonts w:hint="eastAsia" w:cs="方正仿宋_GB2312"/>
          <w:lang w:val="en-AU"/>
        </w:rPr>
        <w:t>根据各月辐射量分析，本项目辐射量3月～9月份较强，10月～翌年2月较弱。即春夏季辐射强，秋冬季辐射弱。</w:t>
      </w:r>
    </w:p>
    <w:p>
      <w:pPr>
        <w:pStyle w:val="27"/>
        <w:bidi w:val="0"/>
        <w:jc w:val="right"/>
        <w:rPr>
          <w:lang w:val="en-AU"/>
        </w:rPr>
      </w:pPr>
      <w:r>
        <w:rPr>
          <w:rFonts w:hint="eastAsia"/>
          <w:lang w:val="en-AU" w:eastAsia="zh-CN"/>
        </w:rPr>
        <w:t>表3-</w:t>
      </w:r>
      <w:r>
        <w:rPr>
          <w:rFonts w:hint="eastAsia"/>
        </w:rPr>
        <w:t>4</w:t>
      </w:r>
      <w:r>
        <w:rPr>
          <w:lang w:val="en-AU"/>
        </w:rPr>
        <w:t xml:space="preserve">  Solargis多年平均辐射量           单位：MJ/m</w:t>
      </w:r>
      <w:r>
        <w:rPr>
          <w:vertAlign w:val="superscript"/>
          <w:lang w:val="en-AU"/>
        </w:rPr>
        <w:t>2</w:t>
      </w:r>
    </w:p>
    <w:tbl>
      <w:tblPr>
        <w:tblStyle w:val="1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641"/>
        <w:gridCol w:w="643"/>
        <w:gridCol w:w="643"/>
        <w:gridCol w:w="643"/>
        <w:gridCol w:w="643"/>
        <w:gridCol w:w="643"/>
        <w:gridCol w:w="644"/>
        <w:gridCol w:w="644"/>
        <w:gridCol w:w="644"/>
        <w:gridCol w:w="670"/>
        <w:gridCol w:w="671"/>
        <w:gridCol w:w="653"/>
        <w:gridCol w:w="68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2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月份</w:t>
            </w:r>
          </w:p>
        </w:tc>
        <w:tc>
          <w:tcPr>
            <w:tcW w:w="3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4</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8</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9</w:t>
            </w:r>
          </w:p>
        </w:tc>
        <w:tc>
          <w:tcPr>
            <w:tcW w:w="3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10</w:t>
            </w:r>
          </w:p>
        </w:tc>
        <w:tc>
          <w:tcPr>
            <w:tcW w:w="3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11</w:t>
            </w:r>
          </w:p>
        </w:tc>
        <w:tc>
          <w:tcPr>
            <w:tcW w:w="3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12</w:t>
            </w:r>
          </w:p>
        </w:tc>
        <w:tc>
          <w:tcPr>
            <w:tcW w:w="37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合计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2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辐射量</w:t>
            </w:r>
          </w:p>
        </w:tc>
        <w:tc>
          <w:tcPr>
            <w:tcW w:w="3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280</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353</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523</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596</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666</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641</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631</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599</w:t>
            </w:r>
          </w:p>
        </w:tc>
        <w:tc>
          <w:tcPr>
            <w:tcW w:w="3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501</w:t>
            </w:r>
          </w:p>
        </w:tc>
        <w:tc>
          <w:tcPr>
            <w:tcW w:w="3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398</w:t>
            </w:r>
          </w:p>
        </w:tc>
        <w:tc>
          <w:tcPr>
            <w:tcW w:w="3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264</w:t>
            </w:r>
          </w:p>
        </w:tc>
        <w:tc>
          <w:tcPr>
            <w:tcW w:w="3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238</w:t>
            </w:r>
          </w:p>
        </w:tc>
        <w:tc>
          <w:tcPr>
            <w:tcW w:w="37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5691</w:t>
            </w:r>
          </w:p>
        </w:tc>
      </w:tr>
    </w:tbl>
    <w:p>
      <w:pPr>
        <w:pStyle w:val="39"/>
        <w:bidi w:val="0"/>
      </w:pPr>
      <w:r>
        <w:drawing>
          <wp:inline distT="0" distB="0" distL="114300" distR="114300">
            <wp:extent cx="4445635" cy="2302510"/>
            <wp:effectExtent l="4445" t="4445" r="15240" b="9525"/>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pStyle w:val="27"/>
        <w:bidi w:val="0"/>
        <w:rPr>
          <w:lang w:val="en-AU"/>
        </w:rPr>
      </w:pPr>
      <w:r>
        <w:rPr>
          <w:rFonts w:hint="eastAsia"/>
          <w:lang w:val="en-AU" w:eastAsia="zh-CN"/>
        </w:rPr>
        <w:t>图3-</w:t>
      </w:r>
      <w:r>
        <w:rPr>
          <w:rFonts w:hint="eastAsia"/>
        </w:rPr>
        <w:t>8</w:t>
      </w:r>
      <w:r>
        <w:rPr>
          <w:rFonts w:hint="eastAsia"/>
          <w:lang w:val="en-AU"/>
        </w:rPr>
        <w:t xml:space="preserve">  各月辐射量分布图</w:t>
      </w:r>
    </w:p>
    <w:p>
      <w:pPr>
        <w:pageBreakBefore w:val="0"/>
        <w:wordWrap/>
        <w:topLinePunct w:val="0"/>
        <w:bidi w:val="0"/>
        <w:snapToGrid/>
        <w:spacing w:line="240" w:lineRule="auto"/>
        <w:rPr>
          <w:rFonts w:cs="方正仿宋_GB2312"/>
        </w:rPr>
      </w:pPr>
      <w:r>
        <w:rPr>
          <w:rFonts w:hint="eastAsia" w:cs="方正仿宋_GB2312"/>
        </w:rPr>
        <w:t>光伏电站区域多年平均日照时间为2898h，其中6月日照时间最长289h，2月日照时间最短203h，场址所在位置日照时数变化如下表所示。</w:t>
      </w:r>
    </w:p>
    <w:p>
      <w:pPr>
        <w:pStyle w:val="27"/>
        <w:bidi w:val="0"/>
        <w:jc w:val="right"/>
      </w:pPr>
      <w:r>
        <w:rPr>
          <w:rFonts w:hint="eastAsia"/>
          <w:lang w:val="en-AU" w:eastAsia="zh-CN"/>
        </w:rPr>
        <w:t>表3-</w:t>
      </w:r>
      <w:r>
        <w:rPr>
          <w:rFonts w:hint="eastAsia"/>
        </w:rPr>
        <w:t>5</w:t>
      </w:r>
      <w:r>
        <w:rPr>
          <w:lang w:val="en-AU"/>
        </w:rPr>
        <w:t xml:space="preserve"> </w:t>
      </w:r>
      <w:r>
        <w:rPr>
          <w:rFonts w:hint="eastAsia"/>
          <w:lang w:val="en-AU"/>
        </w:rPr>
        <w:t>光伏电站逐月日照时数统计表</w:t>
      </w:r>
      <w:r>
        <w:t xml:space="preserve">        单位：</w:t>
      </w:r>
      <w:r>
        <w:rPr>
          <w:rFonts w:hint="eastAsia"/>
        </w:rPr>
        <w:t>小时</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851"/>
        <w:gridCol w:w="718"/>
        <w:gridCol w:w="615"/>
        <w:gridCol w:w="615"/>
        <w:gridCol w:w="615"/>
        <w:gridCol w:w="615"/>
        <w:gridCol w:w="615"/>
        <w:gridCol w:w="615"/>
        <w:gridCol w:w="615"/>
        <w:gridCol w:w="615"/>
        <w:gridCol w:w="615"/>
        <w:gridCol w:w="615"/>
        <w:gridCol w:w="615"/>
        <w:gridCol w:w="727"/>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469" w:type="pct"/>
            <w:tcBorders>
              <w:tl2br w:val="nil"/>
              <w:tr2bl w:val="nil"/>
            </w:tcBorders>
            <w:shd w:val="clear" w:color="auto" w:fill="auto"/>
            <w:vAlign w:val="center"/>
          </w:tcPr>
          <w:p>
            <w:pPr>
              <w:pStyle w:val="39"/>
              <w:bidi w:val="0"/>
              <w:rPr>
                <w:lang w:val="en-AU"/>
              </w:rPr>
            </w:pPr>
            <w:r>
              <w:rPr>
                <w:rFonts w:hint="eastAsia"/>
                <w:lang w:val="en-AU"/>
              </w:rPr>
              <w:t>月</w:t>
            </w:r>
          </w:p>
        </w:tc>
        <w:tc>
          <w:tcPr>
            <w:tcW w:w="396" w:type="pct"/>
            <w:tcBorders>
              <w:tl2br w:val="nil"/>
              <w:tr2bl w:val="nil"/>
            </w:tcBorders>
            <w:shd w:val="clear" w:color="auto" w:fill="auto"/>
            <w:vAlign w:val="center"/>
          </w:tcPr>
          <w:p>
            <w:pPr>
              <w:pStyle w:val="39"/>
              <w:bidi w:val="0"/>
              <w:rPr>
                <w:lang w:val="en-AU"/>
              </w:rPr>
            </w:pPr>
            <w:r>
              <w:rPr>
                <w:rFonts w:hint="eastAsia"/>
                <w:lang w:val="en-AU"/>
              </w:rPr>
              <w:t>1</w:t>
            </w:r>
          </w:p>
        </w:tc>
        <w:tc>
          <w:tcPr>
            <w:tcW w:w="339" w:type="pct"/>
            <w:tcBorders>
              <w:tl2br w:val="nil"/>
              <w:tr2bl w:val="nil"/>
            </w:tcBorders>
            <w:shd w:val="clear" w:color="auto" w:fill="auto"/>
            <w:vAlign w:val="center"/>
          </w:tcPr>
          <w:p>
            <w:pPr>
              <w:pStyle w:val="39"/>
              <w:bidi w:val="0"/>
              <w:rPr>
                <w:lang w:val="en-AU"/>
              </w:rPr>
            </w:pPr>
            <w:r>
              <w:rPr>
                <w:rFonts w:hint="eastAsia"/>
                <w:lang w:val="en-AU"/>
              </w:rPr>
              <w:t>2</w:t>
            </w:r>
          </w:p>
        </w:tc>
        <w:tc>
          <w:tcPr>
            <w:tcW w:w="339" w:type="pct"/>
            <w:tcBorders>
              <w:tl2br w:val="nil"/>
              <w:tr2bl w:val="nil"/>
            </w:tcBorders>
            <w:shd w:val="clear" w:color="auto" w:fill="auto"/>
            <w:vAlign w:val="center"/>
          </w:tcPr>
          <w:p>
            <w:pPr>
              <w:pStyle w:val="39"/>
              <w:bidi w:val="0"/>
              <w:rPr>
                <w:lang w:val="en-AU"/>
              </w:rPr>
            </w:pPr>
            <w:r>
              <w:rPr>
                <w:rFonts w:hint="eastAsia"/>
                <w:lang w:val="en-AU"/>
              </w:rPr>
              <w:t>3</w:t>
            </w:r>
          </w:p>
        </w:tc>
        <w:tc>
          <w:tcPr>
            <w:tcW w:w="339" w:type="pct"/>
            <w:tcBorders>
              <w:tl2br w:val="nil"/>
              <w:tr2bl w:val="nil"/>
            </w:tcBorders>
            <w:shd w:val="clear" w:color="auto" w:fill="auto"/>
            <w:vAlign w:val="center"/>
          </w:tcPr>
          <w:p>
            <w:pPr>
              <w:pStyle w:val="39"/>
              <w:bidi w:val="0"/>
              <w:rPr>
                <w:lang w:val="en-AU"/>
              </w:rPr>
            </w:pPr>
            <w:r>
              <w:rPr>
                <w:rFonts w:hint="eastAsia"/>
                <w:lang w:val="en-AU"/>
              </w:rPr>
              <w:t>4</w:t>
            </w:r>
          </w:p>
        </w:tc>
        <w:tc>
          <w:tcPr>
            <w:tcW w:w="339" w:type="pct"/>
            <w:tcBorders>
              <w:tl2br w:val="nil"/>
              <w:tr2bl w:val="nil"/>
            </w:tcBorders>
            <w:shd w:val="clear" w:color="auto" w:fill="auto"/>
            <w:vAlign w:val="center"/>
          </w:tcPr>
          <w:p>
            <w:pPr>
              <w:pStyle w:val="39"/>
              <w:bidi w:val="0"/>
              <w:rPr>
                <w:lang w:val="en-AU"/>
              </w:rPr>
            </w:pPr>
            <w:r>
              <w:rPr>
                <w:rFonts w:hint="eastAsia"/>
                <w:lang w:val="en-AU"/>
              </w:rPr>
              <w:t>5</w:t>
            </w:r>
          </w:p>
        </w:tc>
        <w:tc>
          <w:tcPr>
            <w:tcW w:w="339" w:type="pct"/>
            <w:tcBorders>
              <w:tl2br w:val="nil"/>
              <w:tr2bl w:val="nil"/>
            </w:tcBorders>
            <w:shd w:val="clear" w:color="auto" w:fill="auto"/>
            <w:vAlign w:val="center"/>
          </w:tcPr>
          <w:p>
            <w:pPr>
              <w:pStyle w:val="39"/>
              <w:bidi w:val="0"/>
              <w:rPr>
                <w:lang w:val="en-AU"/>
              </w:rPr>
            </w:pPr>
            <w:r>
              <w:rPr>
                <w:rFonts w:hint="eastAsia"/>
                <w:lang w:val="en-AU"/>
              </w:rPr>
              <w:t>6</w:t>
            </w:r>
          </w:p>
        </w:tc>
        <w:tc>
          <w:tcPr>
            <w:tcW w:w="339" w:type="pct"/>
            <w:tcBorders>
              <w:tl2br w:val="nil"/>
              <w:tr2bl w:val="nil"/>
            </w:tcBorders>
            <w:shd w:val="clear" w:color="auto" w:fill="auto"/>
            <w:vAlign w:val="center"/>
          </w:tcPr>
          <w:p>
            <w:pPr>
              <w:pStyle w:val="39"/>
              <w:bidi w:val="0"/>
              <w:rPr>
                <w:lang w:val="en-AU"/>
              </w:rPr>
            </w:pPr>
            <w:r>
              <w:rPr>
                <w:rFonts w:hint="eastAsia"/>
                <w:lang w:val="en-AU"/>
              </w:rPr>
              <w:t>7</w:t>
            </w:r>
          </w:p>
        </w:tc>
        <w:tc>
          <w:tcPr>
            <w:tcW w:w="339" w:type="pct"/>
            <w:tcBorders>
              <w:tl2br w:val="nil"/>
              <w:tr2bl w:val="nil"/>
            </w:tcBorders>
            <w:shd w:val="clear" w:color="auto" w:fill="auto"/>
            <w:vAlign w:val="center"/>
          </w:tcPr>
          <w:p>
            <w:pPr>
              <w:pStyle w:val="39"/>
              <w:bidi w:val="0"/>
              <w:rPr>
                <w:lang w:val="en-AU"/>
              </w:rPr>
            </w:pPr>
            <w:r>
              <w:rPr>
                <w:rFonts w:hint="eastAsia"/>
                <w:lang w:val="en-AU"/>
              </w:rPr>
              <w:t>8</w:t>
            </w:r>
          </w:p>
        </w:tc>
        <w:tc>
          <w:tcPr>
            <w:tcW w:w="339" w:type="pct"/>
            <w:tcBorders>
              <w:tl2br w:val="nil"/>
              <w:tr2bl w:val="nil"/>
            </w:tcBorders>
            <w:shd w:val="clear" w:color="auto" w:fill="auto"/>
            <w:vAlign w:val="center"/>
          </w:tcPr>
          <w:p>
            <w:pPr>
              <w:pStyle w:val="39"/>
              <w:bidi w:val="0"/>
              <w:rPr>
                <w:lang w:val="en-AU"/>
              </w:rPr>
            </w:pPr>
            <w:r>
              <w:rPr>
                <w:rFonts w:hint="eastAsia"/>
                <w:lang w:val="en-AU"/>
              </w:rPr>
              <w:t>9</w:t>
            </w:r>
          </w:p>
        </w:tc>
        <w:tc>
          <w:tcPr>
            <w:tcW w:w="339" w:type="pct"/>
            <w:tcBorders>
              <w:tl2br w:val="nil"/>
              <w:tr2bl w:val="nil"/>
            </w:tcBorders>
            <w:shd w:val="clear" w:color="auto" w:fill="auto"/>
            <w:vAlign w:val="center"/>
          </w:tcPr>
          <w:p>
            <w:pPr>
              <w:pStyle w:val="39"/>
              <w:bidi w:val="0"/>
              <w:rPr>
                <w:lang w:val="en-AU"/>
              </w:rPr>
            </w:pPr>
            <w:r>
              <w:rPr>
                <w:rFonts w:hint="eastAsia"/>
                <w:lang w:val="en-AU"/>
              </w:rPr>
              <w:t>10</w:t>
            </w:r>
          </w:p>
        </w:tc>
        <w:tc>
          <w:tcPr>
            <w:tcW w:w="339" w:type="pct"/>
            <w:tcBorders>
              <w:tl2br w:val="nil"/>
              <w:tr2bl w:val="nil"/>
            </w:tcBorders>
            <w:shd w:val="clear" w:color="auto" w:fill="auto"/>
            <w:vAlign w:val="center"/>
          </w:tcPr>
          <w:p>
            <w:pPr>
              <w:pStyle w:val="39"/>
              <w:bidi w:val="0"/>
              <w:rPr>
                <w:lang w:val="en-AU"/>
              </w:rPr>
            </w:pPr>
            <w:r>
              <w:rPr>
                <w:rFonts w:hint="eastAsia"/>
                <w:lang w:val="en-AU"/>
              </w:rPr>
              <w:t>11</w:t>
            </w:r>
          </w:p>
        </w:tc>
        <w:tc>
          <w:tcPr>
            <w:tcW w:w="339" w:type="pct"/>
            <w:tcBorders>
              <w:tl2br w:val="nil"/>
              <w:tr2bl w:val="nil"/>
            </w:tcBorders>
            <w:shd w:val="clear" w:color="auto" w:fill="auto"/>
            <w:vAlign w:val="center"/>
          </w:tcPr>
          <w:p>
            <w:pPr>
              <w:pStyle w:val="39"/>
              <w:bidi w:val="0"/>
              <w:rPr>
                <w:lang w:val="en-AU"/>
              </w:rPr>
            </w:pPr>
            <w:r>
              <w:rPr>
                <w:rFonts w:hint="eastAsia"/>
                <w:lang w:val="en-AU"/>
              </w:rPr>
              <w:t>12</w:t>
            </w:r>
          </w:p>
        </w:tc>
        <w:tc>
          <w:tcPr>
            <w:tcW w:w="401" w:type="pct"/>
            <w:tcBorders>
              <w:tl2br w:val="nil"/>
              <w:tr2bl w:val="nil"/>
            </w:tcBorders>
            <w:shd w:val="clear" w:color="auto" w:fill="auto"/>
            <w:vAlign w:val="center"/>
          </w:tcPr>
          <w:p>
            <w:pPr>
              <w:pStyle w:val="39"/>
              <w:bidi w:val="0"/>
              <w:rPr>
                <w:lang w:val="en-AU"/>
              </w:rPr>
            </w:pPr>
            <w:r>
              <w:rPr>
                <w:rFonts w:hint="eastAsia"/>
                <w:lang w:val="en-AU"/>
              </w:rPr>
              <w:t>全年</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24" w:hRule="atLeast"/>
          <w:jc w:val="center"/>
        </w:trPr>
        <w:tc>
          <w:tcPr>
            <w:tcW w:w="469" w:type="pct"/>
            <w:tcBorders>
              <w:tl2br w:val="nil"/>
              <w:tr2bl w:val="nil"/>
            </w:tcBorders>
            <w:shd w:val="clear" w:color="auto" w:fill="auto"/>
            <w:vAlign w:val="center"/>
          </w:tcPr>
          <w:p>
            <w:pPr>
              <w:pStyle w:val="39"/>
              <w:bidi w:val="0"/>
              <w:rPr>
                <w:lang w:val="en-AU"/>
              </w:rPr>
            </w:pPr>
            <w:r>
              <w:rPr>
                <w:rFonts w:hint="eastAsia"/>
                <w:lang w:val="en-AU"/>
              </w:rPr>
              <w:t>日照时间</w:t>
            </w:r>
          </w:p>
        </w:tc>
        <w:tc>
          <w:tcPr>
            <w:tcW w:w="396" w:type="pct"/>
            <w:tcBorders>
              <w:tl2br w:val="nil"/>
              <w:tr2bl w:val="nil"/>
            </w:tcBorders>
            <w:shd w:val="clear" w:color="auto" w:fill="auto"/>
            <w:vAlign w:val="center"/>
          </w:tcPr>
          <w:p>
            <w:pPr>
              <w:pStyle w:val="39"/>
              <w:bidi w:val="0"/>
              <w:rPr>
                <w:lang w:val="en-AU"/>
              </w:rPr>
            </w:pPr>
            <w:r>
              <w:rPr>
                <w:rFonts w:hint="eastAsia"/>
                <w:lang w:val="en-AU"/>
              </w:rPr>
              <w:t>210</w:t>
            </w:r>
          </w:p>
        </w:tc>
        <w:tc>
          <w:tcPr>
            <w:tcW w:w="339" w:type="pct"/>
            <w:tcBorders>
              <w:tl2br w:val="nil"/>
              <w:tr2bl w:val="nil"/>
            </w:tcBorders>
            <w:shd w:val="clear" w:color="auto" w:fill="auto"/>
            <w:vAlign w:val="center"/>
          </w:tcPr>
          <w:p>
            <w:pPr>
              <w:pStyle w:val="39"/>
              <w:bidi w:val="0"/>
              <w:rPr>
                <w:lang w:val="en-AU"/>
              </w:rPr>
            </w:pPr>
            <w:r>
              <w:rPr>
                <w:rFonts w:hint="eastAsia"/>
                <w:lang w:val="en-AU"/>
              </w:rPr>
              <w:t>203</w:t>
            </w:r>
          </w:p>
        </w:tc>
        <w:tc>
          <w:tcPr>
            <w:tcW w:w="339" w:type="pct"/>
            <w:tcBorders>
              <w:tl2br w:val="nil"/>
              <w:tr2bl w:val="nil"/>
            </w:tcBorders>
            <w:shd w:val="clear" w:color="auto" w:fill="auto"/>
            <w:vAlign w:val="center"/>
          </w:tcPr>
          <w:p>
            <w:pPr>
              <w:pStyle w:val="39"/>
              <w:bidi w:val="0"/>
              <w:rPr>
                <w:lang w:val="en-AU"/>
              </w:rPr>
            </w:pPr>
            <w:r>
              <w:rPr>
                <w:rFonts w:hint="eastAsia"/>
                <w:lang w:val="en-AU"/>
              </w:rPr>
              <w:t>238</w:t>
            </w:r>
          </w:p>
        </w:tc>
        <w:tc>
          <w:tcPr>
            <w:tcW w:w="339" w:type="pct"/>
            <w:tcBorders>
              <w:tl2br w:val="nil"/>
              <w:tr2bl w:val="nil"/>
            </w:tcBorders>
            <w:shd w:val="clear" w:color="auto" w:fill="auto"/>
            <w:vAlign w:val="center"/>
          </w:tcPr>
          <w:p>
            <w:pPr>
              <w:pStyle w:val="39"/>
              <w:bidi w:val="0"/>
              <w:rPr>
                <w:lang w:val="en-AU"/>
              </w:rPr>
            </w:pPr>
            <w:r>
              <w:rPr>
                <w:rFonts w:hint="eastAsia"/>
                <w:lang w:val="en-AU"/>
              </w:rPr>
              <w:t>247</w:t>
            </w:r>
          </w:p>
        </w:tc>
        <w:tc>
          <w:tcPr>
            <w:tcW w:w="339" w:type="pct"/>
            <w:tcBorders>
              <w:tl2br w:val="nil"/>
              <w:tr2bl w:val="nil"/>
            </w:tcBorders>
            <w:shd w:val="clear" w:color="auto" w:fill="auto"/>
            <w:vAlign w:val="center"/>
          </w:tcPr>
          <w:p>
            <w:pPr>
              <w:pStyle w:val="39"/>
              <w:bidi w:val="0"/>
              <w:rPr>
                <w:lang w:val="en-AU"/>
              </w:rPr>
            </w:pPr>
            <w:r>
              <w:rPr>
                <w:rFonts w:hint="eastAsia"/>
                <w:lang w:val="en-AU"/>
              </w:rPr>
              <w:t>285</w:t>
            </w:r>
          </w:p>
        </w:tc>
        <w:tc>
          <w:tcPr>
            <w:tcW w:w="339" w:type="pct"/>
            <w:tcBorders>
              <w:tl2br w:val="nil"/>
              <w:tr2bl w:val="nil"/>
            </w:tcBorders>
            <w:shd w:val="clear" w:color="auto" w:fill="auto"/>
            <w:vAlign w:val="center"/>
          </w:tcPr>
          <w:p>
            <w:pPr>
              <w:pStyle w:val="39"/>
              <w:bidi w:val="0"/>
              <w:rPr>
                <w:lang w:val="en-AU"/>
              </w:rPr>
            </w:pPr>
            <w:r>
              <w:rPr>
                <w:rFonts w:hint="eastAsia"/>
                <w:lang w:val="en-AU"/>
              </w:rPr>
              <w:t>289</w:t>
            </w:r>
          </w:p>
        </w:tc>
        <w:tc>
          <w:tcPr>
            <w:tcW w:w="339" w:type="pct"/>
            <w:tcBorders>
              <w:tl2br w:val="nil"/>
              <w:tr2bl w:val="nil"/>
            </w:tcBorders>
            <w:shd w:val="clear" w:color="auto" w:fill="auto"/>
            <w:vAlign w:val="center"/>
          </w:tcPr>
          <w:p>
            <w:pPr>
              <w:pStyle w:val="39"/>
              <w:bidi w:val="0"/>
              <w:rPr>
                <w:lang w:val="en-AU"/>
              </w:rPr>
            </w:pPr>
            <w:r>
              <w:rPr>
                <w:rFonts w:hint="eastAsia"/>
                <w:lang w:val="en-AU"/>
              </w:rPr>
              <w:t>276</w:t>
            </w:r>
          </w:p>
        </w:tc>
        <w:tc>
          <w:tcPr>
            <w:tcW w:w="339" w:type="pct"/>
            <w:tcBorders>
              <w:tl2br w:val="nil"/>
              <w:tr2bl w:val="nil"/>
            </w:tcBorders>
            <w:shd w:val="clear" w:color="auto" w:fill="auto"/>
            <w:vAlign w:val="center"/>
          </w:tcPr>
          <w:p>
            <w:pPr>
              <w:pStyle w:val="39"/>
              <w:bidi w:val="0"/>
              <w:rPr>
                <w:lang w:val="en-AU"/>
              </w:rPr>
            </w:pPr>
            <w:r>
              <w:rPr>
                <w:rFonts w:hint="eastAsia"/>
                <w:lang w:val="en-AU"/>
              </w:rPr>
              <w:t>265</w:t>
            </w:r>
          </w:p>
        </w:tc>
        <w:tc>
          <w:tcPr>
            <w:tcW w:w="339" w:type="pct"/>
            <w:tcBorders>
              <w:tl2br w:val="nil"/>
              <w:tr2bl w:val="nil"/>
            </w:tcBorders>
            <w:shd w:val="clear" w:color="auto" w:fill="auto"/>
            <w:vAlign w:val="center"/>
          </w:tcPr>
          <w:p>
            <w:pPr>
              <w:pStyle w:val="39"/>
              <w:bidi w:val="0"/>
              <w:rPr>
                <w:lang w:val="en-AU"/>
              </w:rPr>
            </w:pPr>
            <w:r>
              <w:rPr>
                <w:rFonts w:hint="eastAsia"/>
                <w:lang w:val="en-AU"/>
              </w:rPr>
              <w:t>234</w:t>
            </w:r>
          </w:p>
        </w:tc>
        <w:tc>
          <w:tcPr>
            <w:tcW w:w="339" w:type="pct"/>
            <w:tcBorders>
              <w:tl2br w:val="nil"/>
              <w:tr2bl w:val="nil"/>
            </w:tcBorders>
            <w:shd w:val="clear" w:color="auto" w:fill="auto"/>
            <w:vAlign w:val="center"/>
          </w:tcPr>
          <w:p>
            <w:pPr>
              <w:pStyle w:val="39"/>
              <w:bidi w:val="0"/>
              <w:rPr>
                <w:lang w:val="en-AU"/>
              </w:rPr>
            </w:pPr>
            <w:r>
              <w:rPr>
                <w:rFonts w:hint="eastAsia"/>
                <w:lang w:val="en-AU"/>
              </w:rPr>
              <w:t>230</w:t>
            </w:r>
          </w:p>
        </w:tc>
        <w:tc>
          <w:tcPr>
            <w:tcW w:w="339" w:type="pct"/>
            <w:tcBorders>
              <w:tl2br w:val="nil"/>
              <w:tr2bl w:val="nil"/>
            </w:tcBorders>
            <w:shd w:val="clear" w:color="auto" w:fill="auto"/>
            <w:vAlign w:val="center"/>
          </w:tcPr>
          <w:p>
            <w:pPr>
              <w:pStyle w:val="39"/>
              <w:bidi w:val="0"/>
              <w:rPr>
                <w:lang w:val="en-AU"/>
              </w:rPr>
            </w:pPr>
            <w:r>
              <w:rPr>
                <w:rFonts w:hint="eastAsia"/>
                <w:lang w:val="en-AU"/>
              </w:rPr>
              <w:t>214</w:t>
            </w:r>
          </w:p>
        </w:tc>
        <w:tc>
          <w:tcPr>
            <w:tcW w:w="339" w:type="pct"/>
            <w:tcBorders>
              <w:tl2br w:val="nil"/>
              <w:tr2bl w:val="nil"/>
            </w:tcBorders>
            <w:shd w:val="clear" w:color="auto" w:fill="auto"/>
            <w:vAlign w:val="center"/>
          </w:tcPr>
          <w:p>
            <w:pPr>
              <w:pStyle w:val="39"/>
              <w:bidi w:val="0"/>
              <w:rPr>
                <w:lang w:val="en-AU"/>
              </w:rPr>
            </w:pPr>
            <w:r>
              <w:rPr>
                <w:rFonts w:hint="eastAsia"/>
                <w:lang w:val="en-AU"/>
              </w:rPr>
              <w:t>207</w:t>
            </w:r>
          </w:p>
        </w:tc>
        <w:tc>
          <w:tcPr>
            <w:tcW w:w="401" w:type="pct"/>
            <w:tcBorders>
              <w:tl2br w:val="nil"/>
              <w:tr2bl w:val="nil"/>
            </w:tcBorders>
            <w:shd w:val="clear" w:color="auto" w:fill="auto"/>
            <w:vAlign w:val="center"/>
          </w:tcPr>
          <w:p>
            <w:pPr>
              <w:pStyle w:val="39"/>
              <w:bidi w:val="0"/>
              <w:rPr>
                <w:lang w:val="en-AU"/>
              </w:rPr>
            </w:pPr>
            <w:r>
              <w:rPr>
                <w:rFonts w:hint="eastAsia"/>
                <w:lang w:val="en-AU"/>
              </w:rPr>
              <w:t>2898</w:t>
            </w:r>
          </w:p>
        </w:tc>
      </w:tr>
    </w:tbl>
    <w:p>
      <w:pPr>
        <w:pageBreakBefore w:val="0"/>
        <w:wordWrap/>
        <w:topLinePunct w:val="0"/>
        <w:bidi w:val="0"/>
        <w:snapToGrid/>
        <w:spacing w:line="240" w:lineRule="auto"/>
        <w:rPr>
          <w:rFonts w:cs="方正仿宋_GB2312"/>
        </w:rPr>
      </w:pPr>
      <w:r>
        <w:rPr>
          <w:rFonts w:hint="eastAsia" w:cs="方正仿宋_GB2312"/>
        </w:rPr>
        <w:t>太阳能资源稳定度是太阳能资源年内变化的状态和幅度，根据《太阳能资源评估方法》（GB/T 37526-2019）的稳定度等级划分，变化稳定度分为四个等级：很稳定（A）、稳定（B）、一般（C）、欠稳定（D）。划分标准如下表。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019"/>
        <w:gridCol w:w="3021"/>
        <w:gridCol w:w="30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666" w:type="pct"/>
            <w:vAlign w:val="center"/>
          </w:tcPr>
          <w:p>
            <w:pPr>
              <w:pStyle w:val="39"/>
              <w:bidi w:val="0"/>
            </w:pPr>
            <w:r>
              <w:rPr>
                <w:rFonts w:hint="eastAsia"/>
              </w:rPr>
              <w:t>等级名称</w:t>
            </w:r>
          </w:p>
        </w:tc>
        <w:tc>
          <w:tcPr>
            <w:tcW w:w="1667" w:type="pct"/>
            <w:vAlign w:val="center"/>
          </w:tcPr>
          <w:p>
            <w:pPr>
              <w:pStyle w:val="39"/>
              <w:bidi w:val="0"/>
            </w:pPr>
            <w:r>
              <w:rPr>
                <w:rFonts w:hint="eastAsia"/>
              </w:rPr>
              <w:t>分级阈值</w:t>
            </w:r>
          </w:p>
        </w:tc>
        <w:tc>
          <w:tcPr>
            <w:tcW w:w="1667" w:type="pct"/>
            <w:vAlign w:val="center"/>
          </w:tcPr>
          <w:p>
            <w:pPr>
              <w:pStyle w:val="39"/>
              <w:bidi w:val="0"/>
            </w:pPr>
            <w:r>
              <w:rPr>
                <w:rFonts w:hint="eastAsia"/>
              </w:rPr>
              <w:t>等级符号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pct"/>
            <w:vAlign w:val="center"/>
          </w:tcPr>
          <w:p>
            <w:pPr>
              <w:pStyle w:val="39"/>
              <w:bidi w:val="0"/>
            </w:pPr>
            <w:r>
              <w:rPr>
                <w:rFonts w:hint="eastAsia"/>
              </w:rPr>
              <w:t>很稳定</w:t>
            </w:r>
          </w:p>
        </w:tc>
        <w:tc>
          <w:tcPr>
            <w:tcW w:w="1667" w:type="pct"/>
            <w:vAlign w:val="center"/>
          </w:tcPr>
          <w:p>
            <w:pPr>
              <w:pStyle w:val="39"/>
              <w:bidi w:val="0"/>
            </w:pPr>
            <w:r>
              <w:rPr>
                <w:rFonts w:hint="eastAsia"/>
              </w:rPr>
              <w:t>RW≥0.47</w:t>
            </w:r>
          </w:p>
        </w:tc>
        <w:tc>
          <w:tcPr>
            <w:tcW w:w="1667" w:type="pct"/>
            <w:vAlign w:val="center"/>
          </w:tcPr>
          <w:p>
            <w:pPr>
              <w:pStyle w:val="39"/>
              <w:bidi w:val="0"/>
            </w:pPr>
            <w:r>
              <w:rPr>
                <w:rFonts w:hint="eastAsia"/>
              </w:rPr>
              <w: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pct"/>
            <w:vAlign w:val="center"/>
          </w:tcPr>
          <w:p>
            <w:pPr>
              <w:pStyle w:val="39"/>
              <w:bidi w:val="0"/>
            </w:pPr>
            <w:r>
              <w:rPr>
                <w:rFonts w:hint="eastAsia"/>
              </w:rPr>
              <w:t>稳定</w:t>
            </w:r>
          </w:p>
        </w:tc>
        <w:tc>
          <w:tcPr>
            <w:tcW w:w="1667" w:type="pct"/>
            <w:vAlign w:val="center"/>
          </w:tcPr>
          <w:p>
            <w:pPr>
              <w:pStyle w:val="39"/>
              <w:bidi w:val="0"/>
            </w:pPr>
            <w:r>
              <w:rPr>
                <w:rFonts w:hint="eastAsia"/>
              </w:rPr>
              <w:t>0.36≤RW＜0.47</w:t>
            </w:r>
          </w:p>
        </w:tc>
        <w:tc>
          <w:tcPr>
            <w:tcW w:w="1667" w:type="pct"/>
            <w:vAlign w:val="center"/>
          </w:tcPr>
          <w:p>
            <w:pPr>
              <w:pStyle w:val="39"/>
              <w:bidi w:val="0"/>
            </w:pPr>
            <w:r>
              <w:rPr>
                <w:rFonts w:hint="eastAsia"/>
              </w:rPr>
              <w:t>B</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pct"/>
            <w:vAlign w:val="center"/>
          </w:tcPr>
          <w:p>
            <w:pPr>
              <w:pStyle w:val="39"/>
              <w:bidi w:val="0"/>
            </w:pPr>
            <w:r>
              <w:rPr>
                <w:rFonts w:hint="eastAsia"/>
              </w:rPr>
              <w:t>一般</w:t>
            </w:r>
          </w:p>
        </w:tc>
        <w:tc>
          <w:tcPr>
            <w:tcW w:w="1667" w:type="pct"/>
            <w:vAlign w:val="center"/>
          </w:tcPr>
          <w:p>
            <w:pPr>
              <w:pStyle w:val="39"/>
              <w:bidi w:val="0"/>
            </w:pPr>
            <w:r>
              <w:rPr>
                <w:rFonts w:hint="eastAsia"/>
              </w:rPr>
              <w:t>0.28≤RW＜0.36</w:t>
            </w:r>
          </w:p>
        </w:tc>
        <w:tc>
          <w:tcPr>
            <w:tcW w:w="1667" w:type="pct"/>
            <w:vAlign w:val="center"/>
          </w:tcPr>
          <w:p>
            <w:pPr>
              <w:pStyle w:val="39"/>
              <w:bidi w:val="0"/>
            </w:pPr>
            <w:r>
              <w:rPr>
                <w:rFonts w:hint="eastAsia"/>
              </w:rPr>
              <w:t>C</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pct"/>
            <w:vAlign w:val="center"/>
          </w:tcPr>
          <w:p>
            <w:pPr>
              <w:pStyle w:val="39"/>
              <w:bidi w:val="0"/>
            </w:pPr>
            <w:r>
              <w:rPr>
                <w:rFonts w:hint="eastAsia"/>
              </w:rPr>
              <w:t>欠稳定</w:t>
            </w:r>
          </w:p>
        </w:tc>
        <w:tc>
          <w:tcPr>
            <w:tcW w:w="1667" w:type="pct"/>
            <w:vAlign w:val="center"/>
          </w:tcPr>
          <w:p>
            <w:pPr>
              <w:pStyle w:val="39"/>
              <w:bidi w:val="0"/>
            </w:pPr>
            <w:r>
              <w:rPr>
                <w:rFonts w:hint="eastAsia"/>
              </w:rPr>
              <w:t>RW＜0.28</w:t>
            </w:r>
          </w:p>
        </w:tc>
        <w:tc>
          <w:tcPr>
            <w:tcW w:w="1667" w:type="pct"/>
            <w:vAlign w:val="center"/>
          </w:tcPr>
          <w:p>
            <w:pPr>
              <w:pStyle w:val="39"/>
              <w:bidi w:val="0"/>
            </w:pPr>
            <w:r>
              <w:rPr>
                <w:rFonts w:hint="eastAsia"/>
              </w:rPr>
              <w:t>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3"/>
            <w:vAlign w:val="center"/>
          </w:tcPr>
          <w:p>
            <w:pPr>
              <w:pStyle w:val="39"/>
              <w:bidi w:val="0"/>
              <w:jc w:val="left"/>
            </w:pPr>
            <w:r>
              <w:rPr>
                <w:rFonts w:hint="eastAsia"/>
              </w:rPr>
              <w:t>注：RW表示稳定度，计算RW时，首先计算总辐射各月平均日辐射量的多年平均值（一般取30年平均），然后取最小值与最大值之比。</w:t>
            </w:r>
          </w:p>
        </w:tc>
      </w:tr>
    </w:tbl>
    <w:p>
      <w:pPr>
        <w:pageBreakBefore w:val="0"/>
        <w:wordWrap/>
        <w:topLinePunct w:val="0"/>
        <w:bidi w:val="0"/>
        <w:snapToGrid/>
        <w:spacing w:line="240" w:lineRule="auto"/>
        <w:rPr>
          <w:rFonts w:cs="方正仿宋_GB2312"/>
        </w:rPr>
      </w:pPr>
      <w:r>
        <w:rPr>
          <w:rFonts w:hint="eastAsia" w:cs="方正仿宋_GB2312"/>
        </w:rPr>
        <w:t>基于《太阳能资源评估方法》（GB/T 37526-2019）的稳定度等级划分标准，利用Solargis数据库数据计算得到本光伏电站太阳能资源稳定度，如下表所示。本场址月平均日辐射量最小值为7.68MJ/m</w:t>
      </w:r>
      <w:r>
        <w:rPr>
          <w:rFonts w:hint="eastAsia" w:cs="方正仿宋_GB2312"/>
          <w:vertAlign w:val="superscript"/>
        </w:rPr>
        <w:t>2</w:t>
      </w:r>
      <w:r>
        <w:rPr>
          <w:rFonts w:hint="eastAsia" w:cs="方正仿宋_GB2312"/>
        </w:rPr>
        <w:t>，最大值为21.48 MJ/m</w:t>
      </w:r>
      <w:r>
        <w:rPr>
          <w:rFonts w:hint="eastAsia" w:cs="方正仿宋_GB2312"/>
          <w:vertAlign w:val="superscript"/>
        </w:rPr>
        <w:t>2</w:t>
      </w:r>
      <w:r>
        <w:rPr>
          <w:rFonts w:hint="eastAsia" w:cs="方正仿宋_GB2312"/>
        </w:rPr>
        <w:t>，计算得到稳定度（月平均日辐射量最小值与最大值之比）为0.358。根据GB/T 37526-2019《太阳能资源评估方法》的稳定度等级划分，该地区的光伏场址稳定度属C级，属“一般区域”，较为有利于光伏电站的稳定运行。</w:t>
      </w:r>
    </w:p>
    <w:p>
      <w:pPr>
        <w:pStyle w:val="27"/>
        <w:bidi w:val="0"/>
        <w:rPr>
          <w:lang w:val="en-AU"/>
        </w:rPr>
      </w:pPr>
      <w:r>
        <w:rPr>
          <w:rFonts w:hint="eastAsia"/>
          <w:lang w:val="en-AU" w:eastAsia="zh-CN"/>
        </w:rPr>
        <w:t>表3-</w:t>
      </w:r>
      <w:r>
        <w:rPr>
          <w:rFonts w:hint="eastAsia"/>
        </w:rPr>
        <w:t>6</w:t>
      </w:r>
      <w:r>
        <w:rPr>
          <w:lang w:val="en-AU"/>
        </w:rPr>
        <w:t xml:space="preserve"> 场址月平均日辐射量计算表</w:t>
      </w:r>
    </w:p>
    <w:tbl>
      <w:tblPr>
        <w:tblStyle w:val="17"/>
        <w:tblW w:w="5000" w:type="pct"/>
        <w:jc w:val="center"/>
        <w:tblBorders>
          <w:top w:val="single" w:color="000000" w:sz="12" w:space="0"/>
          <w:left w:val="none" w:color="auto" w:sz="0" w:space="0"/>
          <w:bottom w:val="single" w:color="auto" w:sz="12" w:space="0"/>
          <w:right w:val="none" w:color="auto" w:sz="0" w:space="0"/>
          <w:insideH w:val="single" w:color="000000" w:sz="2" w:space="0"/>
          <w:insideV w:val="single" w:color="000000" w:sz="2" w:space="0"/>
        </w:tblBorders>
        <w:tblLayout w:type="fixed"/>
        <w:tblCellMar>
          <w:top w:w="0" w:type="dxa"/>
          <w:left w:w="30" w:type="dxa"/>
          <w:bottom w:w="0" w:type="dxa"/>
          <w:right w:w="30" w:type="dxa"/>
        </w:tblCellMar>
      </w:tblPr>
      <w:tblGrid>
        <w:gridCol w:w="1251"/>
        <w:gridCol w:w="491"/>
        <w:gridCol w:w="617"/>
        <w:gridCol w:w="617"/>
        <w:gridCol w:w="617"/>
        <w:gridCol w:w="618"/>
        <w:gridCol w:w="618"/>
        <w:gridCol w:w="618"/>
        <w:gridCol w:w="618"/>
        <w:gridCol w:w="618"/>
        <w:gridCol w:w="618"/>
        <w:gridCol w:w="493"/>
        <w:gridCol w:w="493"/>
        <w:gridCol w:w="618"/>
      </w:tblGrid>
      <w:tr>
        <w:tblPrEx>
          <w:tblBorders>
            <w:top w:val="single" w:color="000000"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30" w:type="dxa"/>
            <w:bottom w:w="0" w:type="dxa"/>
            <w:right w:w="30" w:type="dxa"/>
          </w:tblCellMar>
        </w:tblPrEx>
        <w:trPr>
          <w:cantSplit/>
          <w:trHeight w:val="397" w:hRule="atLeast"/>
          <w:jc w:val="center"/>
        </w:trPr>
        <w:tc>
          <w:tcPr>
            <w:tcW w:w="702" w:type="pct"/>
            <w:vAlign w:val="center"/>
          </w:tcPr>
          <w:p>
            <w:pPr>
              <w:pStyle w:val="39"/>
              <w:bidi w:val="0"/>
            </w:pPr>
            <w:r>
              <w:rPr>
                <w:rFonts w:hint="eastAsia"/>
              </w:rPr>
              <w:t>辐射量（MJ/m</w:t>
            </w:r>
            <w:r>
              <w:rPr>
                <w:rFonts w:hint="eastAsia"/>
                <w:vertAlign w:val="superscript"/>
              </w:rPr>
              <w:t>2</w:t>
            </w:r>
            <w:r>
              <w:rPr>
                <w:rFonts w:hint="eastAsia"/>
              </w:rPr>
              <w:t>）</w:t>
            </w:r>
          </w:p>
        </w:tc>
        <w:tc>
          <w:tcPr>
            <w:tcW w:w="276" w:type="pct"/>
            <w:vAlign w:val="center"/>
          </w:tcPr>
          <w:p>
            <w:pPr>
              <w:pStyle w:val="39"/>
              <w:bidi w:val="0"/>
            </w:pPr>
            <w:r>
              <w:rPr>
                <w:rFonts w:hint="eastAsia"/>
              </w:rPr>
              <w:t>1月</w:t>
            </w:r>
          </w:p>
        </w:tc>
        <w:tc>
          <w:tcPr>
            <w:tcW w:w="346" w:type="pct"/>
            <w:vAlign w:val="center"/>
          </w:tcPr>
          <w:p>
            <w:pPr>
              <w:pStyle w:val="39"/>
              <w:bidi w:val="0"/>
            </w:pPr>
            <w:r>
              <w:rPr>
                <w:rFonts w:hint="eastAsia"/>
              </w:rPr>
              <w:t>2月</w:t>
            </w:r>
          </w:p>
        </w:tc>
        <w:tc>
          <w:tcPr>
            <w:tcW w:w="346" w:type="pct"/>
            <w:vAlign w:val="center"/>
          </w:tcPr>
          <w:p>
            <w:pPr>
              <w:pStyle w:val="39"/>
              <w:bidi w:val="0"/>
            </w:pPr>
            <w:r>
              <w:rPr>
                <w:rFonts w:hint="eastAsia"/>
              </w:rPr>
              <w:t>3月</w:t>
            </w:r>
          </w:p>
        </w:tc>
        <w:tc>
          <w:tcPr>
            <w:tcW w:w="346" w:type="pct"/>
            <w:vAlign w:val="center"/>
          </w:tcPr>
          <w:p>
            <w:pPr>
              <w:pStyle w:val="39"/>
              <w:bidi w:val="0"/>
            </w:pPr>
            <w:r>
              <w:rPr>
                <w:rFonts w:hint="eastAsia"/>
              </w:rPr>
              <w:t>4月</w:t>
            </w:r>
          </w:p>
        </w:tc>
        <w:tc>
          <w:tcPr>
            <w:tcW w:w="346" w:type="pct"/>
            <w:vAlign w:val="center"/>
          </w:tcPr>
          <w:p>
            <w:pPr>
              <w:pStyle w:val="39"/>
              <w:bidi w:val="0"/>
            </w:pPr>
            <w:r>
              <w:rPr>
                <w:rFonts w:hint="eastAsia"/>
              </w:rPr>
              <w:t>5月</w:t>
            </w:r>
          </w:p>
        </w:tc>
        <w:tc>
          <w:tcPr>
            <w:tcW w:w="346" w:type="pct"/>
            <w:vAlign w:val="center"/>
          </w:tcPr>
          <w:p>
            <w:pPr>
              <w:pStyle w:val="39"/>
              <w:bidi w:val="0"/>
            </w:pPr>
            <w:r>
              <w:rPr>
                <w:rFonts w:hint="eastAsia"/>
              </w:rPr>
              <w:t>6月</w:t>
            </w:r>
          </w:p>
        </w:tc>
        <w:tc>
          <w:tcPr>
            <w:tcW w:w="346" w:type="pct"/>
            <w:vAlign w:val="center"/>
          </w:tcPr>
          <w:p>
            <w:pPr>
              <w:pStyle w:val="39"/>
              <w:bidi w:val="0"/>
            </w:pPr>
            <w:r>
              <w:rPr>
                <w:rFonts w:hint="eastAsia"/>
              </w:rPr>
              <w:t>7月</w:t>
            </w:r>
          </w:p>
        </w:tc>
        <w:tc>
          <w:tcPr>
            <w:tcW w:w="346" w:type="pct"/>
            <w:vAlign w:val="center"/>
          </w:tcPr>
          <w:p>
            <w:pPr>
              <w:pStyle w:val="39"/>
              <w:bidi w:val="0"/>
            </w:pPr>
            <w:r>
              <w:rPr>
                <w:rFonts w:hint="eastAsia"/>
              </w:rPr>
              <w:t>8月</w:t>
            </w:r>
          </w:p>
        </w:tc>
        <w:tc>
          <w:tcPr>
            <w:tcW w:w="346" w:type="pct"/>
            <w:vAlign w:val="center"/>
          </w:tcPr>
          <w:p>
            <w:pPr>
              <w:pStyle w:val="39"/>
              <w:bidi w:val="0"/>
            </w:pPr>
            <w:r>
              <w:rPr>
                <w:rFonts w:hint="eastAsia"/>
              </w:rPr>
              <w:t>9月</w:t>
            </w:r>
          </w:p>
        </w:tc>
        <w:tc>
          <w:tcPr>
            <w:tcW w:w="346" w:type="pct"/>
            <w:vAlign w:val="center"/>
          </w:tcPr>
          <w:p>
            <w:pPr>
              <w:pStyle w:val="39"/>
              <w:bidi w:val="0"/>
            </w:pPr>
            <w:r>
              <w:rPr>
                <w:rFonts w:hint="eastAsia"/>
              </w:rPr>
              <w:t>10月</w:t>
            </w:r>
          </w:p>
        </w:tc>
        <w:tc>
          <w:tcPr>
            <w:tcW w:w="277" w:type="pct"/>
            <w:vAlign w:val="center"/>
          </w:tcPr>
          <w:p>
            <w:pPr>
              <w:pStyle w:val="39"/>
              <w:bidi w:val="0"/>
            </w:pPr>
            <w:r>
              <w:rPr>
                <w:rFonts w:hint="eastAsia"/>
              </w:rPr>
              <w:t>11月</w:t>
            </w:r>
          </w:p>
        </w:tc>
        <w:tc>
          <w:tcPr>
            <w:tcW w:w="277" w:type="pct"/>
            <w:vAlign w:val="center"/>
          </w:tcPr>
          <w:p>
            <w:pPr>
              <w:pStyle w:val="39"/>
              <w:bidi w:val="0"/>
            </w:pPr>
            <w:r>
              <w:rPr>
                <w:rFonts w:hint="eastAsia"/>
              </w:rPr>
              <w:t>12月</w:t>
            </w:r>
          </w:p>
        </w:tc>
        <w:tc>
          <w:tcPr>
            <w:tcW w:w="346" w:type="pct"/>
            <w:vAlign w:val="center"/>
          </w:tcPr>
          <w:p>
            <w:pPr>
              <w:pStyle w:val="39"/>
              <w:bidi w:val="0"/>
            </w:pPr>
            <w:r>
              <w:rPr>
                <w:rFonts w:hint="eastAsia"/>
              </w:rPr>
              <w:t>全年</w:t>
            </w:r>
          </w:p>
        </w:tc>
      </w:tr>
      <w:tr>
        <w:tblPrEx>
          <w:tblBorders>
            <w:top w:val="single" w:color="000000"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30" w:type="dxa"/>
            <w:bottom w:w="0" w:type="dxa"/>
            <w:right w:w="30" w:type="dxa"/>
          </w:tblCellMar>
        </w:tblPrEx>
        <w:trPr>
          <w:cantSplit/>
          <w:trHeight w:val="397" w:hRule="atLeast"/>
          <w:jc w:val="center"/>
        </w:trPr>
        <w:tc>
          <w:tcPr>
            <w:tcW w:w="702" w:type="pct"/>
            <w:vAlign w:val="center"/>
          </w:tcPr>
          <w:p>
            <w:pPr>
              <w:pStyle w:val="39"/>
              <w:bidi w:val="0"/>
            </w:pPr>
            <w:r>
              <w:rPr>
                <w:rFonts w:hint="eastAsia"/>
              </w:rPr>
              <w:t>月总辐射量</w:t>
            </w:r>
          </w:p>
        </w:tc>
        <w:tc>
          <w:tcPr>
            <w:tcW w:w="276" w:type="pct"/>
            <w:vAlign w:val="center"/>
          </w:tcPr>
          <w:p>
            <w:pPr>
              <w:pStyle w:val="39"/>
              <w:bidi w:val="0"/>
              <w:rPr>
                <w:lang w:val="en-AU"/>
              </w:rPr>
            </w:pPr>
            <w:r>
              <w:rPr>
                <w:rFonts w:hint="eastAsia"/>
              </w:rPr>
              <w:t>280</w:t>
            </w:r>
          </w:p>
        </w:tc>
        <w:tc>
          <w:tcPr>
            <w:tcW w:w="346" w:type="pct"/>
            <w:vAlign w:val="center"/>
          </w:tcPr>
          <w:p>
            <w:pPr>
              <w:pStyle w:val="39"/>
              <w:bidi w:val="0"/>
              <w:rPr>
                <w:lang w:val="en-AU"/>
              </w:rPr>
            </w:pPr>
            <w:r>
              <w:rPr>
                <w:rFonts w:hint="eastAsia"/>
              </w:rPr>
              <w:t>353</w:t>
            </w:r>
          </w:p>
        </w:tc>
        <w:tc>
          <w:tcPr>
            <w:tcW w:w="346" w:type="pct"/>
            <w:vAlign w:val="center"/>
          </w:tcPr>
          <w:p>
            <w:pPr>
              <w:pStyle w:val="39"/>
              <w:bidi w:val="0"/>
              <w:rPr>
                <w:lang w:val="en-AU"/>
              </w:rPr>
            </w:pPr>
            <w:r>
              <w:rPr>
                <w:rFonts w:hint="eastAsia"/>
              </w:rPr>
              <w:t>523</w:t>
            </w:r>
          </w:p>
        </w:tc>
        <w:tc>
          <w:tcPr>
            <w:tcW w:w="346" w:type="pct"/>
            <w:vAlign w:val="center"/>
          </w:tcPr>
          <w:p>
            <w:pPr>
              <w:pStyle w:val="39"/>
              <w:bidi w:val="0"/>
              <w:rPr>
                <w:lang w:val="en-AU"/>
              </w:rPr>
            </w:pPr>
            <w:r>
              <w:rPr>
                <w:rFonts w:hint="eastAsia"/>
              </w:rPr>
              <w:t>596</w:t>
            </w:r>
          </w:p>
        </w:tc>
        <w:tc>
          <w:tcPr>
            <w:tcW w:w="346" w:type="pct"/>
            <w:vAlign w:val="center"/>
          </w:tcPr>
          <w:p>
            <w:pPr>
              <w:pStyle w:val="39"/>
              <w:bidi w:val="0"/>
              <w:rPr>
                <w:lang w:val="en-AU"/>
              </w:rPr>
            </w:pPr>
            <w:r>
              <w:rPr>
                <w:rFonts w:hint="eastAsia"/>
              </w:rPr>
              <w:t>666</w:t>
            </w:r>
          </w:p>
        </w:tc>
        <w:tc>
          <w:tcPr>
            <w:tcW w:w="346" w:type="pct"/>
            <w:vAlign w:val="center"/>
          </w:tcPr>
          <w:p>
            <w:pPr>
              <w:pStyle w:val="39"/>
              <w:bidi w:val="0"/>
              <w:rPr>
                <w:lang w:val="en-AU"/>
              </w:rPr>
            </w:pPr>
            <w:r>
              <w:rPr>
                <w:rFonts w:hint="eastAsia"/>
              </w:rPr>
              <w:t>641</w:t>
            </w:r>
          </w:p>
        </w:tc>
        <w:tc>
          <w:tcPr>
            <w:tcW w:w="346" w:type="pct"/>
            <w:vAlign w:val="center"/>
          </w:tcPr>
          <w:p>
            <w:pPr>
              <w:pStyle w:val="39"/>
              <w:bidi w:val="0"/>
              <w:rPr>
                <w:lang w:val="en-AU"/>
              </w:rPr>
            </w:pPr>
            <w:r>
              <w:rPr>
                <w:rFonts w:hint="eastAsia"/>
              </w:rPr>
              <w:t>631</w:t>
            </w:r>
          </w:p>
        </w:tc>
        <w:tc>
          <w:tcPr>
            <w:tcW w:w="346" w:type="pct"/>
            <w:vAlign w:val="center"/>
          </w:tcPr>
          <w:p>
            <w:pPr>
              <w:pStyle w:val="39"/>
              <w:bidi w:val="0"/>
              <w:rPr>
                <w:lang w:val="en-AU"/>
              </w:rPr>
            </w:pPr>
            <w:r>
              <w:rPr>
                <w:rFonts w:hint="eastAsia"/>
              </w:rPr>
              <w:t>599</w:t>
            </w:r>
          </w:p>
        </w:tc>
        <w:tc>
          <w:tcPr>
            <w:tcW w:w="346" w:type="pct"/>
            <w:vAlign w:val="center"/>
          </w:tcPr>
          <w:p>
            <w:pPr>
              <w:pStyle w:val="39"/>
              <w:bidi w:val="0"/>
              <w:rPr>
                <w:lang w:val="en-AU"/>
              </w:rPr>
            </w:pPr>
            <w:r>
              <w:rPr>
                <w:rFonts w:hint="eastAsia"/>
              </w:rPr>
              <w:t>501</w:t>
            </w:r>
          </w:p>
        </w:tc>
        <w:tc>
          <w:tcPr>
            <w:tcW w:w="346" w:type="pct"/>
            <w:vAlign w:val="center"/>
          </w:tcPr>
          <w:p>
            <w:pPr>
              <w:pStyle w:val="39"/>
              <w:bidi w:val="0"/>
              <w:rPr>
                <w:lang w:val="en-AU"/>
              </w:rPr>
            </w:pPr>
            <w:r>
              <w:rPr>
                <w:rFonts w:hint="eastAsia"/>
              </w:rPr>
              <w:t>398</w:t>
            </w:r>
          </w:p>
        </w:tc>
        <w:tc>
          <w:tcPr>
            <w:tcW w:w="277" w:type="pct"/>
            <w:vAlign w:val="center"/>
          </w:tcPr>
          <w:p>
            <w:pPr>
              <w:pStyle w:val="39"/>
              <w:bidi w:val="0"/>
              <w:rPr>
                <w:lang w:val="en-AU"/>
              </w:rPr>
            </w:pPr>
            <w:r>
              <w:rPr>
                <w:rFonts w:hint="eastAsia"/>
              </w:rPr>
              <w:t>264</w:t>
            </w:r>
          </w:p>
        </w:tc>
        <w:tc>
          <w:tcPr>
            <w:tcW w:w="277" w:type="pct"/>
            <w:vAlign w:val="center"/>
          </w:tcPr>
          <w:p>
            <w:pPr>
              <w:pStyle w:val="39"/>
              <w:bidi w:val="0"/>
              <w:rPr>
                <w:lang w:val="en-AU"/>
              </w:rPr>
            </w:pPr>
            <w:r>
              <w:rPr>
                <w:rFonts w:hint="eastAsia"/>
              </w:rPr>
              <w:t>238</w:t>
            </w:r>
          </w:p>
        </w:tc>
        <w:tc>
          <w:tcPr>
            <w:tcW w:w="346" w:type="pct"/>
            <w:vAlign w:val="center"/>
          </w:tcPr>
          <w:p>
            <w:pPr>
              <w:pStyle w:val="39"/>
              <w:bidi w:val="0"/>
              <w:rPr>
                <w:lang w:val="en-AU"/>
              </w:rPr>
            </w:pPr>
            <w:r>
              <w:rPr>
                <w:rFonts w:hint="eastAsia"/>
              </w:rPr>
              <w:t>5691</w:t>
            </w:r>
          </w:p>
        </w:tc>
      </w:tr>
      <w:tr>
        <w:tblPrEx>
          <w:tblBorders>
            <w:top w:val="single" w:color="000000"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30" w:type="dxa"/>
            <w:bottom w:w="0" w:type="dxa"/>
            <w:right w:w="30" w:type="dxa"/>
          </w:tblCellMar>
        </w:tblPrEx>
        <w:trPr>
          <w:cantSplit/>
          <w:trHeight w:val="397" w:hRule="atLeast"/>
          <w:jc w:val="center"/>
        </w:trPr>
        <w:tc>
          <w:tcPr>
            <w:tcW w:w="702" w:type="pct"/>
            <w:vAlign w:val="center"/>
          </w:tcPr>
          <w:p>
            <w:pPr>
              <w:pStyle w:val="39"/>
              <w:bidi w:val="0"/>
            </w:pPr>
            <w:r>
              <w:rPr>
                <w:rFonts w:hint="eastAsia"/>
              </w:rPr>
              <w:t>天数</w:t>
            </w:r>
          </w:p>
        </w:tc>
        <w:tc>
          <w:tcPr>
            <w:tcW w:w="276" w:type="pct"/>
            <w:vAlign w:val="center"/>
          </w:tcPr>
          <w:p>
            <w:pPr>
              <w:pStyle w:val="39"/>
              <w:bidi w:val="0"/>
              <w:rPr>
                <w:lang w:val="en-AU"/>
              </w:rPr>
            </w:pPr>
            <w:r>
              <w:rPr>
                <w:rFonts w:hint="eastAsia"/>
                <w:lang w:val="en-AU"/>
              </w:rPr>
              <w:t>31</w:t>
            </w:r>
          </w:p>
        </w:tc>
        <w:tc>
          <w:tcPr>
            <w:tcW w:w="346" w:type="pct"/>
            <w:vAlign w:val="center"/>
          </w:tcPr>
          <w:p>
            <w:pPr>
              <w:pStyle w:val="39"/>
              <w:bidi w:val="0"/>
              <w:rPr>
                <w:lang w:val="en-AU"/>
              </w:rPr>
            </w:pPr>
            <w:r>
              <w:rPr>
                <w:rFonts w:hint="eastAsia"/>
                <w:lang w:val="en-AU"/>
              </w:rPr>
              <w:t>28</w:t>
            </w:r>
          </w:p>
        </w:tc>
        <w:tc>
          <w:tcPr>
            <w:tcW w:w="346" w:type="pct"/>
            <w:vAlign w:val="center"/>
          </w:tcPr>
          <w:p>
            <w:pPr>
              <w:pStyle w:val="39"/>
              <w:bidi w:val="0"/>
              <w:rPr>
                <w:lang w:val="en-AU"/>
              </w:rPr>
            </w:pPr>
            <w:r>
              <w:rPr>
                <w:rFonts w:hint="eastAsia"/>
                <w:lang w:val="en-AU"/>
              </w:rPr>
              <w:t>31</w:t>
            </w:r>
          </w:p>
        </w:tc>
        <w:tc>
          <w:tcPr>
            <w:tcW w:w="346" w:type="pct"/>
            <w:vAlign w:val="center"/>
          </w:tcPr>
          <w:p>
            <w:pPr>
              <w:pStyle w:val="39"/>
              <w:bidi w:val="0"/>
              <w:rPr>
                <w:lang w:val="en-AU"/>
              </w:rPr>
            </w:pPr>
            <w:r>
              <w:rPr>
                <w:rFonts w:hint="eastAsia"/>
                <w:lang w:val="en-AU"/>
              </w:rPr>
              <w:t>30</w:t>
            </w:r>
          </w:p>
        </w:tc>
        <w:tc>
          <w:tcPr>
            <w:tcW w:w="346" w:type="pct"/>
            <w:vAlign w:val="center"/>
          </w:tcPr>
          <w:p>
            <w:pPr>
              <w:pStyle w:val="39"/>
              <w:bidi w:val="0"/>
              <w:rPr>
                <w:lang w:val="en-AU"/>
              </w:rPr>
            </w:pPr>
            <w:r>
              <w:rPr>
                <w:rFonts w:hint="eastAsia"/>
                <w:lang w:val="en-AU"/>
              </w:rPr>
              <w:t>31</w:t>
            </w:r>
          </w:p>
        </w:tc>
        <w:tc>
          <w:tcPr>
            <w:tcW w:w="346" w:type="pct"/>
            <w:vAlign w:val="center"/>
          </w:tcPr>
          <w:p>
            <w:pPr>
              <w:pStyle w:val="39"/>
              <w:bidi w:val="0"/>
              <w:rPr>
                <w:lang w:val="en-AU"/>
              </w:rPr>
            </w:pPr>
            <w:r>
              <w:rPr>
                <w:rFonts w:hint="eastAsia"/>
                <w:lang w:val="en-AU"/>
              </w:rPr>
              <w:t>30</w:t>
            </w:r>
          </w:p>
        </w:tc>
        <w:tc>
          <w:tcPr>
            <w:tcW w:w="346" w:type="pct"/>
            <w:vAlign w:val="center"/>
          </w:tcPr>
          <w:p>
            <w:pPr>
              <w:pStyle w:val="39"/>
              <w:bidi w:val="0"/>
              <w:rPr>
                <w:lang w:val="en-AU"/>
              </w:rPr>
            </w:pPr>
            <w:r>
              <w:rPr>
                <w:rFonts w:hint="eastAsia"/>
                <w:lang w:val="en-AU"/>
              </w:rPr>
              <w:t>31</w:t>
            </w:r>
          </w:p>
        </w:tc>
        <w:tc>
          <w:tcPr>
            <w:tcW w:w="346" w:type="pct"/>
            <w:vAlign w:val="center"/>
          </w:tcPr>
          <w:p>
            <w:pPr>
              <w:pStyle w:val="39"/>
              <w:bidi w:val="0"/>
              <w:rPr>
                <w:lang w:val="en-AU"/>
              </w:rPr>
            </w:pPr>
            <w:r>
              <w:rPr>
                <w:rFonts w:hint="eastAsia"/>
                <w:lang w:val="en-AU"/>
              </w:rPr>
              <w:t>31</w:t>
            </w:r>
          </w:p>
        </w:tc>
        <w:tc>
          <w:tcPr>
            <w:tcW w:w="346" w:type="pct"/>
            <w:vAlign w:val="center"/>
          </w:tcPr>
          <w:p>
            <w:pPr>
              <w:pStyle w:val="39"/>
              <w:bidi w:val="0"/>
              <w:rPr>
                <w:lang w:val="en-AU"/>
              </w:rPr>
            </w:pPr>
            <w:r>
              <w:rPr>
                <w:rFonts w:hint="eastAsia"/>
                <w:lang w:val="en-AU"/>
              </w:rPr>
              <w:t>30</w:t>
            </w:r>
          </w:p>
        </w:tc>
        <w:tc>
          <w:tcPr>
            <w:tcW w:w="346" w:type="pct"/>
            <w:vAlign w:val="center"/>
          </w:tcPr>
          <w:p>
            <w:pPr>
              <w:pStyle w:val="39"/>
              <w:bidi w:val="0"/>
              <w:rPr>
                <w:lang w:val="en-AU"/>
              </w:rPr>
            </w:pPr>
            <w:r>
              <w:rPr>
                <w:rFonts w:hint="eastAsia"/>
                <w:lang w:val="en-AU"/>
              </w:rPr>
              <w:t>31</w:t>
            </w:r>
          </w:p>
        </w:tc>
        <w:tc>
          <w:tcPr>
            <w:tcW w:w="277" w:type="pct"/>
            <w:vAlign w:val="center"/>
          </w:tcPr>
          <w:p>
            <w:pPr>
              <w:pStyle w:val="39"/>
              <w:bidi w:val="0"/>
              <w:rPr>
                <w:lang w:val="en-AU"/>
              </w:rPr>
            </w:pPr>
            <w:r>
              <w:rPr>
                <w:rFonts w:hint="eastAsia"/>
                <w:lang w:val="en-AU"/>
              </w:rPr>
              <w:t>30</w:t>
            </w:r>
          </w:p>
        </w:tc>
        <w:tc>
          <w:tcPr>
            <w:tcW w:w="277" w:type="pct"/>
            <w:vAlign w:val="center"/>
          </w:tcPr>
          <w:p>
            <w:pPr>
              <w:pStyle w:val="39"/>
              <w:bidi w:val="0"/>
              <w:rPr>
                <w:lang w:val="en-AU"/>
              </w:rPr>
            </w:pPr>
            <w:r>
              <w:rPr>
                <w:rFonts w:hint="eastAsia"/>
                <w:lang w:val="en-AU"/>
              </w:rPr>
              <w:t>31</w:t>
            </w:r>
          </w:p>
        </w:tc>
        <w:tc>
          <w:tcPr>
            <w:tcW w:w="346" w:type="pct"/>
            <w:vAlign w:val="center"/>
          </w:tcPr>
          <w:p>
            <w:pPr>
              <w:pStyle w:val="39"/>
              <w:bidi w:val="0"/>
              <w:rPr>
                <w:lang w:val="en-AU"/>
              </w:rPr>
            </w:pPr>
            <w:r>
              <w:rPr>
                <w:rFonts w:hint="eastAsia"/>
                <w:lang w:val="en-AU"/>
              </w:rPr>
              <w:t>365</w:t>
            </w:r>
          </w:p>
        </w:tc>
      </w:tr>
      <w:tr>
        <w:tblPrEx>
          <w:tblBorders>
            <w:top w:val="single" w:color="000000"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30" w:type="dxa"/>
            <w:bottom w:w="0" w:type="dxa"/>
            <w:right w:w="30" w:type="dxa"/>
          </w:tblCellMar>
        </w:tblPrEx>
        <w:trPr>
          <w:cantSplit/>
          <w:trHeight w:val="397" w:hRule="atLeast"/>
          <w:jc w:val="center"/>
        </w:trPr>
        <w:tc>
          <w:tcPr>
            <w:tcW w:w="702" w:type="pct"/>
            <w:vAlign w:val="center"/>
          </w:tcPr>
          <w:p>
            <w:pPr>
              <w:pStyle w:val="39"/>
              <w:bidi w:val="0"/>
            </w:pPr>
            <w:r>
              <w:rPr>
                <w:rFonts w:hint="eastAsia"/>
              </w:rPr>
              <w:t>月平均日辐射量</w:t>
            </w:r>
          </w:p>
        </w:tc>
        <w:tc>
          <w:tcPr>
            <w:tcW w:w="276" w:type="pct"/>
            <w:vAlign w:val="center"/>
          </w:tcPr>
          <w:p>
            <w:pPr>
              <w:pStyle w:val="39"/>
              <w:bidi w:val="0"/>
              <w:rPr>
                <w:lang w:val="en-AU"/>
              </w:rPr>
            </w:pPr>
            <w:r>
              <w:t xml:space="preserve">9.0 </w:t>
            </w:r>
          </w:p>
        </w:tc>
        <w:tc>
          <w:tcPr>
            <w:tcW w:w="346" w:type="pct"/>
            <w:vAlign w:val="center"/>
          </w:tcPr>
          <w:p>
            <w:pPr>
              <w:pStyle w:val="39"/>
              <w:bidi w:val="0"/>
              <w:rPr>
                <w:lang w:val="en-AU"/>
              </w:rPr>
            </w:pPr>
            <w:r>
              <w:t xml:space="preserve">12.6 </w:t>
            </w:r>
          </w:p>
        </w:tc>
        <w:tc>
          <w:tcPr>
            <w:tcW w:w="346" w:type="pct"/>
            <w:vAlign w:val="center"/>
          </w:tcPr>
          <w:p>
            <w:pPr>
              <w:pStyle w:val="39"/>
              <w:bidi w:val="0"/>
              <w:rPr>
                <w:lang w:val="en-AU"/>
              </w:rPr>
            </w:pPr>
            <w:r>
              <w:t xml:space="preserve">16.9 </w:t>
            </w:r>
          </w:p>
        </w:tc>
        <w:tc>
          <w:tcPr>
            <w:tcW w:w="346" w:type="pct"/>
            <w:vAlign w:val="center"/>
          </w:tcPr>
          <w:p>
            <w:pPr>
              <w:pStyle w:val="39"/>
              <w:bidi w:val="0"/>
              <w:rPr>
                <w:lang w:val="en-AU"/>
              </w:rPr>
            </w:pPr>
            <w:r>
              <w:t xml:space="preserve">19.9 </w:t>
            </w:r>
          </w:p>
        </w:tc>
        <w:tc>
          <w:tcPr>
            <w:tcW w:w="346" w:type="pct"/>
            <w:vAlign w:val="center"/>
          </w:tcPr>
          <w:p>
            <w:pPr>
              <w:pStyle w:val="39"/>
              <w:bidi w:val="0"/>
              <w:rPr>
                <w:lang w:val="en-AU"/>
              </w:rPr>
            </w:pPr>
            <w:r>
              <w:t xml:space="preserve">21.5 </w:t>
            </w:r>
          </w:p>
        </w:tc>
        <w:tc>
          <w:tcPr>
            <w:tcW w:w="346" w:type="pct"/>
            <w:vAlign w:val="center"/>
          </w:tcPr>
          <w:p>
            <w:pPr>
              <w:pStyle w:val="39"/>
              <w:bidi w:val="0"/>
              <w:rPr>
                <w:lang w:val="en-AU"/>
              </w:rPr>
            </w:pPr>
            <w:r>
              <w:t xml:space="preserve">21.4 </w:t>
            </w:r>
          </w:p>
        </w:tc>
        <w:tc>
          <w:tcPr>
            <w:tcW w:w="346" w:type="pct"/>
            <w:vAlign w:val="center"/>
          </w:tcPr>
          <w:p>
            <w:pPr>
              <w:pStyle w:val="39"/>
              <w:bidi w:val="0"/>
              <w:rPr>
                <w:lang w:val="en-AU"/>
              </w:rPr>
            </w:pPr>
            <w:r>
              <w:t xml:space="preserve">20.4 </w:t>
            </w:r>
          </w:p>
        </w:tc>
        <w:tc>
          <w:tcPr>
            <w:tcW w:w="346" w:type="pct"/>
            <w:vAlign w:val="center"/>
          </w:tcPr>
          <w:p>
            <w:pPr>
              <w:pStyle w:val="39"/>
              <w:bidi w:val="0"/>
              <w:rPr>
                <w:lang w:val="en-AU"/>
              </w:rPr>
            </w:pPr>
            <w:r>
              <w:t xml:space="preserve">19.3 </w:t>
            </w:r>
          </w:p>
        </w:tc>
        <w:tc>
          <w:tcPr>
            <w:tcW w:w="346" w:type="pct"/>
            <w:vAlign w:val="center"/>
          </w:tcPr>
          <w:p>
            <w:pPr>
              <w:pStyle w:val="39"/>
              <w:bidi w:val="0"/>
              <w:rPr>
                <w:lang w:val="en-AU"/>
              </w:rPr>
            </w:pPr>
            <w:r>
              <w:t xml:space="preserve">16.7 </w:t>
            </w:r>
          </w:p>
        </w:tc>
        <w:tc>
          <w:tcPr>
            <w:tcW w:w="346" w:type="pct"/>
            <w:vAlign w:val="center"/>
          </w:tcPr>
          <w:p>
            <w:pPr>
              <w:pStyle w:val="39"/>
              <w:bidi w:val="0"/>
              <w:rPr>
                <w:lang w:val="en-AU"/>
              </w:rPr>
            </w:pPr>
            <w:r>
              <w:t xml:space="preserve">12.8 </w:t>
            </w:r>
          </w:p>
        </w:tc>
        <w:tc>
          <w:tcPr>
            <w:tcW w:w="277" w:type="pct"/>
            <w:vAlign w:val="center"/>
          </w:tcPr>
          <w:p>
            <w:pPr>
              <w:pStyle w:val="39"/>
              <w:bidi w:val="0"/>
              <w:rPr>
                <w:lang w:val="en-AU"/>
              </w:rPr>
            </w:pPr>
            <w:r>
              <w:t xml:space="preserve">8.8 </w:t>
            </w:r>
          </w:p>
        </w:tc>
        <w:tc>
          <w:tcPr>
            <w:tcW w:w="277" w:type="pct"/>
            <w:vAlign w:val="center"/>
          </w:tcPr>
          <w:p>
            <w:pPr>
              <w:pStyle w:val="39"/>
              <w:bidi w:val="0"/>
              <w:rPr>
                <w:lang w:val="en-AU"/>
              </w:rPr>
            </w:pPr>
            <w:r>
              <w:t xml:space="preserve">7.7 </w:t>
            </w:r>
          </w:p>
        </w:tc>
        <w:tc>
          <w:tcPr>
            <w:tcW w:w="346" w:type="pct"/>
            <w:vAlign w:val="center"/>
          </w:tcPr>
          <w:p>
            <w:pPr>
              <w:pStyle w:val="39"/>
              <w:bidi w:val="0"/>
              <w:rPr>
                <w:lang w:val="en-AU"/>
              </w:rPr>
            </w:pPr>
            <w:r>
              <w:t xml:space="preserve">15.6 </w:t>
            </w:r>
          </w:p>
        </w:tc>
      </w:tr>
    </w:tbl>
    <w:p>
      <w:pPr>
        <w:pageBreakBefore w:val="0"/>
        <w:wordWrap/>
        <w:topLinePunct w:val="0"/>
        <w:bidi w:val="0"/>
        <w:snapToGrid/>
        <w:spacing w:line="240" w:lineRule="auto"/>
        <w:rPr>
          <w:rFonts w:cs="方正仿宋_GB2312"/>
        </w:rPr>
      </w:pPr>
      <w:r>
        <w:rPr>
          <w:rFonts w:hint="eastAsia" w:cs="方正仿宋_GB2312"/>
        </w:rPr>
        <w:t>太阳能资源直射比等级是指水平面直接辐照量在水平面总辐照量中所占的比例。根据《太阳能资源评估方法》（GBT37526-2019）的直射比等级划分，其分为四个等级：直接辐射占主导（A）、直接辐射较多（B）、散射辐射较多（C）、散射辐射主导（D）。划分标准如下表：</w:t>
      </w:r>
    </w:p>
    <w:p>
      <w:pPr>
        <w:pStyle w:val="27"/>
        <w:bidi w:val="0"/>
        <w:rPr>
          <w:lang w:val="en-AU"/>
        </w:rPr>
      </w:pPr>
      <w:r>
        <w:rPr>
          <w:rFonts w:hint="eastAsia"/>
          <w:lang w:val="en-AU" w:eastAsia="zh-CN"/>
        </w:rPr>
        <w:t>表3-</w:t>
      </w:r>
      <w:r>
        <w:rPr>
          <w:rFonts w:hint="eastAsia"/>
        </w:rPr>
        <w:t>7</w:t>
      </w:r>
      <w:r>
        <w:rPr>
          <w:lang w:val="en-AU"/>
        </w:rPr>
        <w:t xml:space="preserve"> 太阳能资源直射比（DHRR）等级</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62"/>
        <w:gridCol w:w="2265"/>
        <w:gridCol w:w="2265"/>
        <w:gridCol w:w="226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8" w:type="pct"/>
          </w:tcPr>
          <w:p>
            <w:pPr>
              <w:pStyle w:val="39"/>
              <w:bidi w:val="0"/>
            </w:pPr>
            <w:r>
              <w:rPr>
                <w:rFonts w:hint="eastAsia"/>
              </w:rPr>
              <w:t>等级名称</w:t>
            </w:r>
          </w:p>
        </w:tc>
        <w:tc>
          <w:tcPr>
            <w:tcW w:w="1250" w:type="pct"/>
          </w:tcPr>
          <w:p>
            <w:pPr>
              <w:pStyle w:val="39"/>
              <w:bidi w:val="0"/>
            </w:pPr>
            <w:r>
              <w:rPr>
                <w:rFonts w:hint="eastAsia"/>
              </w:rPr>
              <w:t>分级阈值</w:t>
            </w:r>
          </w:p>
        </w:tc>
        <w:tc>
          <w:tcPr>
            <w:tcW w:w="1250" w:type="pct"/>
          </w:tcPr>
          <w:p>
            <w:pPr>
              <w:pStyle w:val="39"/>
              <w:bidi w:val="0"/>
            </w:pPr>
            <w:r>
              <w:rPr>
                <w:rFonts w:hint="eastAsia"/>
              </w:rPr>
              <w:t>等级符号</w:t>
            </w:r>
          </w:p>
        </w:tc>
        <w:tc>
          <w:tcPr>
            <w:tcW w:w="1250" w:type="pct"/>
          </w:tcPr>
          <w:p>
            <w:pPr>
              <w:pStyle w:val="39"/>
              <w:bidi w:val="0"/>
            </w:pPr>
            <w:r>
              <w:rPr>
                <w:rFonts w:hint="eastAsia"/>
              </w:rPr>
              <w:t>等级说明</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8" w:type="pct"/>
          </w:tcPr>
          <w:p>
            <w:pPr>
              <w:pStyle w:val="39"/>
              <w:bidi w:val="0"/>
            </w:pPr>
            <w:r>
              <w:rPr>
                <w:rFonts w:hint="eastAsia"/>
              </w:rPr>
              <w:t>很高</w:t>
            </w:r>
          </w:p>
        </w:tc>
        <w:tc>
          <w:tcPr>
            <w:tcW w:w="1250" w:type="pct"/>
          </w:tcPr>
          <w:p>
            <w:pPr>
              <w:pStyle w:val="39"/>
              <w:bidi w:val="0"/>
            </w:pPr>
            <w:r>
              <w:rPr>
                <w:rFonts w:hint="eastAsia"/>
              </w:rPr>
              <w:t>DHRR≥0.6</w:t>
            </w:r>
          </w:p>
        </w:tc>
        <w:tc>
          <w:tcPr>
            <w:tcW w:w="1250" w:type="pct"/>
          </w:tcPr>
          <w:p>
            <w:pPr>
              <w:pStyle w:val="39"/>
              <w:bidi w:val="0"/>
            </w:pPr>
            <w:r>
              <w:rPr>
                <w:rFonts w:hint="eastAsia"/>
              </w:rPr>
              <w:t>A</w:t>
            </w:r>
          </w:p>
        </w:tc>
        <w:tc>
          <w:tcPr>
            <w:tcW w:w="1250" w:type="pct"/>
          </w:tcPr>
          <w:p>
            <w:pPr>
              <w:pStyle w:val="39"/>
              <w:bidi w:val="0"/>
            </w:pPr>
            <w:r>
              <w:rPr>
                <w:rFonts w:hint="eastAsia"/>
              </w:rPr>
              <w:t>直接辐射主导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8" w:type="pct"/>
          </w:tcPr>
          <w:p>
            <w:pPr>
              <w:pStyle w:val="39"/>
              <w:bidi w:val="0"/>
            </w:pPr>
            <w:r>
              <w:rPr>
                <w:rFonts w:hint="eastAsia"/>
              </w:rPr>
              <w:t>高</w:t>
            </w:r>
          </w:p>
        </w:tc>
        <w:tc>
          <w:tcPr>
            <w:tcW w:w="1250" w:type="pct"/>
          </w:tcPr>
          <w:p>
            <w:pPr>
              <w:pStyle w:val="39"/>
              <w:bidi w:val="0"/>
            </w:pPr>
            <w:r>
              <w:rPr>
                <w:rFonts w:hint="eastAsia"/>
              </w:rPr>
              <w:t>0.5≤RW＜0.6</w:t>
            </w:r>
          </w:p>
        </w:tc>
        <w:tc>
          <w:tcPr>
            <w:tcW w:w="1250" w:type="pct"/>
          </w:tcPr>
          <w:p>
            <w:pPr>
              <w:pStyle w:val="39"/>
              <w:bidi w:val="0"/>
            </w:pPr>
            <w:r>
              <w:rPr>
                <w:rFonts w:hint="eastAsia"/>
              </w:rPr>
              <w:t>B</w:t>
            </w:r>
          </w:p>
        </w:tc>
        <w:tc>
          <w:tcPr>
            <w:tcW w:w="1250" w:type="pct"/>
          </w:tcPr>
          <w:p>
            <w:pPr>
              <w:pStyle w:val="39"/>
              <w:bidi w:val="0"/>
            </w:pPr>
            <w:r>
              <w:rPr>
                <w:rFonts w:hint="eastAsia"/>
              </w:rPr>
              <w:t>直接辐射较多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8" w:type="pct"/>
          </w:tcPr>
          <w:p>
            <w:pPr>
              <w:pStyle w:val="39"/>
              <w:bidi w:val="0"/>
            </w:pPr>
            <w:r>
              <w:rPr>
                <w:rFonts w:hint="eastAsia"/>
              </w:rPr>
              <w:t>中</w:t>
            </w:r>
          </w:p>
        </w:tc>
        <w:tc>
          <w:tcPr>
            <w:tcW w:w="1250" w:type="pct"/>
          </w:tcPr>
          <w:p>
            <w:pPr>
              <w:pStyle w:val="39"/>
              <w:bidi w:val="0"/>
            </w:pPr>
            <w:r>
              <w:rPr>
                <w:rFonts w:hint="eastAsia"/>
              </w:rPr>
              <w:t>0.35≤RW＜0.5</w:t>
            </w:r>
          </w:p>
        </w:tc>
        <w:tc>
          <w:tcPr>
            <w:tcW w:w="1250" w:type="pct"/>
          </w:tcPr>
          <w:p>
            <w:pPr>
              <w:pStyle w:val="39"/>
              <w:bidi w:val="0"/>
            </w:pPr>
            <w:r>
              <w:rPr>
                <w:rFonts w:hint="eastAsia"/>
              </w:rPr>
              <w:t>C</w:t>
            </w:r>
          </w:p>
        </w:tc>
        <w:tc>
          <w:tcPr>
            <w:tcW w:w="1250" w:type="pct"/>
          </w:tcPr>
          <w:p>
            <w:pPr>
              <w:pStyle w:val="39"/>
              <w:bidi w:val="0"/>
            </w:pPr>
            <w:r>
              <w:rPr>
                <w:rFonts w:hint="eastAsia"/>
              </w:rPr>
              <w:t>散射辐射较多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8" w:type="pct"/>
          </w:tcPr>
          <w:p>
            <w:pPr>
              <w:pStyle w:val="39"/>
              <w:bidi w:val="0"/>
            </w:pPr>
            <w:r>
              <w:rPr>
                <w:rFonts w:hint="eastAsia"/>
              </w:rPr>
              <w:t>低</w:t>
            </w:r>
          </w:p>
        </w:tc>
        <w:tc>
          <w:tcPr>
            <w:tcW w:w="1250" w:type="pct"/>
          </w:tcPr>
          <w:p>
            <w:pPr>
              <w:pStyle w:val="39"/>
              <w:bidi w:val="0"/>
            </w:pPr>
            <w:r>
              <w:rPr>
                <w:rFonts w:hint="eastAsia"/>
              </w:rPr>
              <w:t>RW＜0.35</w:t>
            </w:r>
          </w:p>
        </w:tc>
        <w:tc>
          <w:tcPr>
            <w:tcW w:w="1250" w:type="pct"/>
          </w:tcPr>
          <w:p>
            <w:pPr>
              <w:pStyle w:val="39"/>
              <w:bidi w:val="0"/>
            </w:pPr>
            <w:r>
              <w:rPr>
                <w:rFonts w:hint="eastAsia"/>
              </w:rPr>
              <w:t>D</w:t>
            </w:r>
          </w:p>
        </w:tc>
        <w:tc>
          <w:tcPr>
            <w:tcW w:w="1250" w:type="pct"/>
          </w:tcPr>
          <w:p>
            <w:pPr>
              <w:pStyle w:val="39"/>
              <w:bidi w:val="0"/>
            </w:pPr>
            <w:r>
              <w:rPr>
                <w:rFonts w:hint="eastAsia"/>
              </w:rPr>
              <w:t>散射辐射主导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4"/>
          </w:tcPr>
          <w:p>
            <w:pPr>
              <w:pStyle w:val="39"/>
              <w:bidi w:val="0"/>
              <w:jc w:val="left"/>
            </w:pPr>
            <w:r>
              <w:rPr>
                <w:rFonts w:hint="eastAsia"/>
              </w:rPr>
              <w:t>注：DHRR表示直射比，计算DHRR时，首先计算代表年水平面直接辐照量和总辐照量，然后求二者之比。</w:t>
            </w:r>
          </w:p>
        </w:tc>
      </w:tr>
    </w:tbl>
    <w:p>
      <w:pPr>
        <w:pageBreakBefore w:val="0"/>
        <w:wordWrap/>
        <w:topLinePunct w:val="0"/>
        <w:bidi w:val="0"/>
        <w:snapToGrid/>
        <w:spacing w:line="240" w:lineRule="auto"/>
        <w:rPr>
          <w:rFonts w:cs="方正仿宋_GB2312"/>
        </w:rPr>
      </w:pPr>
      <w:r>
        <w:rPr>
          <w:rFonts w:hint="eastAsia" w:cs="方正仿宋_GB2312"/>
        </w:rPr>
        <w:t>基于GB/T 37526-2019《太阳能资源评估方法》的直射比等级划分标准，利用Solargis数据库数据可知，康巴什区年水平面直接辐照量为3561.84MJ/m</w:t>
      </w:r>
      <w:r>
        <w:rPr>
          <w:rFonts w:hint="eastAsia" w:cs="方正仿宋_GB2312"/>
          <w:vertAlign w:val="superscript"/>
        </w:rPr>
        <w:t>2</w:t>
      </w:r>
      <w:r>
        <w:rPr>
          <w:rFonts w:hint="eastAsia" w:cs="方正仿宋_GB2312"/>
        </w:rPr>
        <w:t>，年总辐照量为5881.68MJ/m</w:t>
      </w:r>
      <w:r>
        <w:rPr>
          <w:rFonts w:hint="eastAsia" w:cs="方正仿宋_GB2312"/>
          <w:vertAlign w:val="superscript"/>
        </w:rPr>
        <w:t>2</w:t>
      </w:r>
      <w:r>
        <w:rPr>
          <w:rFonts w:hint="eastAsia" w:cs="方正仿宋_GB2312"/>
        </w:rPr>
        <w:t>，计算得到太阳能资源直射比为0.61。根据直射比等级划分，光伏场址区域直射比属于很高级，该区域直接辐射较多，有利于光伏电站的开发。</w:t>
      </w:r>
    </w:p>
    <w:p>
      <w:pPr>
        <w:pageBreakBefore w:val="0"/>
        <w:wordWrap/>
        <w:topLinePunct w:val="0"/>
        <w:bidi w:val="0"/>
        <w:snapToGrid/>
        <w:spacing w:line="240" w:lineRule="auto"/>
      </w:pPr>
      <w:r>
        <w:rPr>
          <w:rFonts w:hint="eastAsia" w:cs="方正仿宋_GB2312"/>
        </w:rPr>
        <w:t>从以上分析可知，采用Solargis数据库辐射量，规划区域光伏电站年平均太阳辐射量为5881.68MJ/m</w:t>
      </w:r>
      <w:r>
        <w:rPr>
          <w:rFonts w:hint="eastAsia" w:cs="方正仿宋_GB2312"/>
          <w:vertAlign w:val="superscript"/>
        </w:rPr>
        <w:t>2</w:t>
      </w:r>
      <w:r>
        <w:rPr>
          <w:rFonts w:hint="eastAsia" w:cs="方正仿宋_GB2312"/>
        </w:rPr>
        <w:t>，水平面散射辐射2319.84MJ/m</w:t>
      </w:r>
      <w:r>
        <w:rPr>
          <w:rFonts w:hint="eastAsia" w:cs="方正仿宋_GB2312"/>
          <w:vertAlign w:val="superscript"/>
        </w:rPr>
        <w:t>2</w:t>
      </w:r>
      <w:r>
        <w:rPr>
          <w:rFonts w:hint="eastAsia" w:cs="方正仿宋_GB2312"/>
        </w:rPr>
        <w:t>，根据《太阳能资源等级总辐射》（GB/T 31155-2014）、《太阳能资源评估方法》（GB/T 37526-2019）等级划分，场址区域属于全国太阳能资源B类地区（资源很丰富区）。该地区夏季辐射强，冬季辐射弱，太阳能资源稳定度GHRS=0.358，太阳能资源稳定度属于“一般”区域（C级）。全年的直射比为0.61，直射比属于很高（A级），该区域属于直接辐射占主导。因此，具有较好的光伏电站开发价值。</w:t>
      </w:r>
    </w:p>
    <w:p>
      <w:pPr>
        <w:pageBreakBefore w:val="0"/>
        <w:wordWrap/>
        <w:topLinePunct w:val="0"/>
        <w:bidi w:val="0"/>
        <w:snapToGrid/>
        <w:spacing w:line="240" w:lineRule="auto"/>
        <w:outlineLvl w:val="1"/>
        <w:rPr>
          <w:rFonts w:eastAsia="楷体" w:cs="楷体"/>
        </w:rPr>
      </w:pPr>
      <w:bookmarkStart w:id="116" w:name="_Toc29873"/>
      <w:bookmarkStart w:id="117" w:name="_Toc6154"/>
      <w:bookmarkStart w:id="118" w:name="_Toc16985"/>
      <w:bookmarkStart w:id="119" w:name="_Toc13834"/>
      <w:bookmarkStart w:id="120" w:name="_Toc4970"/>
      <w:bookmarkStart w:id="121" w:name="_Toc14989"/>
      <w:bookmarkStart w:id="122" w:name="_Toc32200"/>
      <w:r>
        <w:rPr>
          <w:rFonts w:hint="eastAsia" w:eastAsia="楷体" w:cs="楷体"/>
        </w:rPr>
        <w:t>（四）电网条件</w:t>
      </w:r>
      <w:bookmarkEnd w:id="116"/>
      <w:bookmarkEnd w:id="117"/>
      <w:bookmarkEnd w:id="118"/>
      <w:bookmarkEnd w:id="119"/>
      <w:bookmarkEnd w:id="120"/>
      <w:bookmarkEnd w:id="121"/>
      <w:bookmarkEnd w:id="122"/>
    </w:p>
    <w:p>
      <w:pPr>
        <w:pageBreakBefore w:val="0"/>
        <w:wordWrap/>
        <w:topLinePunct w:val="0"/>
        <w:bidi w:val="0"/>
        <w:snapToGrid/>
        <w:spacing w:line="240" w:lineRule="auto"/>
      </w:pPr>
      <w:r>
        <w:rPr>
          <w:rFonts w:hint="eastAsia"/>
        </w:rPr>
        <w:t>鄂尔多斯电网位于内蒙古电网的西南部，按电网分布情况，可分为鄂尔多斯中部供电区（包括达拉特旗地区、东胜地区、伊金霍洛旗地区、乌审旗地区和杭锦旗地区）和鄂尔多斯西部供电区（包括鄂托克旗、鄂托克前旗）。</w:t>
      </w:r>
    </w:p>
    <w:p>
      <w:pPr>
        <w:pageBreakBefore w:val="0"/>
        <w:wordWrap/>
        <w:topLinePunct w:val="0"/>
        <w:bidi w:val="0"/>
        <w:snapToGrid/>
        <w:spacing w:line="240" w:lineRule="auto"/>
      </w:pPr>
      <w:r>
        <w:rPr>
          <w:rFonts w:hint="eastAsia"/>
        </w:rPr>
        <w:t>鄂尔多斯中部供电区分别通过布日都～乌海、响沙湾～高新、响沙湾～永圣域共6回500kV线路与乌海、包头、呼市电网相连。鄂中部供电区现已形成了以布日都、响沙湾、甘迪尔、阿勒泰四座500kV变电站为中心，220kV为主供电网架的网络格局。其中响沙湾供电区以响沙湾500kV变电源点，分别通过2回及以上220kV线路辐射状向达旗、杭锦旗地区供电；布日都、甘迪尔联合供电区以布日都、甘迪尔、阿勒泰500kV变为支点，通过220kV环网及500/220kV电磁环网向东胜区、乌审旗地区、伊金霍洛旗地区、鄂托克旗地区供电，分别形成布日都～东胜北郊～马莲、布日都～马莲～乌兰木伦、布日都～乌兰木伦～扎萨克～甘迪尔、布日都～掌岗图～甘迪尔、甘迪尔苏贝～图忽岱、苏贝～乌审～图忽岱、无定河～乌审～图忽岱、阿勒泰～乌审图忽岱～无定河多个220kV环网及500/220kV电磁环网。</w:t>
      </w:r>
    </w:p>
    <w:p>
      <w:pPr>
        <w:pageBreakBefore w:val="0"/>
        <w:wordWrap/>
        <w:topLinePunct w:val="0"/>
        <w:bidi w:val="0"/>
        <w:snapToGrid/>
        <w:spacing w:line="240" w:lineRule="auto"/>
      </w:pPr>
      <w:r>
        <w:rPr>
          <w:rFonts w:hint="eastAsia"/>
        </w:rPr>
        <w:t>鄂尔多斯电网所辖500kV变电站5座，总变电容量12150MVA；220kV公用变电站28座，主变66台，总变电容量12300MVA，开关站一座。截至2023年底，鄂尔多斯电网覆盖范围内220kV输变电线路131条，线路总长度约4079.308km。</w:t>
      </w:r>
    </w:p>
    <w:p>
      <w:pPr>
        <w:pageBreakBefore w:val="0"/>
        <w:wordWrap/>
        <w:topLinePunct w:val="0"/>
        <w:bidi w:val="0"/>
        <w:snapToGrid/>
        <w:spacing w:line="240" w:lineRule="auto"/>
      </w:pPr>
      <w:r>
        <w:rPr>
          <w:rFonts w:hint="eastAsia"/>
        </w:rPr>
        <w:t>康巴什地区用电负荷由2座220kV变电站（康巴什变电站、装备变电站）、9座110kV变电站（青春山变电站、景观河变电站、红海子变电站、商混变电站、惠民变电站、寨子塔变电站、北区变电站、杨五壕变电站、幸福变电站）带出。与此同时，为满足城区负荷发展需要，减轻康巴什220kV变电站供电压力，加强和优化城区110kV电网结构，提高城区供电安全保障，规划2025年建设220kV卓越站，届时康巴什区负荷将由3座220kV变电站接带。康巴什区10kV配电线路88条，总长836.71千米。其中电缆线路571.93千米及架空线路164.78千米。按区域划分为核心城区线路39条，总长435.51千米，绝缘化率100%，互带率和转供率100%；各产业园区线路37条，总长226.66千米，绝缘化率100%，互带率和转供率100%；农村线路10条，总长134.54米，绝缘化率84.6%，互带率和转供率100%。所有线路负荷率均未超70%。目前分局公用线路83条，其中配网自动化线路完成建设的75条，配网自动化覆盖率90.36%。康巴什核心供电区内蒙古电网首个智能分布式配电网自愈系统，配网线路可实现“毫秒故障隔离，秒级自愈恢复供电”，供电可靠率实现99.999%，处于全国领先水平。</w:t>
      </w:r>
    </w:p>
    <w:p>
      <w:pPr>
        <w:pageBreakBefore w:val="0"/>
        <w:tabs>
          <w:tab w:val="left" w:pos="2694"/>
        </w:tabs>
        <w:wordWrap/>
        <w:topLinePunct w:val="0"/>
        <w:bidi w:val="0"/>
        <w:snapToGrid/>
        <w:spacing w:line="240" w:lineRule="auto"/>
      </w:pPr>
    </w:p>
    <w:p>
      <w:pPr>
        <w:pageBreakBefore w:val="0"/>
        <w:tabs>
          <w:tab w:val="left" w:pos="2694"/>
        </w:tabs>
        <w:wordWrap/>
        <w:topLinePunct w:val="0"/>
        <w:bidi w:val="0"/>
        <w:snapToGrid/>
        <w:spacing w:line="240" w:lineRule="auto"/>
        <w:sectPr>
          <w:footerReference r:id="rId12" w:type="default"/>
          <w:footerReference r:id="rId13" w:type="even"/>
          <w:pgSz w:w="11906" w:h="16838"/>
          <w:pgMar w:top="2098" w:right="1474" w:bottom="1984" w:left="1587" w:header="850" w:footer="1417" w:gutter="0"/>
          <w:pgBorders>
            <w:top w:val="none" w:sz="0" w:space="0"/>
            <w:left w:val="none" w:sz="0" w:space="0"/>
            <w:bottom w:val="none" w:sz="0" w:space="0"/>
            <w:right w:val="none" w:sz="0" w:space="0"/>
          </w:pgBorders>
          <w:pgNumType w:fmt="decimal" w:start="1"/>
          <w:cols w:space="0" w:num="1"/>
          <w:rtlGutter w:val="0"/>
          <w:docGrid w:type="linesAndChars" w:linePitch="607" w:charSpace="-1059"/>
        </w:sectPr>
      </w:pPr>
    </w:p>
    <w:p>
      <w:pPr>
        <w:pStyle w:val="39"/>
        <w:bidi w:val="0"/>
      </w:pPr>
      <w:r>
        <w:rPr>
          <w:rFonts w:hint="eastAsia"/>
        </w:rPr>
        <w:drawing>
          <wp:inline distT="0" distB="0" distL="114300" distR="114300">
            <wp:extent cx="6685280" cy="5024755"/>
            <wp:effectExtent l="0" t="0" r="5080" b="4445"/>
            <wp:docPr id="6" name="图片 6" descr="企业微信截图_171930539961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企业微信截图_17193053996142"/>
                    <pic:cNvPicPr>
                      <a:picLocks noChangeAspect="true"/>
                    </pic:cNvPicPr>
                  </pic:nvPicPr>
                  <pic:blipFill>
                    <a:blip r:embed="rId28"/>
                    <a:stretch>
                      <a:fillRect/>
                    </a:stretch>
                  </pic:blipFill>
                  <pic:spPr>
                    <a:xfrm>
                      <a:off x="0" y="0"/>
                      <a:ext cx="6685280" cy="5024755"/>
                    </a:xfrm>
                    <a:prstGeom prst="rect">
                      <a:avLst/>
                    </a:prstGeom>
                  </pic:spPr>
                </pic:pic>
              </a:graphicData>
            </a:graphic>
          </wp:inline>
        </w:drawing>
      </w:r>
    </w:p>
    <w:p>
      <w:pPr>
        <w:pStyle w:val="27"/>
        <w:bidi w:val="0"/>
      </w:pPr>
      <w:r>
        <w:rPr>
          <w:rFonts w:hint="eastAsia"/>
        </w:rPr>
        <w:t>图3</w:t>
      </w:r>
      <w:r>
        <w:t>-</w:t>
      </w:r>
      <w:r>
        <w:rPr>
          <w:rFonts w:hint="eastAsia"/>
          <w:lang w:val="en-US" w:eastAsia="zh-CN"/>
        </w:rPr>
        <w:t>9</w:t>
      </w:r>
      <w:r>
        <w:rPr>
          <w:rFonts w:hint="eastAsia"/>
        </w:rPr>
        <w:t xml:space="preserve"> 2023年底康巴什区电网地理接线示意图</w:t>
      </w:r>
    </w:p>
    <w:p>
      <w:pPr>
        <w:pStyle w:val="27"/>
        <w:bidi w:val="0"/>
        <w:sectPr>
          <w:footerReference r:id="rId14" w:type="default"/>
          <w:footerReference r:id="rId15" w:type="even"/>
          <w:pgSz w:w="16838" w:h="11906" w:orient="landscape"/>
          <w:pgMar w:top="707" w:right="2098" w:bottom="1474" w:left="1984" w:header="850" w:footer="1417" w:gutter="0"/>
          <w:pgBorders>
            <w:top w:val="none" w:sz="0" w:space="0"/>
            <w:left w:val="none" w:sz="0" w:space="0"/>
            <w:bottom w:val="none" w:sz="0" w:space="0"/>
            <w:right w:val="none" w:sz="0" w:space="0"/>
          </w:pgBorders>
          <w:pgNumType w:fmt="decimal"/>
          <w:cols w:space="0" w:num="1"/>
          <w:rtlGutter w:val="0"/>
          <w:docGrid w:type="linesAndChars" w:linePitch="607" w:charSpace="-1059"/>
        </w:sectPr>
      </w:pPr>
    </w:p>
    <w:p>
      <w:pPr>
        <w:pageBreakBefore w:val="0"/>
        <w:wordWrap/>
        <w:topLinePunct w:val="0"/>
        <w:bidi w:val="0"/>
        <w:snapToGrid/>
        <w:spacing w:line="240" w:lineRule="auto"/>
        <w:outlineLvl w:val="1"/>
        <w:rPr>
          <w:rFonts w:eastAsia="楷体" w:cs="楷体"/>
        </w:rPr>
      </w:pPr>
      <w:bookmarkStart w:id="123" w:name="_Toc1405"/>
      <w:bookmarkStart w:id="124" w:name="_Toc14176"/>
      <w:bookmarkStart w:id="125" w:name="_Toc30544"/>
      <w:bookmarkStart w:id="126" w:name="_Toc8238"/>
      <w:bookmarkStart w:id="127" w:name="_Toc13607"/>
      <w:bookmarkStart w:id="128" w:name="_Toc6058"/>
      <w:bookmarkStart w:id="129" w:name="_Toc22382"/>
      <w:r>
        <w:rPr>
          <w:rFonts w:hint="eastAsia" w:eastAsia="楷体" w:cs="楷体"/>
        </w:rPr>
        <w:t>（五）土地资源条件</w:t>
      </w:r>
      <w:bookmarkEnd w:id="123"/>
      <w:bookmarkEnd w:id="124"/>
      <w:bookmarkEnd w:id="125"/>
      <w:bookmarkEnd w:id="126"/>
      <w:bookmarkEnd w:id="127"/>
      <w:bookmarkEnd w:id="128"/>
      <w:bookmarkEnd w:id="129"/>
    </w:p>
    <w:p>
      <w:pPr>
        <w:pageBreakBefore w:val="0"/>
        <w:wordWrap/>
        <w:topLinePunct w:val="0"/>
        <w:bidi w:val="0"/>
        <w:snapToGrid/>
        <w:spacing w:line="240" w:lineRule="auto"/>
        <w:rPr>
          <w:rFonts w:eastAsia="方正仿宋_GB2312"/>
        </w:rPr>
      </w:pPr>
      <w:r>
        <w:rPr>
          <w:rFonts w:hint="eastAsia"/>
        </w:rPr>
        <w:t>康巴什区总面积</w:t>
      </w:r>
      <w:r>
        <w:t>372.2</w:t>
      </w:r>
      <w:r>
        <w:rPr>
          <w:rFonts w:hint="eastAsia"/>
        </w:rPr>
        <w:t>平方公里，全区不涉及生态保护红线、自然保护地、国家公益林、基本草原等，基本农田占地约</w:t>
      </w:r>
      <w:r>
        <w:t>14.2</w:t>
      </w:r>
      <w:r>
        <w:rPr>
          <w:rFonts w:hint="eastAsia"/>
        </w:rPr>
        <w:t>平方公里，占全区总面积的</w:t>
      </w:r>
      <w:r>
        <w:t>3.82%</w:t>
      </w:r>
      <w:r>
        <w:rPr>
          <w:rFonts w:hint="eastAsia"/>
        </w:rPr>
        <w:t>。根据最新国土变更</w:t>
      </w:r>
      <w:r>
        <w:rPr>
          <w:rFonts w:hint="eastAsia" w:cs="仿宋_GB2312"/>
        </w:rPr>
        <w:t>调</w:t>
      </w:r>
      <w:r>
        <w:rPr>
          <w:rFonts w:hint="eastAsia"/>
        </w:rPr>
        <w:t>查</w:t>
      </w:r>
      <w:r>
        <w:rPr>
          <w:rFonts w:hint="eastAsia" w:cs="仿宋_GB2312"/>
        </w:rPr>
        <w:t>主要数据</w:t>
      </w:r>
      <w:r>
        <w:rPr>
          <w:rFonts w:hint="eastAsia"/>
        </w:rPr>
        <w:t>，康巴什区耕</w:t>
      </w:r>
      <w:r>
        <w:rPr>
          <w:rFonts w:hint="eastAsia" w:cs="仿宋_GB2312"/>
        </w:rPr>
        <w:t>地面积</w:t>
      </w:r>
      <w:r>
        <w:rPr>
          <w:rFonts w:hint="eastAsia"/>
        </w:rPr>
        <w:t>1562.28公顷、园地面积3.63公顷、林地面积11600.14公顷、草地</w:t>
      </w:r>
      <w:r>
        <w:t>16368.8</w:t>
      </w:r>
      <w:r>
        <w:rPr>
          <w:rFonts w:hint="eastAsia"/>
        </w:rPr>
        <w:t>公顷、湿</w:t>
      </w:r>
      <w:r>
        <w:rPr>
          <w:rFonts w:hint="eastAsia" w:cs="仿宋_GB2312"/>
        </w:rPr>
        <w:t>地</w:t>
      </w:r>
      <w:r>
        <w:t>66.86</w:t>
      </w:r>
      <w:r>
        <w:rPr>
          <w:rFonts w:hint="eastAsia"/>
        </w:rPr>
        <w:t>公顷、城镇村</w:t>
      </w:r>
      <w:r>
        <w:rPr>
          <w:rFonts w:hint="eastAsia" w:cs="仿宋_GB2312"/>
        </w:rPr>
        <w:t>及工矿用地</w:t>
      </w:r>
      <w:r>
        <w:t>4636.57</w:t>
      </w:r>
      <w:r>
        <w:rPr>
          <w:rFonts w:hint="eastAsia"/>
        </w:rPr>
        <w:t>公顷、交通运输</w:t>
      </w:r>
      <w:r>
        <w:rPr>
          <w:rFonts w:hint="eastAsia" w:cs="仿宋_GB2312"/>
        </w:rPr>
        <w:t>用地</w:t>
      </w:r>
      <w:r>
        <w:t>624.4</w:t>
      </w:r>
      <w:r>
        <w:rPr>
          <w:rFonts w:hint="eastAsia"/>
        </w:rPr>
        <w:t>公顷、水域及水利设施用地</w:t>
      </w:r>
      <w:r>
        <w:t>1314.67</w:t>
      </w:r>
      <w:r>
        <w:rPr>
          <w:rFonts w:hint="eastAsia"/>
        </w:rPr>
        <w:t>公顷。按照国家和自治区关于新能源建设土地利用相关规定，结合自治区林草分区管控政策规定</w:t>
      </w:r>
      <w:r>
        <w:rPr>
          <w:rFonts w:hint="eastAsia" w:eastAsia="方正仿宋_GB2312"/>
        </w:rPr>
        <w:t>，统计全区风电开发可利用土地面积约185.8平方公里，占土地总面积的49.7%；全区光伏开发可利用土地面积约222.8平方公里，占土地总面积的59.6%。康巴什区可用于新能源开发的土地分布如下图所示。</w:t>
      </w:r>
    </w:p>
    <w:p>
      <w:pPr>
        <w:pStyle w:val="39"/>
        <w:bidi w:val="0"/>
      </w:pPr>
      <w:r>
        <w:rPr>
          <w:rFonts w:hint="eastAsia"/>
        </w:rPr>
        <w:drawing>
          <wp:inline distT="0" distB="0" distL="114300" distR="114300">
            <wp:extent cx="4307205" cy="3191510"/>
            <wp:effectExtent l="0" t="0" r="5715" b="8890"/>
            <wp:docPr id="21" name="图片 21" descr="d3e4eb56c77eb920ebfba60ae8febc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descr="d3e4eb56c77eb920ebfba60ae8febc7"/>
                    <pic:cNvPicPr>
                      <a:picLocks noChangeAspect="true"/>
                    </pic:cNvPicPr>
                  </pic:nvPicPr>
                  <pic:blipFill>
                    <a:blip r:embed="rId29"/>
                    <a:stretch>
                      <a:fillRect/>
                    </a:stretch>
                  </pic:blipFill>
                  <pic:spPr>
                    <a:xfrm>
                      <a:off x="0" y="0"/>
                      <a:ext cx="4307205" cy="3191510"/>
                    </a:xfrm>
                    <a:prstGeom prst="rect">
                      <a:avLst/>
                    </a:prstGeom>
                  </pic:spPr>
                </pic:pic>
              </a:graphicData>
            </a:graphic>
          </wp:inline>
        </w:drawing>
      </w:r>
    </w:p>
    <w:p>
      <w:pPr>
        <w:pStyle w:val="27"/>
        <w:bidi w:val="0"/>
      </w:pPr>
      <w:r>
        <w:rPr>
          <w:rFonts w:hint="eastAsia"/>
        </w:rPr>
        <w:t>图3-1</w:t>
      </w:r>
      <w:r>
        <w:rPr>
          <w:rFonts w:hint="eastAsia"/>
          <w:lang w:val="en-US" w:eastAsia="zh-CN"/>
        </w:rPr>
        <w:t>0</w:t>
      </w:r>
      <w:r>
        <w:rPr>
          <w:rFonts w:hint="eastAsia"/>
        </w:rPr>
        <w:t xml:space="preserve"> 康巴什区可用于新能源开发土地分布图</w:t>
      </w:r>
    </w:p>
    <w:p>
      <w:pPr>
        <w:pageBreakBefore w:val="0"/>
        <w:wordWrap/>
        <w:topLinePunct w:val="0"/>
        <w:bidi w:val="0"/>
        <w:snapToGrid/>
        <w:spacing w:before="156" w:beforeLines="50" w:line="240" w:lineRule="auto"/>
        <w:outlineLvl w:val="1"/>
        <w:rPr>
          <w:rFonts w:eastAsia="楷体" w:cs="楷体"/>
        </w:rPr>
      </w:pPr>
      <w:bookmarkStart w:id="130" w:name="_Toc28285"/>
      <w:bookmarkStart w:id="131" w:name="_Toc6966"/>
      <w:bookmarkStart w:id="132" w:name="_Toc27394"/>
      <w:bookmarkStart w:id="133" w:name="_Toc119322358"/>
      <w:bookmarkStart w:id="134" w:name="_Toc4292"/>
      <w:bookmarkStart w:id="135" w:name="_Toc21106"/>
      <w:bookmarkStart w:id="136" w:name="_Toc31249"/>
      <w:bookmarkStart w:id="137" w:name="_Toc7194"/>
      <w:bookmarkStart w:id="138" w:name="_Toc15975"/>
      <w:r>
        <w:rPr>
          <w:rFonts w:hint="eastAsia" w:eastAsia="楷体" w:cs="楷体"/>
        </w:rPr>
        <w:t>（六）发展形势</w:t>
      </w:r>
      <w:bookmarkEnd w:id="130"/>
      <w:bookmarkEnd w:id="131"/>
      <w:bookmarkEnd w:id="132"/>
      <w:bookmarkEnd w:id="133"/>
      <w:bookmarkEnd w:id="134"/>
      <w:bookmarkEnd w:id="135"/>
      <w:bookmarkEnd w:id="136"/>
      <w:bookmarkEnd w:id="137"/>
    </w:p>
    <w:p>
      <w:pPr>
        <w:pageBreakBefore w:val="0"/>
        <w:wordWrap/>
        <w:topLinePunct w:val="0"/>
        <w:bidi w:val="0"/>
        <w:snapToGrid/>
        <w:spacing w:line="240" w:lineRule="auto"/>
      </w:pPr>
      <w:r>
        <w:rPr>
          <w:rFonts w:hint="eastAsia"/>
        </w:rPr>
        <w:t>加快构建清洁低碳、安全高效的能源体系，更好的发挥新能源在能源保供增供方面的作用，助力实现碳达峰、碳中和，是落实</w:t>
      </w:r>
      <w:r>
        <w:rPr>
          <w:rFonts w:hint="eastAsia"/>
          <w:lang w:eastAsia="zh-CN"/>
        </w:rPr>
        <w:t>党中央、国务院</w:t>
      </w:r>
      <w:r>
        <w:rPr>
          <w:rFonts w:hint="eastAsia"/>
        </w:rPr>
        <w:t>重大决策部署的重要举措。康巴什区风光资源丰富，电网调峰资源较好，为区域新能源大规模、高比例、市场化和高质量发展创造良好条件。2021年</w:t>
      </w:r>
      <w:r>
        <w:t>自治区</w:t>
      </w:r>
      <w:r>
        <w:rPr>
          <w:rFonts w:hint="eastAsia"/>
        </w:rPr>
        <w:t>召开</w:t>
      </w:r>
      <w:r>
        <w:t>第十一次党代会，从全局和战略的高度，提出了</w:t>
      </w:r>
      <w:r>
        <w:rPr>
          <w:rFonts w:hint="eastAsia"/>
        </w:rPr>
        <w:t>“</w:t>
      </w:r>
      <w:r>
        <w:t>两个率先</w:t>
      </w:r>
      <w:r>
        <w:rPr>
          <w:rFonts w:hint="eastAsia"/>
        </w:rPr>
        <w:t>”“</w:t>
      </w:r>
      <w:r>
        <w:t>两个超过</w:t>
      </w:r>
      <w:r>
        <w:rPr>
          <w:rFonts w:hint="eastAsia"/>
        </w:rPr>
        <w:t>”</w:t>
      </w:r>
      <w:r>
        <w:t>的宏伟目标，明确了广泛拓展新能源场景应用、壮大风光氢储四大产业集群、推动新能源全产业链发展等工作任务，为未来一个时期</w:t>
      </w:r>
      <w:r>
        <w:rPr>
          <w:rFonts w:hint="eastAsia"/>
        </w:rPr>
        <w:t>全区</w:t>
      </w:r>
      <w:r>
        <w:t>新能源发展明确了努力方向</w:t>
      </w:r>
      <w:r>
        <w:rPr>
          <w:rFonts w:hint="eastAsia"/>
        </w:rPr>
        <w:t>。</w:t>
      </w:r>
    </w:p>
    <w:p>
      <w:pPr>
        <w:pageBreakBefore w:val="0"/>
        <w:wordWrap/>
        <w:topLinePunct w:val="0"/>
        <w:bidi w:val="0"/>
        <w:snapToGrid/>
        <w:spacing w:line="240" w:lineRule="auto"/>
        <w:rPr>
          <w:rFonts w:eastAsia="黑体" w:cs="黑体"/>
          <w:snapToGrid w:val="0"/>
          <w:color w:val="000000"/>
          <w:spacing w:val="-2"/>
          <w:kern w:val="0"/>
          <w:sz w:val="30"/>
          <w:szCs w:val="30"/>
        </w:rPr>
      </w:pPr>
      <w:r>
        <w:rPr>
          <w:rFonts w:hint="eastAsia"/>
        </w:rPr>
        <w:t>目前自治区新能源项目开发形式呈现多元化发展，</w:t>
      </w:r>
      <w:r>
        <w:t>鄂尔多斯市作为自治区</w:t>
      </w:r>
      <w:r>
        <w:rPr>
          <w:rFonts w:hint="eastAsia"/>
        </w:rPr>
        <w:t>重要</w:t>
      </w:r>
      <w:r>
        <w:t>能源基地</w:t>
      </w:r>
      <w:r>
        <w:rPr>
          <w:rFonts w:hint="eastAsia"/>
        </w:rPr>
        <w:t>的</w:t>
      </w:r>
      <w:r>
        <w:t>排头兵开展了</w:t>
      </w:r>
      <w:r>
        <w:rPr>
          <w:rFonts w:hint="eastAsia"/>
        </w:rPr>
        <w:t>各类</w:t>
      </w:r>
      <w:r>
        <w:t>新能源项目的开发</w:t>
      </w:r>
      <w:r>
        <w:rPr>
          <w:rFonts w:hint="eastAsia"/>
        </w:rPr>
        <w:t>，包含风电光伏外送基地、保障性并网、源网荷储、风光制氢、灵活性改造、园区清洁替代等</w:t>
      </w:r>
      <w:r>
        <w:t>项目</w:t>
      </w:r>
      <w:r>
        <w:rPr>
          <w:rFonts w:hint="eastAsia"/>
        </w:rPr>
        <w:t>类型</w:t>
      </w:r>
      <w:r>
        <w:t>，</w:t>
      </w:r>
      <w:r>
        <w:rPr>
          <w:rFonts w:hint="eastAsia"/>
        </w:rPr>
        <w:t>具有种类多、数量大、布局散的特点，为更好的支撑</w:t>
      </w:r>
      <w:r>
        <w:t>鄂尔多斯市</w:t>
      </w:r>
      <w:r>
        <w:rPr>
          <w:rFonts w:hint="eastAsia"/>
        </w:rPr>
        <w:t>新能源新模式发展、产业协同、高水平建设，推动土地集约高效利用，亟需做好新能源发展顶层设计，总体规划、分步实施，对康巴什区风光资源潜力、布局和有序利用进行系统性摸底和规划，形成资源开发指导性文件，构建完善的新能源高质量发展政策体系。</w:t>
      </w:r>
    </w:p>
    <w:p>
      <w:pPr>
        <w:pageBreakBefore w:val="0"/>
        <w:widowControl/>
        <w:kinsoku w:val="0"/>
        <w:wordWrap/>
        <w:topLinePunct w:val="0"/>
        <w:autoSpaceDE w:val="0"/>
        <w:autoSpaceDN w:val="0"/>
        <w:bidi w:val="0"/>
        <w:adjustRightInd w:val="0"/>
        <w:snapToGrid/>
        <w:spacing w:before="100" w:line="240" w:lineRule="auto"/>
        <w:ind w:left="601" w:firstLine="0" w:firstLineChars="0"/>
        <w:jc w:val="left"/>
        <w:textAlignment w:val="baseline"/>
        <w:outlineLvl w:val="0"/>
        <w:rPr>
          <w:rFonts w:eastAsia="黑体" w:cs="黑体"/>
          <w:snapToGrid w:val="0"/>
          <w:color w:val="000000"/>
          <w:spacing w:val="-2"/>
          <w:kern w:val="0"/>
          <w:szCs w:val="32"/>
        </w:rPr>
      </w:pPr>
      <w:bookmarkStart w:id="139" w:name="_Toc32572"/>
      <w:bookmarkStart w:id="140" w:name="_Toc3669"/>
      <w:bookmarkStart w:id="141" w:name="_Toc4242"/>
      <w:bookmarkStart w:id="142" w:name="_Toc14776"/>
      <w:bookmarkStart w:id="143" w:name="_Toc20167"/>
      <w:bookmarkStart w:id="144" w:name="_Toc11437"/>
      <w:bookmarkStart w:id="145" w:name="_Toc8561"/>
      <w:bookmarkStart w:id="146" w:name="_Toc18343"/>
      <w:r>
        <w:rPr>
          <w:rFonts w:hint="eastAsia" w:eastAsia="黑体" w:cs="黑体"/>
          <w:snapToGrid w:val="0"/>
          <w:color w:val="000000"/>
          <w:spacing w:val="-2"/>
          <w:kern w:val="0"/>
          <w:szCs w:val="32"/>
        </w:rPr>
        <w:t>四、</w:t>
      </w:r>
      <w:bookmarkEnd w:id="138"/>
      <w:r>
        <w:rPr>
          <w:rFonts w:hint="eastAsia" w:eastAsia="黑体" w:cs="黑体"/>
          <w:snapToGrid w:val="0"/>
          <w:color w:val="000000"/>
          <w:spacing w:val="-2"/>
          <w:kern w:val="0"/>
          <w:szCs w:val="32"/>
        </w:rPr>
        <w:t>总体布局</w:t>
      </w:r>
      <w:bookmarkEnd w:id="139"/>
      <w:bookmarkEnd w:id="140"/>
      <w:bookmarkEnd w:id="141"/>
      <w:bookmarkEnd w:id="142"/>
      <w:bookmarkEnd w:id="143"/>
      <w:bookmarkEnd w:id="144"/>
      <w:bookmarkEnd w:id="145"/>
      <w:bookmarkEnd w:id="146"/>
    </w:p>
    <w:p>
      <w:pPr>
        <w:pStyle w:val="28"/>
        <w:pageBreakBefore w:val="0"/>
        <w:wordWrap/>
        <w:topLinePunct w:val="0"/>
        <w:bidi w:val="0"/>
        <w:snapToGrid/>
        <w:spacing w:line="240" w:lineRule="auto"/>
        <w:rPr>
          <w:rFonts w:ascii="Times New Roman" w:hAnsi="Times New Roman"/>
        </w:rPr>
      </w:pPr>
      <w:bookmarkStart w:id="147" w:name="_Toc18067"/>
      <w:bookmarkStart w:id="148" w:name="_Toc4046"/>
      <w:bookmarkStart w:id="149" w:name="_Toc26536"/>
      <w:bookmarkStart w:id="150" w:name="_Toc9442"/>
      <w:bookmarkStart w:id="151" w:name="_Toc12898"/>
      <w:bookmarkStart w:id="152" w:name="_Toc24708"/>
      <w:bookmarkStart w:id="153" w:name="_Toc10004"/>
      <w:r>
        <w:rPr>
          <w:rFonts w:hint="eastAsia" w:ascii="Times New Roman" w:hAnsi="Times New Roman"/>
        </w:rPr>
        <w:t>（一）布局</w:t>
      </w:r>
      <w:r>
        <w:rPr>
          <w:rFonts w:hint="eastAsia" w:ascii="Times New Roman" w:hAnsi="Times New Roman" w:cs="仿宋_GB2312"/>
        </w:rPr>
        <w:t>原则</w:t>
      </w:r>
      <w:bookmarkEnd w:id="147"/>
      <w:bookmarkEnd w:id="148"/>
      <w:bookmarkEnd w:id="149"/>
      <w:bookmarkEnd w:id="150"/>
      <w:bookmarkEnd w:id="151"/>
      <w:bookmarkEnd w:id="152"/>
      <w:bookmarkEnd w:id="153"/>
    </w:p>
    <w:p>
      <w:pPr>
        <w:pageBreakBefore w:val="0"/>
        <w:wordWrap/>
        <w:topLinePunct w:val="0"/>
        <w:bidi w:val="0"/>
        <w:snapToGrid/>
        <w:spacing w:line="240" w:lineRule="auto"/>
        <w:rPr>
          <w:rFonts w:hint="default" w:eastAsia="仿宋_GB2312"/>
          <w:lang w:val="en-US" w:eastAsia="zh-CN"/>
        </w:rPr>
      </w:pPr>
      <w:r>
        <w:rPr>
          <w:rFonts w:hint="eastAsia"/>
        </w:rPr>
        <w:t>在城区范围内仅发展分布式新能源。在城市规划区以外，严格遵守各项新能源土地利用政策，充分考虑各项限制性因素影响，紧密结合最新国土三调和空间规划成果进行新能源场址布局。</w:t>
      </w:r>
      <w:r>
        <w:rPr>
          <w:rFonts w:hint="eastAsia"/>
          <w:lang w:val="en-US" w:eastAsia="zh-CN"/>
        </w:rPr>
        <w:t>结合康巴什区用地赔偿实际情况，经征求相关部门意见，康巴什区暂不考虑发展集中式风电，大型新能源项目以光伏为主。</w:t>
      </w:r>
    </w:p>
    <w:p>
      <w:pPr>
        <w:pageBreakBefore w:val="0"/>
        <w:wordWrap/>
        <w:topLinePunct w:val="0"/>
        <w:bidi w:val="0"/>
        <w:snapToGrid/>
        <w:spacing w:line="240" w:lineRule="auto"/>
        <w:rPr>
          <w:rFonts w:hint="eastAsia" w:eastAsia="仿宋_GB2312"/>
          <w:lang w:eastAsia="zh-CN"/>
        </w:rPr>
      </w:pPr>
      <w:r>
        <w:rPr>
          <w:rFonts w:hint="eastAsia"/>
        </w:rPr>
        <w:t>光伏电站选址原则为</w:t>
      </w:r>
      <w:r>
        <w:rPr>
          <w:rFonts w:hint="eastAsia"/>
          <w:lang w:eastAsia="zh-CN"/>
        </w:rPr>
        <w:t>：</w:t>
      </w:r>
    </w:p>
    <w:p>
      <w:pPr>
        <w:pageBreakBefore w:val="0"/>
        <w:wordWrap/>
        <w:topLinePunct w:val="0"/>
        <w:bidi w:val="0"/>
        <w:snapToGrid/>
        <w:spacing w:line="240" w:lineRule="auto"/>
      </w:pPr>
      <w:r>
        <w:rPr>
          <w:rFonts w:hint="eastAsia"/>
        </w:rPr>
        <w:t>1）太阳能资源：太阳能电站选址必须以具有可开发利用的太阳能资源为前提，本阶段利用中尺度气象数据分析规划电站的太阳能资源情况。</w:t>
      </w:r>
    </w:p>
    <w:p>
      <w:pPr>
        <w:pageBreakBefore w:val="0"/>
        <w:wordWrap/>
        <w:topLinePunct w:val="0"/>
        <w:bidi w:val="0"/>
        <w:snapToGrid/>
        <w:spacing w:line="240" w:lineRule="auto"/>
      </w:pPr>
      <w:r>
        <w:rPr>
          <w:rFonts w:hint="eastAsia"/>
        </w:rPr>
        <w:t>2）建设规模：规划太阳能电站尽量集中连片，必须具备一定的开发规模。</w:t>
      </w:r>
    </w:p>
    <w:p>
      <w:pPr>
        <w:pageBreakBefore w:val="0"/>
        <w:wordWrap/>
        <w:topLinePunct w:val="0"/>
        <w:bidi w:val="0"/>
        <w:snapToGrid/>
        <w:spacing w:line="240" w:lineRule="auto"/>
      </w:pPr>
      <w:bookmarkStart w:id="154" w:name="_Hlk162996138"/>
      <w:r>
        <w:rPr>
          <w:rFonts w:hint="eastAsia"/>
        </w:rPr>
        <w:t>3）地形地貌：太阳能电站场址优先选择沙地、裸土地等未利用地类进行选址建设，尽量避免使用林地。</w:t>
      </w:r>
    </w:p>
    <w:bookmarkEnd w:id="154"/>
    <w:p>
      <w:pPr>
        <w:pageBreakBefore w:val="0"/>
        <w:wordWrap/>
        <w:topLinePunct w:val="0"/>
        <w:bidi w:val="0"/>
        <w:snapToGrid/>
        <w:spacing w:line="240" w:lineRule="auto"/>
      </w:pPr>
      <w:r>
        <w:rPr>
          <w:rFonts w:hint="eastAsia"/>
        </w:rPr>
        <w:t>4）工程地质：太阳能电站场址应避免可能出现的洪水等不良地质灾害隐患。</w:t>
      </w:r>
    </w:p>
    <w:p>
      <w:pPr>
        <w:pageBreakBefore w:val="0"/>
        <w:wordWrap/>
        <w:topLinePunct w:val="0"/>
        <w:bidi w:val="0"/>
        <w:snapToGrid/>
        <w:spacing w:line="240" w:lineRule="auto"/>
      </w:pPr>
      <w:r>
        <w:rPr>
          <w:rFonts w:hint="eastAsia"/>
        </w:rPr>
        <w:t>5）接入条件：光伏电站场址尽可能靠近用电负荷及主干电网，最大限度的减少接入成本。</w:t>
      </w:r>
    </w:p>
    <w:p>
      <w:pPr>
        <w:pageBreakBefore w:val="0"/>
        <w:wordWrap/>
        <w:topLinePunct w:val="0"/>
        <w:bidi w:val="0"/>
        <w:snapToGrid/>
        <w:spacing w:line="240" w:lineRule="auto"/>
      </w:pPr>
      <w:r>
        <w:rPr>
          <w:rFonts w:hint="eastAsia"/>
        </w:rPr>
        <w:t>6）交通运输：太阳能电站选址应充分调查场区周边的现有交通情况，尽可能选在交通条件相对较好的区域。</w:t>
      </w:r>
    </w:p>
    <w:p>
      <w:pPr>
        <w:pageBreakBefore w:val="0"/>
        <w:wordWrap/>
        <w:topLinePunct w:val="0"/>
        <w:bidi w:val="0"/>
        <w:snapToGrid/>
        <w:spacing w:line="240" w:lineRule="auto"/>
      </w:pPr>
      <w:r>
        <w:rPr>
          <w:rFonts w:hint="eastAsia"/>
        </w:rPr>
        <w:t>7）环境保护：太阳能电站选址时应避开自然保护区、风景区、矿区、洪水易淹没区、军事管辖区等敏感区域。</w:t>
      </w:r>
    </w:p>
    <w:p>
      <w:pPr>
        <w:pageBreakBefore w:val="0"/>
        <w:wordWrap/>
        <w:topLinePunct w:val="0"/>
        <w:bidi w:val="0"/>
        <w:snapToGrid/>
        <w:spacing w:line="240" w:lineRule="auto"/>
      </w:pPr>
      <w:r>
        <w:rPr>
          <w:rFonts w:hint="eastAsia"/>
        </w:rPr>
        <w:t>本阶段根据数据库数据对规划区域的太阳能资源分析，初步选出了具备太阳能资源开发条件的场址，在此基础上对规划场址进行了现场踏勘，并结合1:50000地形图或地形分析软件及光伏电站规划与设计系统软件，以及各场址的太阳能资源、地形地貌、地质、电网接入、交通运输等建设条件。本次规划光伏组件采用固定式安装。</w:t>
      </w:r>
    </w:p>
    <w:p>
      <w:pPr>
        <w:pStyle w:val="28"/>
        <w:pageBreakBefore w:val="0"/>
        <w:wordWrap/>
        <w:topLinePunct w:val="0"/>
        <w:bidi w:val="0"/>
        <w:snapToGrid/>
        <w:spacing w:line="240" w:lineRule="auto"/>
        <w:rPr>
          <w:rFonts w:ascii="Times New Roman" w:hAnsi="Times New Roman"/>
        </w:rPr>
      </w:pPr>
      <w:bookmarkStart w:id="155" w:name="_Toc7912"/>
      <w:bookmarkStart w:id="156" w:name="_Toc1049"/>
      <w:bookmarkStart w:id="157" w:name="_Toc31604"/>
      <w:bookmarkStart w:id="158" w:name="_Toc5144"/>
      <w:bookmarkStart w:id="159" w:name="_Toc19575"/>
      <w:bookmarkStart w:id="160" w:name="_Toc26581"/>
      <w:bookmarkStart w:id="161" w:name="_Toc11622"/>
      <w:bookmarkStart w:id="162" w:name="_Toc429"/>
      <w:r>
        <w:rPr>
          <w:rFonts w:hint="eastAsia" w:ascii="Times New Roman" w:hAnsi="Times New Roman"/>
        </w:rPr>
        <w:t>（二）布局成果</w:t>
      </w:r>
      <w:bookmarkEnd w:id="155"/>
      <w:bookmarkEnd w:id="156"/>
      <w:bookmarkEnd w:id="157"/>
    </w:p>
    <w:p>
      <w:pPr>
        <w:pageBreakBefore w:val="0"/>
        <w:wordWrap/>
        <w:topLinePunct w:val="0"/>
        <w:bidi w:val="0"/>
        <w:snapToGrid/>
        <w:spacing w:line="240" w:lineRule="auto"/>
      </w:pPr>
      <w:r>
        <w:rPr>
          <w:rFonts w:hint="eastAsia"/>
        </w:rPr>
        <w:t>根据布局原则，基于康巴什区光伏宏观选址成果，</w:t>
      </w:r>
      <w:r>
        <w:rPr>
          <w:rFonts w:hint="eastAsia"/>
          <w:lang w:val="en-US" w:eastAsia="zh-CN"/>
        </w:rPr>
        <w:t>共</w:t>
      </w:r>
      <w:r>
        <w:rPr>
          <w:rFonts w:hint="eastAsia"/>
        </w:rPr>
        <w:t>在康巴什区</w:t>
      </w:r>
      <w:r>
        <w:rPr>
          <w:rFonts w:hint="eastAsia"/>
          <w:lang w:val="en-US" w:eastAsia="zh-CN"/>
        </w:rPr>
        <w:t>规划401</w:t>
      </w:r>
      <w:r>
        <w:rPr>
          <w:rFonts w:hint="eastAsia"/>
        </w:rPr>
        <w:t>万千瓦</w:t>
      </w:r>
      <w:r>
        <w:rPr>
          <w:rFonts w:hint="eastAsia"/>
          <w:lang w:val="en-US" w:eastAsia="zh-CN"/>
        </w:rPr>
        <w:t>光伏</w:t>
      </w:r>
      <w:r>
        <w:rPr>
          <w:rFonts w:hint="eastAsia"/>
        </w:rPr>
        <w:t>项目</w:t>
      </w:r>
      <w:r>
        <w:rPr>
          <w:rFonts w:hint="eastAsia"/>
          <w:lang w:eastAsia="zh-CN"/>
        </w:rPr>
        <w:t>。</w:t>
      </w:r>
      <w:r>
        <w:rPr>
          <w:rFonts w:hint="eastAsia"/>
        </w:rPr>
        <w:t>其中</w:t>
      </w:r>
      <w:r>
        <w:rPr>
          <w:rFonts w:hint="eastAsia"/>
          <w:lang w:eastAsia="zh-CN"/>
        </w:rPr>
        <w:t>，</w:t>
      </w:r>
      <w:r>
        <w:rPr>
          <w:rFonts w:hint="eastAsia"/>
          <w:lang w:val="en-US" w:eastAsia="zh-CN"/>
        </w:rPr>
        <w:t>近期规划</w:t>
      </w:r>
      <w:r>
        <w:rPr>
          <w:rFonts w:hint="eastAsia"/>
        </w:rPr>
        <w:t>集中式</w:t>
      </w:r>
      <w:r>
        <w:rPr>
          <w:rFonts w:hint="eastAsia"/>
          <w:lang w:val="en-US" w:eastAsia="zh-CN"/>
        </w:rPr>
        <w:t>光伏10</w:t>
      </w:r>
      <w:r>
        <w:rPr>
          <w:rFonts w:hint="eastAsia"/>
        </w:rPr>
        <w:t>0万千瓦，</w:t>
      </w:r>
      <w:r>
        <w:rPr>
          <w:rFonts w:hint="eastAsia"/>
          <w:lang w:val="en-US" w:eastAsia="zh-CN"/>
        </w:rPr>
        <w:t>分布</w:t>
      </w:r>
      <w:r>
        <w:rPr>
          <w:rFonts w:hint="eastAsia"/>
        </w:rPr>
        <w:t>式光伏</w:t>
      </w:r>
      <w:r>
        <w:rPr>
          <w:rFonts w:hint="eastAsia"/>
          <w:lang w:val="en-US" w:eastAsia="zh-CN"/>
        </w:rPr>
        <w:t>7</w:t>
      </w:r>
      <w:r>
        <w:rPr>
          <w:rFonts w:hint="eastAsia"/>
        </w:rPr>
        <w:t>万千瓦</w:t>
      </w:r>
      <w:r>
        <w:rPr>
          <w:rFonts w:hint="eastAsia"/>
          <w:lang w:eastAsia="zh-CN"/>
        </w:rPr>
        <w:t>，</w:t>
      </w:r>
      <w:r>
        <w:rPr>
          <w:rFonts w:hint="eastAsia"/>
          <w:lang w:val="en-US" w:eastAsia="zh-CN"/>
        </w:rPr>
        <w:t>分散式风电3万千瓦；远期</w:t>
      </w:r>
      <w:r>
        <w:rPr>
          <w:rFonts w:hint="eastAsia"/>
        </w:rPr>
        <w:t>规划集中式光伏</w:t>
      </w:r>
      <w:r>
        <w:rPr>
          <w:rFonts w:hint="eastAsia"/>
          <w:lang w:val="en-US" w:eastAsia="zh-CN"/>
        </w:rPr>
        <w:t>28</w:t>
      </w:r>
      <w:r>
        <w:rPr>
          <w:rFonts w:hint="eastAsia"/>
        </w:rPr>
        <w:t>0万千瓦，分布式光伏</w:t>
      </w:r>
      <w:r>
        <w:rPr>
          <w:rFonts w:hint="eastAsia"/>
          <w:lang w:val="en-US" w:eastAsia="zh-CN"/>
        </w:rPr>
        <w:t>11</w:t>
      </w:r>
      <w:r>
        <w:rPr>
          <w:rFonts w:hint="eastAsia"/>
        </w:rPr>
        <w:t>万千瓦。</w:t>
      </w:r>
    </w:p>
    <w:p>
      <w:pPr>
        <w:pageBreakBefore w:val="0"/>
        <w:wordWrap/>
        <w:topLinePunct w:val="0"/>
        <w:bidi w:val="0"/>
        <w:snapToGrid/>
        <w:spacing w:line="240" w:lineRule="auto"/>
        <w:rPr>
          <w:rFonts w:hint="default" w:eastAsia="仿宋_GB2312"/>
          <w:lang w:val="en-US" w:eastAsia="zh-CN"/>
        </w:rPr>
        <w:sectPr>
          <w:footerReference r:id="rId16" w:type="default"/>
          <w:footerReference r:id="rId17" w:type="even"/>
          <w:pgSz w:w="11906" w:h="16838"/>
          <w:pgMar w:top="2041" w:right="1474" w:bottom="1984" w:left="1587" w:header="850" w:footer="1417" w:gutter="0"/>
          <w:pgBorders>
            <w:top w:val="none" w:sz="0" w:space="0"/>
            <w:left w:val="none" w:sz="0" w:space="0"/>
            <w:bottom w:val="none" w:sz="0" w:space="0"/>
            <w:right w:val="none" w:sz="0" w:space="0"/>
          </w:pgBorders>
          <w:pgNumType w:fmt="decimal"/>
          <w:cols w:space="0" w:num="1"/>
          <w:rtlGutter w:val="0"/>
          <w:docGrid w:type="linesAndChars" w:linePitch="607" w:charSpace="-1059"/>
        </w:sectPr>
      </w:pPr>
      <w:r>
        <w:rPr>
          <w:rFonts w:hint="eastAsia"/>
        </w:rPr>
        <w:t>集中式项目规划场区主要位于远离康巴什区主城区的东部及西部，</w:t>
      </w:r>
      <w:r>
        <w:rPr>
          <w:rFonts w:hint="eastAsia"/>
          <w:lang w:val="en-US" w:eastAsia="zh-CN"/>
        </w:rPr>
        <w:t>共</w:t>
      </w:r>
      <w:r>
        <w:rPr>
          <w:rFonts w:hint="eastAsia"/>
        </w:rPr>
        <w:t>规划</w:t>
      </w:r>
      <w:r>
        <w:rPr>
          <w:rFonts w:hint="eastAsia"/>
          <w:lang w:val="en-US" w:eastAsia="zh-CN"/>
        </w:rPr>
        <w:t>有6个</w:t>
      </w:r>
      <w:r>
        <w:rPr>
          <w:rFonts w:hint="eastAsia"/>
        </w:rPr>
        <w:t>集中式光伏场址</w:t>
      </w:r>
      <w:r>
        <w:rPr>
          <w:rFonts w:hint="eastAsia"/>
          <w:lang w:eastAsia="zh-CN"/>
        </w:rPr>
        <w:t>，</w:t>
      </w:r>
      <w:r>
        <w:rPr>
          <w:rFonts w:hint="eastAsia"/>
        </w:rPr>
        <w:t>推荐场址分布如下图所示。</w:t>
      </w:r>
      <w:r>
        <w:rPr>
          <w:rFonts w:hint="eastAsia"/>
          <w:lang w:val="en-US" w:eastAsia="zh-CN"/>
        </w:rPr>
        <w:t>分布式项目主要布局在道路边坡、立交枢纽空地、建筑屋顶、停车场、工业园区周边可利用土地等，发展小规模、可就地利用的新能源项目。</w:t>
      </w:r>
    </w:p>
    <w:p>
      <w:pPr>
        <w:pageBreakBefore w:val="0"/>
        <w:wordWrap/>
        <w:topLinePunct w:val="0"/>
        <w:bidi w:val="0"/>
        <w:snapToGrid/>
        <w:spacing w:line="240" w:lineRule="auto"/>
        <w:ind w:firstLine="0" w:firstLineChars="0"/>
        <w:jc w:val="center"/>
        <w:rPr>
          <w:rFonts w:hint="eastAsia" w:eastAsia="仿宋_GB2312" w:cs="Times New Roman"/>
          <w:lang w:eastAsia="zh-CN"/>
        </w:rPr>
      </w:pPr>
      <w:r>
        <w:rPr>
          <w:rFonts w:hint="eastAsia" w:eastAsia="仿宋_GB2312" w:cs="Times New Roman"/>
          <w:lang w:eastAsia="zh-CN"/>
        </w:rPr>
        <w:drawing>
          <wp:inline distT="0" distB="0" distL="114300" distR="114300">
            <wp:extent cx="8246110" cy="4691380"/>
            <wp:effectExtent l="0" t="0" r="13970" b="2540"/>
            <wp:docPr id="1" name="图片 1" descr="df547ceaaee88f873d728dd5dd6bdb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df547ceaaee88f873d728dd5dd6bdb8"/>
                    <pic:cNvPicPr>
                      <a:picLocks noChangeAspect="true"/>
                    </pic:cNvPicPr>
                  </pic:nvPicPr>
                  <pic:blipFill>
                    <a:blip r:embed="rId30"/>
                    <a:stretch>
                      <a:fillRect/>
                    </a:stretch>
                  </pic:blipFill>
                  <pic:spPr>
                    <a:xfrm>
                      <a:off x="0" y="0"/>
                      <a:ext cx="8246110" cy="4691380"/>
                    </a:xfrm>
                    <a:prstGeom prst="rect">
                      <a:avLst/>
                    </a:prstGeom>
                  </pic:spPr>
                </pic:pic>
              </a:graphicData>
            </a:graphic>
          </wp:inline>
        </w:drawing>
      </w:r>
    </w:p>
    <w:p>
      <w:pPr>
        <w:pStyle w:val="27"/>
        <w:bidi w:val="0"/>
        <w:sectPr>
          <w:pgSz w:w="16838" w:h="11906" w:orient="landscape"/>
          <w:pgMar w:top="1587" w:right="2098" w:bottom="1474" w:left="1984" w:header="850" w:footer="1417" w:gutter="0"/>
          <w:pgBorders>
            <w:top w:val="none" w:sz="0" w:space="0"/>
            <w:left w:val="none" w:sz="0" w:space="0"/>
            <w:bottom w:val="none" w:sz="0" w:space="0"/>
            <w:right w:val="none" w:sz="0" w:space="0"/>
          </w:pgBorders>
          <w:pgNumType w:fmt="decimal"/>
          <w:cols w:space="0" w:num="1"/>
          <w:rtlGutter w:val="0"/>
          <w:docGrid w:type="linesAndChars" w:linePitch="607" w:charSpace="-1059"/>
        </w:sectPr>
      </w:pPr>
      <w:r>
        <w:rPr>
          <w:rFonts w:hint="eastAsia"/>
        </w:rPr>
        <w:t>图4</w:t>
      </w:r>
      <w:r>
        <w:t>-1</w:t>
      </w:r>
      <w:r>
        <w:rPr>
          <w:rFonts w:hint="eastAsia"/>
        </w:rPr>
        <w:t>康巴什区</w:t>
      </w:r>
      <w:r>
        <w:rPr>
          <w:rFonts w:hint="eastAsia"/>
          <w:lang w:val="en-US" w:eastAsia="zh-CN"/>
        </w:rPr>
        <w:t>新能源规划</w:t>
      </w:r>
      <w:r>
        <w:t>场址</w:t>
      </w:r>
      <w:r>
        <w:rPr>
          <w:rFonts w:hint="eastAsia"/>
          <w:lang w:val="en-US" w:eastAsia="zh-CN"/>
        </w:rPr>
        <w:t>布局</w:t>
      </w:r>
      <w:r>
        <w:t>示意图</w:t>
      </w:r>
    </w:p>
    <w:bookmarkEnd w:id="158"/>
    <w:bookmarkEnd w:id="159"/>
    <w:bookmarkEnd w:id="160"/>
    <w:bookmarkEnd w:id="161"/>
    <w:bookmarkEnd w:id="162"/>
    <w:p>
      <w:pPr>
        <w:pStyle w:val="28"/>
        <w:pageBreakBefore w:val="0"/>
        <w:wordWrap/>
        <w:topLinePunct w:val="0"/>
        <w:bidi w:val="0"/>
        <w:snapToGrid/>
        <w:spacing w:line="240" w:lineRule="auto"/>
        <w:rPr>
          <w:rFonts w:ascii="Times New Roman" w:hAnsi="Times New Roman"/>
        </w:rPr>
      </w:pPr>
      <w:bookmarkStart w:id="163" w:name="_Toc13342"/>
      <w:bookmarkStart w:id="164" w:name="_Toc32036"/>
      <w:bookmarkStart w:id="165" w:name="_Toc1928"/>
      <w:bookmarkStart w:id="166" w:name="_Toc1137"/>
      <w:bookmarkStart w:id="167" w:name="_Toc13216"/>
      <w:bookmarkStart w:id="168" w:name="_Toc7089"/>
      <w:bookmarkStart w:id="169" w:name="_Toc1134"/>
      <w:r>
        <w:rPr>
          <w:rFonts w:hint="eastAsia" w:ascii="Times New Roman" w:hAnsi="Times New Roman"/>
        </w:rPr>
        <w:t>（三）建设时序</w:t>
      </w:r>
      <w:bookmarkEnd w:id="163"/>
      <w:bookmarkEnd w:id="164"/>
      <w:bookmarkEnd w:id="165"/>
      <w:bookmarkEnd w:id="166"/>
      <w:bookmarkEnd w:id="167"/>
      <w:bookmarkEnd w:id="168"/>
      <w:bookmarkEnd w:id="169"/>
    </w:p>
    <w:p>
      <w:pPr>
        <w:pageBreakBefore w:val="0"/>
        <w:wordWrap/>
        <w:topLinePunct w:val="0"/>
        <w:bidi w:val="0"/>
        <w:snapToGrid/>
        <w:spacing w:line="240" w:lineRule="auto"/>
        <w:rPr>
          <w:rFonts w:hint="eastAsia"/>
        </w:rPr>
      </w:pPr>
      <w:r>
        <w:rPr>
          <w:rFonts w:hint="eastAsia"/>
        </w:rPr>
        <w:t>优先发展资源条件较好、与相关规划协调、消纳及接入条件落实，政策明确支持的新能源项目。此外，考虑为城市发展留有空间裕度，优先发展距离城镇规划区域较远的新能源场址及存量项目周边连续开发的新能源场址。综合以上因素，康巴什区新能源规划容量及开发时序汇总见</w:t>
      </w:r>
      <w:r>
        <w:rPr>
          <w:rFonts w:hint="eastAsia"/>
          <w:lang w:val="en-US" w:eastAsia="zh-CN"/>
        </w:rPr>
        <w:t>下</w:t>
      </w:r>
      <w:r>
        <w:rPr>
          <w:rFonts w:hint="eastAsia"/>
        </w:rPr>
        <w:t>表。</w:t>
      </w:r>
    </w:p>
    <w:p>
      <w:pPr>
        <w:pStyle w:val="27"/>
        <w:pageBreakBefore w:val="0"/>
        <w:wordWrap/>
        <w:topLinePunct w:val="0"/>
        <w:bidi w:val="0"/>
        <w:snapToGrid/>
        <w:spacing w:line="240" w:lineRule="auto"/>
        <w:jc w:val="center"/>
        <w:rPr>
          <w:rFonts w:hint="default" w:eastAsia="仿宋"/>
          <w:lang w:val="en-US" w:eastAsia="zh-CN"/>
        </w:rPr>
      </w:pPr>
      <w:r>
        <w:rPr>
          <w:rFonts w:hint="eastAsia"/>
        </w:rPr>
        <w:t>表4</w:t>
      </w:r>
      <w:r>
        <w:t xml:space="preserve">-1 </w:t>
      </w:r>
      <w:r>
        <w:rPr>
          <w:rFonts w:hint="eastAsia"/>
        </w:rPr>
        <w:t>康巴什区新能源规划项目开发时序表</w:t>
      </w:r>
      <w:r>
        <w:rPr>
          <w:rFonts w:hint="eastAsia"/>
          <w:lang w:val="en-US" w:eastAsia="zh-CN"/>
        </w:rPr>
        <w:t xml:space="preserve"> 单位：MW</w:t>
      </w:r>
    </w:p>
    <w:tbl>
      <w:tblPr>
        <w:tblStyle w:val="17"/>
        <w:tblW w:w="499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79"/>
        <w:gridCol w:w="3797"/>
        <w:gridCol w:w="945"/>
        <w:gridCol w:w="945"/>
        <w:gridCol w:w="945"/>
        <w:gridCol w:w="94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0" w:hRule="atLeast"/>
        </w:trPr>
        <w:tc>
          <w:tcPr>
            <w:tcW w:w="816" w:type="pct"/>
            <w:vMerge w:val="restart"/>
            <w:tcBorders>
              <w:tl2br w:val="nil"/>
              <w:tr2bl w:val="nil"/>
            </w:tcBorders>
            <w:shd w:val="clear" w:color="auto" w:fill="auto"/>
            <w:noWrap/>
            <w:vAlign w:val="center"/>
          </w:tcPr>
          <w:p>
            <w:pPr>
              <w:pStyle w:val="39"/>
              <w:bidi w:val="0"/>
            </w:pPr>
            <w:r>
              <w:rPr>
                <w:rFonts w:hint="eastAsia"/>
                <w:lang w:val="en-US" w:eastAsia="zh-CN"/>
              </w:rPr>
              <w:t>分</w:t>
            </w:r>
            <w:r>
              <w:rPr>
                <w:lang w:val="en-US" w:eastAsia="zh-CN"/>
              </w:rPr>
              <w:t>类</w:t>
            </w: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项目</w:t>
            </w:r>
            <w:r>
              <w:rPr>
                <w:lang w:val="en-US" w:eastAsia="zh-CN"/>
              </w:rPr>
              <w:t>名称</w:t>
            </w:r>
          </w:p>
        </w:tc>
        <w:tc>
          <w:tcPr>
            <w:tcW w:w="521" w:type="pct"/>
            <w:tcBorders>
              <w:tl2br w:val="nil"/>
              <w:tr2bl w:val="nil"/>
            </w:tcBorders>
            <w:shd w:val="clear" w:color="auto" w:fill="auto"/>
            <w:vAlign w:val="center"/>
          </w:tcPr>
          <w:p>
            <w:pPr>
              <w:pStyle w:val="39"/>
              <w:bidi w:val="0"/>
              <w:rPr>
                <w:rFonts w:hint="eastAsia"/>
              </w:rPr>
            </w:pPr>
            <w:r>
              <w:rPr>
                <w:rFonts w:hint="eastAsia"/>
                <w:lang w:val="en-US" w:eastAsia="zh-CN"/>
              </w:rPr>
              <w:t>近期开发光伏</w:t>
            </w:r>
          </w:p>
        </w:tc>
        <w:tc>
          <w:tcPr>
            <w:tcW w:w="521" w:type="pct"/>
            <w:tcBorders>
              <w:tl2br w:val="nil"/>
              <w:tr2bl w:val="nil"/>
            </w:tcBorders>
            <w:shd w:val="clear" w:color="auto" w:fill="auto"/>
            <w:vAlign w:val="center"/>
          </w:tcPr>
          <w:p>
            <w:pPr>
              <w:pStyle w:val="39"/>
              <w:bidi w:val="0"/>
              <w:rPr>
                <w:rFonts w:hint="default"/>
                <w:lang w:val="en-US" w:eastAsia="zh-CN"/>
              </w:rPr>
            </w:pPr>
            <w:r>
              <w:rPr>
                <w:rFonts w:hint="eastAsia"/>
                <w:lang w:val="en-US" w:eastAsia="zh-CN"/>
              </w:rPr>
              <w:t>近期开发风电</w:t>
            </w:r>
          </w:p>
        </w:tc>
        <w:tc>
          <w:tcPr>
            <w:tcW w:w="521" w:type="pct"/>
            <w:tcBorders>
              <w:tl2br w:val="nil"/>
              <w:tr2bl w:val="nil"/>
            </w:tcBorders>
            <w:shd w:val="clear" w:color="auto" w:fill="auto"/>
            <w:vAlign w:val="center"/>
          </w:tcPr>
          <w:p>
            <w:pPr>
              <w:pStyle w:val="39"/>
              <w:bidi w:val="0"/>
              <w:rPr>
                <w:rFonts w:hint="eastAsia"/>
              </w:rPr>
            </w:pPr>
            <w:r>
              <w:rPr>
                <w:rFonts w:hint="eastAsia"/>
                <w:lang w:val="en-US" w:eastAsia="zh-CN"/>
              </w:rPr>
              <w:t>远期开发光伏</w:t>
            </w:r>
          </w:p>
        </w:tc>
        <w:tc>
          <w:tcPr>
            <w:tcW w:w="521" w:type="pct"/>
            <w:tcBorders>
              <w:tl2br w:val="nil"/>
              <w:tr2bl w:val="nil"/>
            </w:tcBorders>
            <w:shd w:val="clear" w:color="auto" w:fill="auto"/>
            <w:vAlign w:val="center"/>
          </w:tcPr>
          <w:p>
            <w:pPr>
              <w:pStyle w:val="39"/>
              <w:bidi w:val="0"/>
              <w:rPr>
                <w:rFonts w:hint="eastAsia"/>
              </w:rPr>
            </w:pPr>
            <w:r>
              <w:rPr>
                <w:rFonts w:hint="eastAsia"/>
                <w:lang w:val="en-US" w:eastAsia="zh-CN"/>
              </w:rPr>
              <w:t>合计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restart"/>
            <w:tcBorders>
              <w:tl2br w:val="nil"/>
              <w:tr2bl w:val="nil"/>
            </w:tcBorders>
            <w:shd w:val="clear" w:color="auto" w:fill="auto"/>
            <w:noWrap/>
            <w:vAlign w:val="center"/>
          </w:tcPr>
          <w:p>
            <w:pPr>
              <w:pStyle w:val="39"/>
              <w:bidi w:val="0"/>
              <w:rPr>
                <w:rFonts w:hint="eastAsia"/>
              </w:rPr>
            </w:pPr>
            <w:r>
              <w:rPr>
                <w:rFonts w:hint="eastAsia"/>
                <w:lang w:val="en-US" w:eastAsia="zh-CN"/>
              </w:rPr>
              <w:t>集中</w:t>
            </w:r>
            <w:r>
              <w:rPr>
                <w:lang w:val="en-US" w:eastAsia="zh-CN"/>
              </w:rPr>
              <w:t>式</w:t>
            </w: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康巴什区</w:t>
            </w:r>
            <w:r>
              <w:rPr>
                <w:lang w:val="en-US" w:eastAsia="zh-CN"/>
              </w:rPr>
              <w:t>1#400MW光伏治沙项目</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400</w:t>
            </w:r>
          </w:p>
        </w:tc>
        <w:tc>
          <w:tcPr>
            <w:tcW w:w="521" w:type="pct"/>
            <w:tcBorders>
              <w:tl2br w:val="nil"/>
              <w:tr2bl w:val="nil"/>
            </w:tcBorders>
            <w:shd w:val="clear" w:color="auto" w:fill="auto"/>
            <w:noWrap/>
            <w:vAlign w:val="center"/>
          </w:tcPr>
          <w:p>
            <w:pPr>
              <w:pStyle w:val="39"/>
              <w:bidi w:val="0"/>
              <w:rPr>
                <w:rFonts w:hint="eastAsia"/>
                <w:lang w:val="en-US" w:eastAsia="zh-CN"/>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康巴什区</w:t>
            </w:r>
            <w:r>
              <w:rPr>
                <w:lang w:val="en-US" w:eastAsia="zh-CN"/>
              </w:rPr>
              <w:t>2#500MW光伏项目</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200</w:t>
            </w:r>
          </w:p>
        </w:tc>
        <w:tc>
          <w:tcPr>
            <w:tcW w:w="521" w:type="pct"/>
            <w:tcBorders>
              <w:tl2br w:val="nil"/>
              <w:tr2bl w:val="nil"/>
            </w:tcBorders>
            <w:shd w:val="clear" w:color="auto" w:fill="auto"/>
            <w:noWrap/>
            <w:vAlign w:val="center"/>
          </w:tcPr>
          <w:p>
            <w:pPr>
              <w:pStyle w:val="39"/>
              <w:bidi w:val="0"/>
              <w:rPr>
                <w:rFonts w:hint="eastAsia"/>
                <w:lang w:val="en-US" w:eastAsia="zh-CN"/>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300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康巴什区</w:t>
            </w:r>
            <w:r>
              <w:rPr>
                <w:lang w:val="en-US" w:eastAsia="zh-CN"/>
              </w:rPr>
              <w:t>3#200MW光伏项目</w:t>
            </w: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lang w:val="en-US" w:eastAsia="zh-CN"/>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200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康巴什区</w:t>
            </w:r>
            <w:r>
              <w:rPr>
                <w:lang w:val="en-US" w:eastAsia="zh-CN"/>
              </w:rPr>
              <w:t>4#500MW光伏项目</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200</w:t>
            </w:r>
          </w:p>
        </w:tc>
        <w:tc>
          <w:tcPr>
            <w:tcW w:w="521" w:type="pct"/>
            <w:tcBorders>
              <w:tl2br w:val="nil"/>
              <w:tr2bl w:val="nil"/>
            </w:tcBorders>
            <w:shd w:val="clear" w:color="auto" w:fill="auto"/>
            <w:noWrap/>
            <w:vAlign w:val="center"/>
          </w:tcPr>
          <w:p>
            <w:pPr>
              <w:pStyle w:val="39"/>
              <w:bidi w:val="0"/>
              <w:rPr>
                <w:rFonts w:hint="eastAsia"/>
                <w:lang w:val="en-US" w:eastAsia="zh-CN"/>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300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康巴什区</w:t>
            </w:r>
            <w:r>
              <w:rPr>
                <w:lang w:val="en-US" w:eastAsia="zh-CN"/>
              </w:rPr>
              <w:t>5#1200光伏项目</w:t>
            </w: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lang w:val="en-US" w:eastAsia="zh-CN"/>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1200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康巴什区</w:t>
            </w:r>
            <w:r>
              <w:rPr>
                <w:lang w:val="en-US" w:eastAsia="zh-CN"/>
              </w:rPr>
              <w:t>6#1000光伏项目</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200</w:t>
            </w:r>
          </w:p>
        </w:tc>
        <w:tc>
          <w:tcPr>
            <w:tcW w:w="521" w:type="pct"/>
            <w:tcBorders>
              <w:tl2br w:val="nil"/>
              <w:tr2bl w:val="nil"/>
            </w:tcBorders>
            <w:shd w:val="clear" w:color="auto" w:fill="auto"/>
            <w:noWrap/>
            <w:vAlign w:val="center"/>
          </w:tcPr>
          <w:p>
            <w:pPr>
              <w:pStyle w:val="39"/>
              <w:bidi w:val="0"/>
              <w:rPr>
                <w:rFonts w:hint="eastAsia"/>
                <w:lang w:val="en-US" w:eastAsia="zh-CN"/>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800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集中</w:t>
            </w:r>
            <w:r>
              <w:rPr>
                <w:lang w:val="en-US" w:eastAsia="zh-CN"/>
              </w:rPr>
              <w:t>式合计</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1000</w:t>
            </w:r>
          </w:p>
        </w:tc>
        <w:tc>
          <w:tcPr>
            <w:tcW w:w="521" w:type="pct"/>
            <w:tcBorders>
              <w:tl2br w:val="nil"/>
              <w:tr2bl w:val="nil"/>
            </w:tcBorders>
            <w:shd w:val="clear" w:color="auto" w:fill="auto"/>
            <w:noWrap/>
            <w:vAlign w:val="center"/>
          </w:tcPr>
          <w:p>
            <w:pPr>
              <w:pStyle w:val="39"/>
              <w:bidi w:val="0"/>
              <w:rPr>
                <w:rFonts w:hint="default"/>
                <w:lang w:val="en-US" w:eastAsia="zh-CN"/>
              </w:rPr>
            </w:pPr>
            <w:r>
              <w:rPr>
                <w:rFonts w:hint="eastAsia"/>
                <w:lang w:val="en-US" w:eastAsia="zh-CN"/>
              </w:rPr>
              <w:t>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2800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3800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restart"/>
            <w:tcBorders>
              <w:tl2br w:val="nil"/>
              <w:tr2bl w:val="nil"/>
            </w:tcBorders>
            <w:shd w:val="clear" w:color="auto" w:fill="auto"/>
            <w:noWrap/>
            <w:vAlign w:val="center"/>
          </w:tcPr>
          <w:p>
            <w:pPr>
              <w:pStyle w:val="39"/>
              <w:bidi w:val="0"/>
              <w:rPr>
                <w:rFonts w:hint="default"/>
                <w:lang w:val="en-US"/>
              </w:rPr>
            </w:pPr>
            <w:r>
              <w:rPr>
                <w:rFonts w:hint="eastAsia"/>
                <w:lang w:val="en-US" w:eastAsia="zh-CN"/>
              </w:rPr>
              <w:t>分布式光伏、分散式风电</w:t>
            </w: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荣乌</w:t>
            </w:r>
            <w:r>
              <w:rPr>
                <w:lang w:val="en-US" w:eastAsia="zh-CN"/>
              </w:rPr>
              <w:t>高速南向护坡光伏</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10</w:t>
            </w:r>
          </w:p>
        </w:tc>
        <w:tc>
          <w:tcPr>
            <w:tcW w:w="521" w:type="pct"/>
            <w:tcBorders>
              <w:tl2br w:val="nil"/>
              <w:tr2bl w:val="nil"/>
            </w:tcBorders>
            <w:shd w:val="clear" w:color="auto" w:fill="auto"/>
            <w:noWrap/>
            <w:vAlign w:val="center"/>
          </w:tcPr>
          <w:p>
            <w:pPr>
              <w:pStyle w:val="39"/>
              <w:bidi w:val="0"/>
              <w:rPr>
                <w:rFonts w:hint="eastAsia"/>
                <w:lang w:val="en-US" w:eastAsia="zh-CN"/>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荣乌</w:t>
            </w:r>
            <w:r>
              <w:rPr>
                <w:lang w:val="en-US" w:eastAsia="zh-CN"/>
              </w:rPr>
              <w:t>高速与包茂高速枢纽光伏</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3</w:t>
            </w: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机场高</w:t>
            </w:r>
            <w:r>
              <w:rPr>
                <w:lang w:val="en-US" w:eastAsia="zh-CN"/>
              </w:rPr>
              <w:t>速枢纽光伏</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3</w:t>
            </w: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荣乌</w:t>
            </w:r>
            <w:r>
              <w:rPr>
                <w:lang w:val="en-US" w:eastAsia="zh-CN"/>
              </w:rPr>
              <w:t>高速与210国道枢纽光伏</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2</w:t>
            </w: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马王庙</w:t>
            </w:r>
            <w:r>
              <w:rPr>
                <w:lang w:val="en-US" w:eastAsia="zh-CN"/>
              </w:rPr>
              <w:t>服务区两侧光伏</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w:t>
            </w: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210</w:t>
            </w:r>
            <w:r>
              <w:rPr>
                <w:lang w:val="en-US" w:eastAsia="zh-CN"/>
              </w:rPr>
              <w:t>国道边坡光伏</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w:t>
            </w: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vAlign w:val="center"/>
          </w:tcPr>
          <w:p>
            <w:pPr>
              <w:pStyle w:val="39"/>
              <w:bidi w:val="0"/>
              <w:rPr>
                <w:rFonts w:hint="default"/>
                <w:lang w:val="en-US"/>
              </w:rPr>
            </w:pPr>
            <w:r>
              <w:rPr>
                <w:rFonts w:hint="eastAsia"/>
                <w:lang w:val="en-US" w:eastAsia="zh-CN"/>
              </w:rPr>
              <w:t>利用</w:t>
            </w:r>
            <w:r>
              <w:rPr>
                <w:lang w:val="en-US" w:eastAsia="zh-CN"/>
              </w:rPr>
              <w:t>政府机关、学校、医院屋顶、</w:t>
            </w:r>
            <w:r>
              <w:rPr>
                <w:rFonts w:hint="eastAsia"/>
                <w:lang w:val="en-US" w:eastAsia="zh-CN"/>
              </w:rPr>
              <w:t>停车场等发展</w:t>
            </w:r>
            <w:r>
              <w:rPr>
                <w:lang w:val="en-US" w:eastAsia="zh-CN"/>
              </w:rPr>
              <w:t>光伏</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50</w:t>
            </w:r>
          </w:p>
        </w:tc>
        <w:tc>
          <w:tcPr>
            <w:tcW w:w="521" w:type="pct"/>
            <w:tcBorders>
              <w:tl2br w:val="nil"/>
              <w:tr2bl w:val="nil"/>
            </w:tcBorders>
            <w:shd w:val="clear" w:color="auto" w:fill="auto"/>
            <w:noWrap/>
            <w:vAlign w:val="center"/>
          </w:tcPr>
          <w:p>
            <w:pPr>
              <w:pStyle w:val="39"/>
              <w:bidi w:val="0"/>
              <w:rPr>
                <w:rFonts w:hint="eastAsia"/>
                <w:lang w:val="en-US" w:eastAsia="zh-CN"/>
              </w:rPr>
            </w:pP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100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default"/>
                <w:lang w:val="en-US" w:eastAsia="zh-CN"/>
              </w:rPr>
            </w:pPr>
            <w:r>
              <w:rPr>
                <w:rFonts w:hint="eastAsia"/>
                <w:lang w:val="en-US" w:eastAsia="zh-CN"/>
              </w:rPr>
              <w:t>康巴什区分散式风电</w:t>
            </w:r>
          </w:p>
        </w:tc>
        <w:tc>
          <w:tcPr>
            <w:tcW w:w="521" w:type="pct"/>
            <w:tcBorders>
              <w:tl2br w:val="nil"/>
              <w:tr2bl w:val="nil"/>
            </w:tcBorders>
            <w:shd w:val="clear" w:color="auto" w:fill="auto"/>
            <w:noWrap/>
            <w:vAlign w:val="center"/>
          </w:tcPr>
          <w:p>
            <w:pPr>
              <w:pStyle w:val="39"/>
              <w:bidi w:val="0"/>
              <w:rPr>
                <w:rFonts w:hint="eastAsia"/>
                <w:lang w:val="en-US" w:eastAsia="zh-CN"/>
              </w:rPr>
            </w:pPr>
          </w:p>
        </w:tc>
        <w:tc>
          <w:tcPr>
            <w:tcW w:w="521" w:type="pct"/>
            <w:tcBorders>
              <w:tl2br w:val="nil"/>
              <w:tr2bl w:val="nil"/>
            </w:tcBorders>
            <w:shd w:val="clear" w:color="auto" w:fill="auto"/>
            <w:noWrap/>
            <w:vAlign w:val="center"/>
          </w:tcPr>
          <w:p>
            <w:pPr>
              <w:pStyle w:val="39"/>
              <w:bidi w:val="0"/>
              <w:rPr>
                <w:rFonts w:hint="default"/>
                <w:lang w:val="en-US" w:eastAsia="zh-CN"/>
              </w:rPr>
            </w:pPr>
            <w:r>
              <w:rPr>
                <w:rFonts w:hint="eastAsia"/>
                <w:lang w:val="en-US" w:eastAsia="zh-CN"/>
              </w:rPr>
              <w:t>30</w:t>
            </w:r>
          </w:p>
        </w:tc>
        <w:tc>
          <w:tcPr>
            <w:tcW w:w="521" w:type="pct"/>
            <w:tcBorders>
              <w:tl2br w:val="nil"/>
              <w:tr2bl w:val="nil"/>
            </w:tcBorders>
            <w:shd w:val="clear" w:color="auto" w:fill="auto"/>
            <w:noWrap/>
            <w:vAlign w:val="center"/>
          </w:tcPr>
          <w:p>
            <w:pPr>
              <w:pStyle w:val="39"/>
              <w:bidi w:val="0"/>
              <w:rPr>
                <w:rFonts w:hint="eastAsia"/>
                <w:lang w:val="en-US" w:eastAsia="zh-CN"/>
              </w:rPr>
            </w:pPr>
          </w:p>
        </w:tc>
        <w:tc>
          <w:tcPr>
            <w:tcW w:w="521" w:type="pct"/>
            <w:tcBorders>
              <w:tl2br w:val="nil"/>
              <w:tr2bl w:val="nil"/>
            </w:tcBorders>
            <w:shd w:val="clear" w:color="auto" w:fill="auto"/>
            <w:noWrap/>
            <w:vAlign w:val="center"/>
          </w:tcPr>
          <w:p>
            <w:pPr>
              <w:pStyle w:val="39"/>
              <w:bidi w:val="0"/>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pPr>
              <w:pStyle w:val="39"/>
              <w:bidi w:val="0"/>
              <w:rPr>
                <w:rFonts w:hint="eastAsia"/>
              </w:rPr>
            </w:pPr>
          </w:p>
        </w:tc>
        <w:tc>
          <w:tcPr>
            <w:tcW w:w="2096" w:type="pct"/>
            <w:tcBorders>
              <w:tl2br w:val="nil"/>
              <w:tr2bl w:val="nil"/>
            </w:tcBorders>
            <w:shd w:val="clear" w:color="auto" w:fill="auto"/>
            <w:noWrap/>
            <w:vAlign w:val="center"/>
          </w:tcPr>
          <w:p>
            <w:pPr>
              <w:pStyle w:val="39"/>
              <w:bidi w:val="0"/>
              <w:rPr>
                <w:rFonts w:hint="eastAsia"/>
              </w:rPr>
            </w:pPr>
            <w:r>
              <w:rPr>
                <w:rFonts w:hint="eastAsia"/>
                <w:lang w:val="en-US" w:eastAsia="zh-CN"/>
              </w:rPr>
              <w:t>分布式合计</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70</w:t>
            </w:r>
          </w:p>
        </w:tc>
        <w:tc>
          <w:tcPr>
            <w:tcW w:w="521" w:type="pct"/>
            <w:tcBorders>
              <w:tl2br w:val="nil"/>
              <w:tr2bl w:val="nil"/>
            </w:tcBorders>
            <w:shd w:val="clear" w:color="auto" w:fill="auto"/>
            <w:noWrap/>
            <w:vAlign w:val="center"/>
          </w:tcPr>
          <w:p>
            <w:pPr>
              <w:pStyle w:val="39"/>
              <w:bidi w:val="0"/>
              <w:rPr>
                <w:rFonts w:hint="default"/>
                <w:lang w:val="en-US" w:eastAsia="zh-CN"/>
              </w:rPr>
            </w:pPr>
            <w:r>
              <w:rPr>
                <w:rFonts w:hint="eastAsia"/>
                <w:lang w:val="en-US" w:eastAsia="zh-CN"/>
              </w:rPr>
              <w:t>30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110</w:t>
            </w:r>
          </w:p>
        </w:tc>
        <w:tc>
          <w:tcPr>
            <w:tcW w:w="521" w:type="pct"/>
            <w:tcBorders>
              <w:tl2br w:val="nil"/>
              <w:tr2bl w:val="nil"/>
            </w:tcBorders>
            <w:shd w:val="clear" w:color="auto" w:fill="auto"/>
            <w:noWrap/>
            <w:vAlign w:val="center"/>
          </w:tcPr>
          <w:p>
            <w:pPr>
              <w:pStyle w:val="39"/>
              <w:bidi w:val="0"/>
              <w:rPr>
                <w:rFonts w:hint="eastAsia"/>
              </w:rPr>
            </w:pPr>
            <w:r>
              <w:rPr>
                <w:rFonts w:hint="eastAsia"/>
                <w:lang w:val="en-US" w:eastAsia="zh-CN"/>
              </w:rPr>
              <w:t>210</w:t>
            </w:r>
          </w:p>
        </w:tc>
      </w:tr>
    </w:tbl>
    <w:p>
      <w:pPr>
        <w:pageBreakBefore w:val="0"/>
        <w:wordWrap/>
        <w:topLinePunct w:val="0"/>
        <w:bidi w:val="0"/>
        <w:snapToGrid/>
        <w:spacing w:line="240" w:lineRule="auto"/>
      </w:pPr>
      <w:r>
        <w:rPr>
          <w:rFonts w:hint="eastAsia"/>
        </w:rPr>
        <w:t>本次提出的开发时序是基于当前的政策、环境和接入条件而提出的初步方案，在实际开发建设过程中，可根据城市发展规划、电网建设、消纳场景等方面的实际情况，对项目的开发时序和范围进行动态调整。</w:t>
      </w:r>
      <w:bookmarkStart w:id="170" w:name="_Toc17188"/>
      <w:bookmarkStart w:id="171" w:name="_Toc14639"/>
      <w:bookmarkStart w:id="172" w:name="_Toc31081"/>
      <w:bookmarkStart w:id="173" w:name="_Toc17400"/>
      <w:bookmarkStart w:id="174" w:name="_Toc28305"/>
      <w:bookmarkStart w:id="175" w:name="_Toc10253"/>
      <w:bookmarkStart w:id="176" w:name="_Toc9457"/>
    </w:p>
    <w:p>
      <w:pPr>
        <w:pageBreakBefore w:val="0"/>
        <w:widowControl/>
        <w:kinsoku w:val="0"/>
        <w:wordWrap/>
        <w:topLinePunct w:val="0"/>
        <w:autoSpaceDE w:val="0"/>
        <w:autoSpaceDN w:val="0"/>
        <w:bidi w:val="0"/>
        <w:adjustRightInd w:val="0"/>
        <w:snapToGrid/>
        <w:spacing w:before="100" w:line="240" w:lineRule="auto"/>
        <w:ind w:left="601" w:firstLine="0" w:firstLineChars="0"/>
        <w:jc w:val="left"/>
        <w:textAlignment w:val="baseline"/>
        <w:outlineLvl w:val="0"/>
        <w:rPr>
          <w:rFonts w:eastAsia="黑体" w:cs="黑体"/>
          <w:snapToGrid w:val="0"/>
          <w:color w:val="000000"/>
          <w:spacing w:val="-2"/>
          <w:kern w:val="0"/>
          <w:szCs w:val="32"/>
        </w:rPr>
      </w:pPr>
      <w:bookmarkStart w:id="177" w:name="_Toc9107"/>
      <w:r>
        <w:rPr>
          <w:rFonts w:hint="eastAsia" w:eastAsia="黑体" w:cs="黑体"/>
          <w:snapToGrid w:val="0"/>
          <w:color w:val="000000"/>
          <w:spacing w:val="-2"/>
          <w:kern w:val="0"/>
          <w:szCs w:val="32"/>
        </w:rPr>
        <w:t>五、加大集中式新能源开发力度</w:t>
      </w:r>
      <w:bookmarkEnd w:id="170"/>
      <w:bookmarkEnd w:id="171"/>
      <w:bookmarkEnd w:id="172"/>
      <w:bookmarkEnd w:id="173"/>
      <w:bookmarkEnd w:id="174"/>
      <w:bookmarkEnd w:id="175"/>
      <w:bookmarkEnd w:id="176"/>
      <w:bookmarkEnd w:id="177"/>
    </w:p>
    <w:p>
      <w:pPr>
        <w:pageBreakBefore w:val="0"/>
        <w:wordWrap/>
        <w:topLinePunct w:val="0"/>
        <w:bidi w:val="0"/>
        <w:snapToGrid/>
        <w:spacing w:line="240" w:lineRule="auto"/>
      </w:pPr>
      <w:r>
        <w:rPr>
          <w:rFonts w:hint="eastAsia"/>
        </w:rPr>
        <w:t>康巴什区风能和太阳能等可再生能源资源丰富，具备发展绿色能源的先天资源优势，加快能源和经济结构的转型，通过建设先进的风电、光伏发电基地，促进当地产业与清洁能源基地有机结合，快速扩大康巴什区新能源装机规模。</w:t>
      </w:r>
    </w:p>
    <w:p>
      <w:pPr>
        <w:pageBreakBefore w:val="0"/>
        <w:wordWrap/>
        <w:topLinePunct w:val="0"/>
        <w:bidi w:val="0"/>
        <w:snapToGrid/>
        <w:spacing w:line="240" w:lineRule="auto"/>
        <w:rPr>
          <w:rFonts w:cs="Times New Roman"/>
        </w:rPr>
      </w:pPr>
      <w:r>
        <w:rPr>
          <w:rFonts w:hint="eastAsia"/>
        </w:rPr>
        <w:t>根据康巴什区资源潜力摸查情况，全区可开发集中式光伏装机3</w:t>
      </w:r>
      <w:r>
        <w:rPr>
          <w:rFonts w:hint="eastAsia"/>
          <w:lang w:val="en-US" w:eastAsia="zh-CN"/>
        </w:rPr>
        <w:t>8</w:t>
      </w:r>
      <w:r>
        <w:rPr>
          <w:rFonts w:hint="eastAsia"/>
        </w:rPr>
        <w:t>0万千瓦。近期规划建设集中式光伏装机</w:t>
      </w:r>
      <w:r>
        <w:rPr>
          <w:rFonts w:hint="eastAsia"/>
          <w:lang w:val="en-US" w:eastAsia="zh-CN"/>
        </w:rPr>
        <w:t>100</w:t>
      </w:r>
      <w:r>
        <w:rPr>
          <w:rFonts w:hint="eastAsia"/>
        </w:rPr>
        <w:t>万千瓦。远期规划</w:t>
      </w:r>
      <w:r>
        <w:rPr>
          <w:rFonts w:hint="eastAsia"/>
          <w:lang w:val="en-US" w:eastAsia="zh-CN"/>
        </w:rPr>
        <w:t>建设集中式光伏</w:t>
      </w:r>
      <w:r>
        <w:rPr>
          <w:rFonts w:hint="eastAsia"/>
        </w:rPr>
        <w:t>装机</w:t>
      </w:r>
      <w:r>
        <w:rPr>
          <w:rFonts w:hint="eastAsia"/>
          <w:lang w:val="en-US" w:eastAsia="zh-CN"/>
        </w:rPr>
        <w:t>280</w:t>
      </w:r>
      <w:r>
        <w:rPr>
          <w:rFonts w:hint="eastAsia"/>
        </w:rPr>
        <w:t>万千瓦</w:t>
      </w:r>
      <w:r>
        <w:rPr>
          <w:rFonts w:hint="eastAsia" w:cs="Times New Roman"/>
        </w:rPr>
        <w:t>。</w:t>
      </w:r>
    </w:p>
    <w:p>
      <w:pPr>
        <w:pStyle w:val="28"/>
        <w:pageBreakBefore w:val="0"/>
        <w:wordWrap/>
        <w:topLinePunct w:val="0"/>
        <w:bidi w:val="0"/>
        <w:snapToGrid/>
        <w:spacing w:line="240" w:lineRule="auto"/>
        <w:rPr>
          <w:rFonts w:hint="eastAsia" w:ascii="Times New Roman" w:hAnsi="Times New Roman"/>
        </w:rPr>
      </w:pPr>
      <w:bookmarkStart w:id="178" w:name="_Toc24889"/>
      <w:bookmarkStart w:id="179" w:name="_Toc30104"/>
      <w:bookmarkStart w:id="180" w:name="_Toc16933"/>
      <w:bookmarkStart w:id="181" w:name="_Toc22472"/>
      <w:bookmarkStart w:id="182" w:name="_Toc1220"/>
      <w:bookmarkStart w:id="183" w:name="_Toc25819"/>
      <w:bookmarkStart w:id="184" w:name="_Toc478"/>
      <w:r>
        <w:rPr>
          <w:rFonts w:hint="eastAsia" w:ascii="Times New Roman" w:hAnsi="Times New Roman"/>
        </w:rPr>
        <w:t>（一）</w:t>
      </w:r>
      <w:bookmarkEnd w:id="178"/>
      <w:r>
        <w:rPr>
          <w:rFonts w:hint="eastAsia" w:ascii="Times New Roman" w:hAnsi="Times New Roman"/>
        </w:rPr>
        <w:t>1#</w:t>
      </w:r>
      <w:r>
        <w:rPr>
          <w:rFonts w:hint="eastAsia" w:ascii="Times New Roman" w:hAnsi="Times New Roman"/>
          <w:lang w:val="en-US" w:eastAsia="zh-CN"/>
        </w:rPr>
        <w:t>光伏治沙</w:t>
      </w:r>
      <w:r>
        <w:rPr>
          <w:rFonts w:hint="eastAsia" w:ascii="Times New Roman" w:hAnsi="Times New Roman"/>
        </w:rPr>
        <w:t>场址</w:t>
      </w:r>
      <w:bookmarkEnd w:id="179"/>
      <w:bookmarkEnd w:id="180"/>
      <w:bookmarkEnd w:id="181"/>
      <w:bookmarkEnd w:id="182"/>
      <w:bookmarkEnd w:id="183"/>
      <w:bookmarkEnd w:id="184"/>
    </w:p>
    <w:p>
      <w:pPr>
        <w:pageBreakBefore w:val="0"/>
        <w:wordWrap/>
        <w:topLinePunct w:val="0"/>
        <w:bidi w:val="0"/>
        <w:snapToGrid/>
        <w:spacing w:line="240" w:lineRule="auto"/>
        <w:rPr>
          <w:szCs w:val="36"/>
        </w:rPr>
      </w:pPr>
      <w:r>
        <w:rPr>
          <w:rFonts w:hint="eastAsia"/>
          <w:szCs w:val="36"/>
        </w:rPr>
        <w:t>康巴什区东南部存在大量沙地，为遏制沙漠扩张，积极响应国家大力推进以沙漠、戈壁、荒漠地区为重点的大型风电光伏基地建设，本次在康巴什区东南部规划1座光伏电站，以板上发电+板下治沙的生态治理模式开发光伏项目。</w:t>
      </w:r>
    </w:p>
    <w:p>
      <w:pPr>
        <w:pageBreakBefore w:val="0"/>
        <w:wordWrap/>
        <w:topLinePunct w:val="0"/>
        <w:bidi w:val="0"/>
        <w:snapToGrid/>
        <w:spacing w:line="240" w:lineRule="auto"/>
      </w:pPr>
      <w:r>
        <w:rPr>
          <w:rFonts w:hint="eastAsia"/>
        </w:rPr>
        <w:t>康巴什区</w:t>
      </w:r>
      <w:r>
        <w:t>1#</w:t>
      </w:r>
      <w:r>
        <w:rPr>
          <w:rFonts w:hint="eastAsia"/>
        </w:rPr>
        <w:t>40万千瓦光伏治沙场址位于格德热格社区东南部，场区在康巴什热电厂南部1</w:t>
      </w:r>
      <w:r>
        <w:t>.5</w:t>
      </w:r>
      <w:r>
        <w:rPr>
          <w:rFonts w:hint="eastAsia"/>
        </w:rPr>
        <w:t>km处。康巴什热电厂南侧、机场高速以西区域沙地目前已成为康巴什区沙地文旅娱乐的场所，形成了较好社会效益。考虑到该区域总体面积较小，对康巴什区生态环境及治沙工程影响较小，拟在光伏治沙场址中予以保留。光伏治沙场址集中在机场高速东侧，向东一直延续至康巴什区边界，场址海拔在1</w:t>
      </w:r>
      <w:r>
        <w:t>230</w:t>
      </w:r>
      <w:r>
        <w:rPr>
          <w:rFonts w:hint="eastAsia"/>
        </w:rPr>
        <w:t>～</w:t>
      </w:r>
      <w:r>
        <w:t>1320</w:t>
      </w:r>
      <w:r>
        <w:rPr>
          <w:rFonts w:hint="eastAsia"/>
        </w:rPr>
        <w:t>m之间，场址区较为平坦。场内以沙地为主，建设条件较好，场址内太阳能总辐射量1</w:t>
      </w:r>
      <w:r>
        <w:t>654</w:t>
      </w:r>
      <w:r>
        <w:rPr>
          <w:rFonts w:hint="eastAsia"/>
        </w:rPr>
        <w:t>kWh/㎡，太阳能资源很丰富。场址规划面积14.39km</w:t>
      </w:r>
      <w:r>
        <w:rPr>
          <w:rFonts w:hint="eastAsia"/>
          <w:vertAlign w:val="superscript"/>
        </w:rPr>
        <w:t>2</w:t>
      </w:r>
      <w:r>
        <w:rPr>
          <w:rFonts w:hint="eastAsia"/>
        </w:rPr>
        <w:t>，规划容量40万千瓦，首年利用小时数（直流侧）为1702h，建成后可治理沙地面积3150亩以上。</w:t>
      </w:r>
    </w:p>
    <w:p>
      <w:pPr>
        <w:pStyle w:val="39"/>
        <w:bidi w:val="0"/>
      </w:pPr>
      <w:r>
        <w:drawing>
          <wp:inline distT="0" distB="0" distL="114300" distR="114300">
            <wp:extent cx="5273675" cy="3493135"/>
            <wp:effectExtent l="0" t="0" r="14605" b="12065"/>
            <wp:docPr id="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true"/>
                    </pic:cNvPicPr>
                  </pic:nvPicPr>
                  <pic:blipFill>
                    <a:blip r:embed="rId31"/>
                    <a:stretch>
                      <a:fillRect/>
                    </a:stretch>
                  </pic:blipFill>
                  <pic:spPr>
                    <a:xfrm>
                      <a:off x="0" y="0"/>
                      <a:ext cx="5273675" cy="3493135"/>
                    </a:xfrm>
                    <a:prstGeom prst="rect">
                      <a:avLst/>
                    </a:prstGeom>
                    <a:noFill/>
                    <a:ln>
                      <a:noFill/>
                    </a:ln>
                  </pic:spPr>
                </pic:pic>
              </a:graphicData>
            </a:graphic>
          </wp:inline>
        </w:drawing>
      </w:r>
    </w:p>
    <w:p>
      <w:pPr>
        <w:pStyle w:val="27"/>
        <w:bidi w:val="0"/>
        <w:rPr>
          <w:rFonts w:hint="default"/>
          <w:lang w:val="en-US" w:eastAsia="zh-CN"/>
        </w:rPr>
      </w:pPr>
      <w:r>
        <w:rPr>
          <w:rFonts w:hint="eastAsia"/>
        </w:rPr>
        <w:t>图5-1 康巴什区1#光伏治沙项目</w:t>
      </w:r>
      <w:r>
        <w:rPr>
          <w:rFonts w:hint="eastAsia"/>
          <w:lang w:val="en-US" w:eastAsia="zh-CN"/>
        </w:rPr>
        <w:t>场址示意图</w:t>
      </w:r>
    </w:p>
    <w:p>
      <w:pPr>
        <w:pageBreakBefore w:val="0"/>
        <w:wordWrap/>
        <w:topLinePunct w:val="0"/>
        <w:bidi w:val="0"/>
        <w:snapToGrid/>
        <w:spacing w:line="240" w:lineRule="auto"/>
        <w:rPr>
          <w:szCs w:val="36"/>
        </w:rPr>
      </w:pPr>
      <w:r>
        <w:rPr>
          <w:rFonts w:hint="eastAsia"/>
          <w:szCs w:val="36"/>
        </w:rPr>
        <w:t>通过一系列防沙、固沙措施，沙地的扩张可以得到有效的遏制，在此基础上，利用光伏电池板之间的间隙，穿插种植适宜生长于北方地区且经济价值较高的沙生植物，并在其上进行禽畜养殖，集光、电、草、牧为一体的太阳能复合生态工程。这种治沙模式的创新，对促进清洁能源发展、促进康巴什区的生态、经济、社会的可持续健康发展具有重大意义。</w:t>
      </w:r>
    </w:p>
    <w:p>
      <w:pPr>
        <w:pStyle w:val="28"/>
        <w:pageBreakBefore w:val="0"/>
        <w:wordWrap/>
        <w:topLinePunct w:val="0"/>
        <w:bidi w:val="0"/>
        <w:adjustRightInd w:val="0"/>
        <w:snapToGrid/>
        <w:spacing w:line="240" w:lineRule="auto"/>
        <w:rPr>
          <w:rFonts w:ascii="Times New Roman" w:hAnsi="Times New Roman"/>
        </w:rPr>
      </w:pPr>
      <w:bookmarkStart w:id="185" w:name="_Toc19080"/>
      <w:bookmarkStart w:id="186" w:name="_Toc12046"/>
      <w:bookmarkStart w:id="187" w:name="_Toc20576"/>
      <w:bookmarkStart w:id="188" w:name="_Toc2316"/>
      <w:bookmarkStart w:id="189" w:name="_Toc2085"/>
      <w:bookmarkStart w:id="190" w:name="_Toc28749"/>
      <w:bookmarkStart w:id="191" w:name="_Toc10163"/>
      <w:r>
        <w:rPr>
          <w:rFonts w:hint="eastAsia" w:ascii="Times New Roman" w:hAnsi="Times New Roman"/>
        </w:rPr>
        <w:t>（二）</w:t>
      </w:r>
      <w:bookmarkEnd w:id="185"/>
      <w:r>
        <w:rPr>
          <w:rFonts w:hint="eastAsia" w:ascii="Times New Roman" w:hAnsi="Times New Roman"/>
          <w:lang w:val="en-US" w:eastAsia="zh-CN"/>
        </w:rPr>
        <w:t>2</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bookmarkEnd w:id="186"/>
      <w:bookmarkEnd w:id="187"/>
      <w:bookmarkEnd w:id="188"/>
      <w:bookmarkEnd w:id="189"/>
      <w:bookmarkEnd w:id="190"/>
      <w:bookmarkEnd w:id="191"/>
    </w:p>
    <w:p>
      <w:pPr>
        <w:pageBreakBefore w:val="0"/>
        <w:wordWrap/>
        <w:topLinePunct w:val="0"/>
        <w:bidi w:val="0"/>
        <w:snapToGrid/>
        <w:spacing w:line="240" w:lineRule="auto"/>
        <w:rPr>
          <w:rFonts w:cs="Times New Roman"/>
        </w:rPr>
      </w:pPr>
      <w:r>
        <w:rPr>
          <w:rFonts w:hint="eastAsia" w:cs="Times New Roman"/>
        </w:rPr>
        <w:t>康巴什区</w:t>
      </w:r>
      <w:r>
        <w:rPr>
          <w:rFonts w:hint="eastAsia" w:cs="Times New Roman"/>
          <w:lang w:val="en-US" w:eastAsia="zh-CN"/>
        </w:rPr>
        <w:t>2</w:t>
      </w:r>
      <w:r>
        <w:rPr>
          <w:rFonts w:hint="eastAsia" w:cs="Times New Roman"/>
        </w:rPr>
        <w:t>#</w:t>
      </w:r>
      <w:r>
        <w:rPr>
          <w:rFonts w:hint="eastAsia" w:cs="Times New Roman"/>
          <w:lang w:val="en-US" w:eastAsia="zh-CN"/>
        </w:rPr>
        <w:t>光伏</w:t>
      </w:r>
      <w:r>
        <w:rPr>
          <w:rFonts w:hint="eastAsia" w:cs="Times New Roman"/>
        </w:rPr>
        <w:t>场址位于哈巴格希社区西北部，场区在G210国道以西，场址内海拔在1350～1500m之间，以草地、林地为主</w:t>
      </w:r>
      <w:r>
        <w:rPr>
          <w:rFonts w:hint="eastAsia" w:cs="Times New Roman"/>
          <w:lang w:eastAsia="zh-CN"/>
        </w:rPr>
        <w:t>，</w:t>
      </w:r>
      <w:r>
        <w:rPr>
          <w:rFonts w:hint="eastAsia" w:cs="Times New Roman"/>
        </w:rPr>
        <w:t>场址</w:t>
      </w:r>
      <w:r>
        <w:rPr>
          <w:rFonts w:hint="eastAsia" w:cs="Times New Roman"/>
          <w:lang w:val="en-US" w:eastAsia="zh-CN"/>
        </w:rPr>
        <w:t>区域南部较为平坦，</w:t>
      </w:r>
      <w:r>
        <w:rPr>
          <w:rFonts w:hint="eastAsia" w:cs="Times New Roman"/>
        </w:rPr>
        <w:t>建设条件较好，北侧沟壑褶皱较多，</w:t>
      </w:r>
      <w:r>
        <w:rPr>
          <w:rFonts w:hint="eastAsia" w:cs="Times New Roman"/>
          <w:lang w:val="en-US" w:eastAsia="zh-CN"/>
        </w:rPr>
        <w:t>可利用坡顶等建设光伏。场址内太阳能总辐射量1654kWh/㎡，太阳能资源很丰富。场址规划面积14.39km</w:t>
      </w:r>
      <w:r>
        <w:rPr>
          <w:rFonts w:hint="eastAsia" w:cs="Times New Roman"/>
          <w:vertAlign w:val="superscript"/>
          <w:lang w:val="en-US" w:eastAsia="zh-CN"/>
        </w:rPr>
        <w:t>2</w:t>
      </w:r>
      <w:r>
        <w:rPr>
          <w:rFonts w:hint="eastAsia" w:cs="Times New Roman"/>
          <w:lang w:val="en-US" w:eastAsia="zh-CN"/>
        </w:rPr>
        <w:t>，规划容量50万千瓦，首年利用小时数（直流侧）为1702h</w:t>
      </w:r>
      <w:r>
        <w:rPr>
          <w:rFonts w:hint="eastAsia" w:cs="Times New Roman"/>
        </w:rPr>
        <w:t>。</w:t>
      </w:r>
    </w:p>
    <w:p>
      <w:pPr>
        <w:pStyle w:val="39"/>
        <w:bidi w:val="0"/>
      </w:pPr>
      <w:r>
        <w:drawing>
          <wp:inline distT="0" distB="0" distL="114300" distR="114300">
            <wp:extent cx="5090160" cy="4268470"/>
            <wp:effectExtent l="0" t="0" r="0" b="13970"/>
            <wp:docPr id="7"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true"/>
                    </pic:cNvPicPr>
                  </pic:nvPicPr>
                  <pic:blipFill>
                    <a:blip r:embed="rId32"/>
                    <a:stretch>
                      <a:fillRect/>
                    </a:stretch>
                  </pic:blipFill>
                  <pic:spPr>
                    <a:xfrm>
                      <a:off x="0" y="0"/>
                      <a:ext cx="5090160" cy="4268470"/>
                    </a:xfrm>
                    <a:prstGeom prst="rect">
                      <a:avLst/>
                    </a:prstGeom>
                    <a:noFill/>
                    <a:ln>
                      <a:noFill/>
                    </a:ln>
                  </pic:spPr>
                </pic:pic>
              </a:graphicData>
            </a:graphic>
          </wp:inline>
        </w:drawing>
      </w:r>
    </w:p>
    <w:p>
      <w:pPr>
        <w:pStyle w:val="27"/>
        <w:bidi w:val="0"/>
      </w:pPr>
      <w:r>
        <w:rPr>
          <w:rFonts w:hint="eastAsia"/>
        </w:rPr>
        <w:t>图5-</w:t>
      </w:r>
      <w:r>
        <w:rPr>
          <w:rFonts w:hint="eastAsia"/>
          <w:lang w:val="en-US" w:eastAsia="zh-CN"/>
        </w:rPr>
        <w:t>2</w:t>
      </w:r>
      <w:r>
        <w:rPr>
          <w:rFonts w:hint="eastAsia"/>
        </w:rPr>
        <w:t xml:space="preserve"> 康巴什区</w:t>
      </w:r>
      <w:r>
        <w:rPr>
          <w:rFonts w:hint="eastAsia"/>
          <w:lang w:val="en-US" w:eastAsia="zh-CN"/>
        </w:rPr>
        <w:t>2</w:t>
      </w:r>
      <w:r>
        <w:rPr>
          <w:rFonts w:hint="eastAsia"/>
        </w:rPr>
        <w:t>#</w:t>
      </w:r>
      <w:r>
        <w:rPr>
          <w:rFonts w:hint="eastAsia"/>
          <w:lang w:val="en-US" w:eastAsia="zh-CN"/>
        </w:rPr>
        <w:t>光伏</w:t>
      </w:r>
      <w:r>
        <w:rPr>
          <w:rFonts w:hint="eastAsia"/>
        </w:rPr>
        <w:t>场址示意图</w:t>
      </w:r>
    </w:p>
    <w:p>
      <w:pPr>
        <w:pStyle w:val="28"/>
        <w:pageBreakBefore w:val="0"/>
        <w:wordWrap/>
        <w:topLinePunct w:val="0"/>
        <w:bidi w:val="0"/>
        <w:snapToGrid/>
        <w:spacing w:line="240" w:lineRule="auto"/>
        <w:rPr>
          <w:rFonts w:ascii="Times New Roman" w:hAnsi="Times New Roman"/>
        </w:rPr>
      </w:pPr>
      <w:bookmarkStart w:id="192" w:name="_Toc24857"/>
      <w:bookmarkStart w:id="193" w:name="_Toc4969"/>
      <w:bookmarkStart w:id="194" w:name="_Toc25579"/>
      <w:bookmarkStart w:id="195" w:name="_Toc9554"/>
      <w:bookmarkStart w:id="196" w:name="_Toc19871"/>
      <w:bookmarkStart w:id="197" w:name="_Toc19895"/>
      <w:bookmarkStart w:id="198" w:name="_Toc23509"/>
      <w:r>
        <w:rPr>
          <w:rFonts w:hint="eastAsia" w:ascii="Times New Roman" w:hAnsi="Times New Roman"/>
        </w:rPr>
        <w:t>（三）</w:t>
      </w:r>
      <w:bookmarkEnd w:id="192"/>
      <w:r>
        <w:rPr>
          <w:rFonts w:hint="eastAsia" w:ascii="Times New Roman" w:hAnsi="Times New Roman"/>
          <w:lang w:val="en-US" w:eastAsia="zh-CN"/>
        </w:rPr>
        <w:t>3</w:t>
      </w:r>
      <w:r>
        <w:rPr>
          <w:rFonts w:hint="eastAsia" w:ascii="Times New Roman" w:hAnsi="Times New Roman"/>
        </w:rPr>
        <w:t>#光伏项目场址</w:t>
      </w:r>
      <w:bookmarkEnd w:id="193"/>
      <w:bookmarkEnd w:id="194"/>
      <w:bookmarkEnd w:id="195"/>
      <w:bookmarkEnd w:id="196"/>
      <w:bookmarkEnd w:id="197"/>
      <w:bookmarkEnd w:id="198"/>
    </w:p>
    <w:p>
      <w:pPr>
        <w:bidi w:val="0"/>
        <w:rPr>
          <w:rFonts w:hint="eastAsia"/>
        </w:rPr>
      </w:pPr>
      <w:r>
        <w:rPr>
          <w:rFonts w:hint="eastAsia"/>
        </w:rPr>
        <w:t>康巴什区</w:t>
      </w:r>
      <w:r>
        <w:rPr>
          <w:rFonts w:hint="eastAsia"/>
          <w:lang w:val="en-US" w:eastAsia="zh-CN"/>
        </w:rPr>
        <w:t>3</w:t>
      </w:r>
      <w:r>
        <w:rPr>
          <w:rFonts w:hint="eastAsia"/>
        </w:rPr>
        <w:t>#</w:t>
      </w:r>
      <w:r>
        <w:rPr>
          <w:rFonts w:hint="eastAsia"/>
          <w:lang w:val="en-US" w:eastAsia="zh-CN"/>
        </w:rPr>
        <w:t>光伏</w:t>
      </w:r>
      <w:r>
        <w:rPr>
          <w:rFonts w:hint="eastAsia"/>
        </w:rPr>
        <w:t>场址位于格德热格社区中部，京能康巴什热电厂东侧约2km处，机场高速枢纽东南，场址内海拔在1280～1360m之间，地势平坦，适宜开发</w:t>
      </w:r>
      <w:r>
        <w:rPr>
          <w:rFonts w:hint="eastAsia"/>
          <w:lang w:val="en-US" w:eastAsia="zh-CN"/>
        </w:rPr>
        <w:t>光伏</w:t>
      </w:r>
      <w:r>
        <w:rPr>
          <w:rFonts w:hint="eastAsia"/>
        </w:rPr>
        <w:t>项目。场址规划面积13.05km2，场内以草地、林地、农田为主，建设条件较好，规划开发建设</w:t>
      </w:r>
      <w:r>
        <w:rPr>
          <w:rFonts w:hint="eastAsia"/>
          <w:lang w:val="en-US" w:eastAsia="zh-CN"/>
        </w:rPr>
        <w:t>20</w:t>
      </w:r>
      <w:r>
        <w:rPr>
          <w:rFonts w:hint="eastAsia"/>
        </w:rPr>
        <w:t>万</w:t>
      </w:r>
      <w:r>
        <w:rPr>
          <w:rFonts w:hint="eastAsia"/>
          <w:lang w:val="en-US" w:eastAsia="zh-CN"/>
        </w:rPr>
        <w:t>光伏</w:t>
      </w:r>
      <w:r>
        <w:rPr>
          <w:rFonts w:hint="eastAsia"/>
        </w:rPr>
        <w:t>项目，首年利用小时数（直流侧）1689h。</w:t>
      </w:r>
    </w:p>
    <w:p>
      <w:pPr>
        <w:pStyle w:val="39"/>
        <w:bidi w:val="0"/>
        <w:jc w:val="center"/>
      </w:pPr>
      <w:r>
        <w:drawing>
          <wp:inline distT="0" distB="0" distL="114300" distR="114300">
            <wp:extent cx="5097780" cy="3959225"/>
            <wp:effectExtent l="0" t="0" r="7620" b="3175"/>
            <wp:docPr id="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true"/>
                    </pic:cNvPicPr>
                  </pic:nvPicPr>
                  <pic:blipFill>
                    <a:blip r:embed="rId33"/>
                    <a:stretch>
                      <a:fillRect/>
                    </a:stretch>
                  </pic:blipFill>
                  <pic:spPr>
                    <a:xfrm>
                      <a:off x="0" y="0"/>
                      <a:ext cx="5097780" cy="3959225"/>
                    </a:xfrm>
                    <a:prstGeom prst="rect">
                      <a:avLst/>
                    </a:prstGeom>
                    <a:noFill/>
                    <a:ln>
                      <a:noFill/>
                    </a:ln>
                  </pic:spPr>
                </pic:pic>
              </a:graphicData>
            </a:graphic>
          </wp:inline>
        </w:drawing>
      </w:r>
    </w:p>
    <w:p>
      <w:pPr>
        <w:pStyle w:val="27"/>
        <w:bidi w:val="0"/>
        <w:rPr>
          <w:rFonts w:hint="eastAsia"/>
        </w:rPr>
      </w:pPr>
      <w:r>
        <w:rPr>
          <w:rFonts w:hint="eastAsia"/>
        </w:rPr>
        <w:t>图5-</w:t>
      </w:r>
      <w:r>
        <w:rPr>
          <w:rFonts w:hint="eastAsia"/>
          <w:lang w:val="en-US" w:eastAsia="zh-CN"/>
        </w:rPr>
        <w:t>3</w:t>
      </w:r>
      <w:r>
        <w:rPr>
          <w:rFonts w:hint="eastAsia"/>
        </w:rPr>
        <w:t xml:space="preserve"> 康巴什区</w:t>
      </w:r>
      <w:r>
        <w:rPr>
          <w:rFonts w:hint="eastAsia"/>
          <w:lang w:val="en-US" w:eastAsia="zh-CN"/>
        </w:rPr>
        <w:t>3</w:t>
      </w:r>
      <w:r>
        <w:rPr>
          <w:rFonts w:hint="eastAsia"/>
        </w:rPr>
        <w:t>#</w:t>
      </w:r>
      <w:r>
        <w:rPr>
          <w:rFonts w:hint="eastAsia"/>
          <w:lang w:val="en-US" w:eastAsia="zh-CN"/>
        </w:rPr>
        <w:t>光伏</w:t>
      </w:r>
      <w:r>
        <w:rPr>
          <w:rFonts w:hint="eastAsia"/>
        </w:rPr>
        <w:t>场址示意图</w:t>
      </w:r>
    </w:p>
    <w:p>
      <w:pPr>
        <w:pStyle w:val="28"/>
        <w:pageBreakBefore w:val="0"/>
        <w:wordWrap/>
        <w:topLinePunct w:val="0"/>
        <w:bidi w:val="0"/>
        <w:snapToGrid/>
        <w:spacing w:line="240" w:lineRule="auto"/>
        <w:rPr>
          <w:rFonts w:ascii="Times New Roman" w:hAnsi="Times New Roman"/>
        </w:rPr>
      </w:pPr>
      <w:bookmarkStart w:id="199" w:name="_Toc24352"/>
      <w:bookmarkStart w:id="200" w:name="_Toc465"/>
      <w:bookmarkStart w:id="201" w:name="_Toc32516"/>
      <w:bookmarkStart w:id="202" w:name="_Toc23333"/>
      <w:bookmarkStart w:id="203" w:name="_Toc16663"/>
      <w:bookmarkStart w:id="204" w:name="_Toc3905"/>
      <w:bookmarkStart w:id="205" w:name="_Toc17660"/>
      <w:r>
        <w:rPr>
          <w:rFonts w:hint="eastAsia" w:ascii="Times New Roman" w:hAnsi="Times New Roman"/>
        </w:rPr>
        <w:t>（四）4#</w:t>
      </w:r>
      <w:bookmarkEnd w:id="199"/>
      <w:r>
        <w:rPr>
          <w:rFonts w:hint="eastAsia" w:ascii="Times New Roman" w:hAnsi="Times New Roman"/>
          <w:lang w:val="en-US" w:eastAsia="zh-CN"/>
        </w:rPr>
        <w:t>光伏</w:t>
      </w:r>
      <w:r>
        <w:rPr>
          <w:rFonts w:hint="eastAsia" w:ascii="Times New Roman" w:hAnsi="Times New Roman"/>
        </w:rPr>
        <w:t>场址</w:t>
      </w:r>
      <w:bookmarkEnd w:id="200"/>
      <w:bookmarkEnd w:id="201"/>
      <w:bookmarkEnd w:id="202"/>
      <w:bookmarkEnd w:id="203"/>
      <w:bookmarkEnd w:id="204"/>
      <w:bookmarkEnd w:id="205"/>
    </w:p>
    <w:p>
      <w:pPr>
        <w:bidi w:val="0"/>
      </w:pPr>
      <w:r>
        <w:rPr>
          <w:rFonts w:hint="eastAsia"/>
        </w:rPr>
        <w:t>康巴什区</w:t>
      </w:r>
      <w:r>
        <w:rPr>
          <w:rFonts w:hint="eastAsia"/>
          <w:lang w:val="en-US" w:eastAsia="zh-CN"/>
        </w:rPr>
        <w:t>4</w:t>
      </w:r>
      <w:r>
        <w:t>#</w:t>
      </w:r>
      <w:r>
        <w:rPr>
          <w:rFonts w:hint="eastAsia"/>
          <w:lang w:val="en-US" w:eastAsia="zh-CN"/>
        </w:rPr>
        <w:t>光伏</w:t>
      </w:r>
      <w:r>
        <w:rPr>
          <w:rFonts w:hint="eastAsia"/>
        </w:rPr>
        <w:t>场址位于康巴什区哈巴格希社区东南部，场区位于荣乌高速以南，交通便利，场址内海拔在13</w:t>
      </w:r>
      <w:r>
        <w:t>2</w:t>
      </w:r>
      <w:r>
        <w:rPr>
          <w:rFonts w:hint="eastAsia"/>
        </w:rPr>
        <w:t>0～1</w:t>
      </w:r>
      <w:r>
        <w:t>46</w:t>
      </w:r>
      <w:r>
        <w:rPr>
          <w:rFonts w:hint="eastAsia"/>
        </w:rPr>
        <w:t>0m之间，场址区东北部主要为山地，南部较为平缓</w:t>
      </w:r>
      <w:r>
        <w:rPr>
          <w:rFonts w:hint="eastAsia"/>
          <w:lang w:eastAsia="zh-CN"/>
        </w:rPr>
        <w:t>，</w:t>
      </w:r>
      <w:r>
        <w:rPr>
          <w:rFonts w:hint="eastAsia"/>
        </w:rPr>
        <w:t>场内以草地为主，建设条件较好，场址规划面积</w:t>
      </w:r>
      <w:r>
        <w:t>38.9</w:t>
      </w:r>
      <w:r>
        <w:rPr>
          <w:rFonts w:hint="eastAsia"/>
        </w:rPr>
        <w:t>km</w:t>
      </w:r>
      <w:r>
        <w:rPr>
          <w:rFonts w:hint="eastAsia"/>
          <w:vertAlign w:val="superscript"/>
        </w:rPr>
        <w:t>2</w:t>
      </w:r>
      <w:r>
        <w:rPr>
          <w:rFonts w:hint="eastAsia"/>
        </w:rPr>
        <w:t>，规划光伏50万千瓦，首年利用小时数（直流侧）1</w:t>
      </w:r>
      <w:r>
        <w:t>6</w:t>
      </w:r>
      <w:r>
        <w:rPr>
          <w:rFonts w:hint="eastAsia"/>
        </w:rPr>
        <w:t>95h。</w:t>
      </w:r>
    </w:p>
    <w:p>
      <w:pPr>
        <w:pStyle w:val="39"/>
        <w:bidi w:val="0"/>
      </w:pPr>
      <w:r>
        <w:drawing>
          <wp:inline distT="0" distB="0" distL="114300" distR="114300">
            <wp:extent cx="5273040" cy="3871595"/>
            <wp:effectExtent l="0" t="0" r="3810" b="14605"/>
            <wp:docPr id="13"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true"/>
                    </pic:cNvPicPr>
                  </pic:nvPicPr>
                  <pic:blipFill>
                    <a:blip r:embed="rId34"/>
                    <a:stretch>
                      <a:fillRect/>
                    </a:stretch>
                  </pic:blipFill>
                  <pic:spPr>
                    <a:xfrm>
                      <a:off x="0" y="0"/>
                      <a:ext cx="5273040" cy="3871595"/>
                    </a:xfrm>
                    <a:prstGeom prst="rect">
                      <a:avLst/>
                    </a:prstGeom>
                    <a:noFill/>
                    <a:ln>
                      <a:noFill/>
                    </a:ln>
                  </pic:spPr>
                </pic:pic>
              </a:graphicData>
            </a:graphic>
          </wp:inline>
        </w:drawing>
      </w:r>
    </w:p>
    <w:p>
      <w:pPr>
        <w:pStyle w:val="27"/>
        <w:bidi w:val="0"/>
      </w:pPr>
      <w:r>
        <w:rPr>
          <w:rFonts w:hint="eastAsia"/>
        </w:rPr>
        <w:t>图5-</w:t>
      </w:r>
      <w:r>
        <w:rPr>
          <w:rFonts w:hint="eastAsia"/>
          <w:lang w:val="en-US" w:eastAsia="zh-CN"/>
        </w:rPr>
        <w:t>4</w:t>
      </w:r>
      <w:r>
        <w:rPr>
          <w:rFonts w:hint="eastAsia"/>
        </w:rPr>
        <w:t xml:space="preserve"> 康巴什区</w:t>
      </w:r>
      <w:r>
        <w:rPr>
          <w:rFonts w:hint="eastAsia"/>
          <w:lang w:val="en-US" w:eastAsia="zh-CN"/>
        </w:rPr>
        <w:t>4</w:t>
      </w:r>
      <w:r>
        <w:rPr>
          <w:rFonts w:hint="eastAsia"/>
        </w:rPr>
        <w:t>#</w:t>
      </w:r>
      <w:r>
        <w:rPr>
          <w:rFonts w:hint="eastAsia"/>
          <w:lang w:val="en-US" w:eastAsia="zh-CN"/>
        </w:rPr>
        <w:t>光伏</w:t>
      </w:r>
      <w:r>
        <w:rPr>
          <w:rFonts w:hint="eastAsia"/>
        </w:rPr>
        <w:t>场址示意图</w:t>
      </w:r>
    </w:p>
    <w:p>
      <w:pPr>
        <w:pStyle w:val="28"/>
        <w:pageBreakBefore w:val="0"/>
        <w:wordWrap/>
        <w:topLinePunct w:val="0"/>
        <w:bidi w:val="0"/>
        <w:snapToGrid/>
        <w:spacing w:line="240" w:lineRule="auto"/>
        <w:rPr>
          <w:rFonts w:hint="eastAsia"/>
        </w:rPr>
      </w:pPr>
      <w:bookmarkStart w:id="206" w:name="_Toc20919"/>
      <w:r>
        <w:rPr>
          <w:rFonts w:hint="eastAsia" w:ascii="Times New Roman" w:hAnsi="Times New Roman"/>
        </w:rPr>
        <w:t>（</w:t>
      </w:r>
      <w:r>
        <w:rPr>
          <w:rFonts w:hint="eastAsia" w:ascii="Times New Roman" w:hAnsi="Times New Roman"/>
          <w:lang w:val="en-US" w:eastAsia="zh-CN"/>
        </w:rPr>
        <w:t>五</w:t>
      </w:r>
      <w:r>
        <w:rPr>
          <w:rFonts w:hint="eastAsia" w:ascii="Times New Roman" w:hAnsi="Times New Roman"/>
        </w:rPr>
        <w:t>）</w:t>
      </w:r>
      <w:r>
        <w:rPr>
          <w:rFonts w:hint="eastAsia" w:ascii="Times New Roman" w:hAnsi="Times New Roman"/>
          <w:lang w:val="en-US" w:eastAsia="zh-CN"/>
        </w:rPr>
        <w:t>5</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bookmarkEnd w:id="206"/>
    </w:p>
    <w:p>
      <w:pPr>
        <w:pageBreakBefore w:val="0"/>
        <w:wordWrap/>
        <w:topLinePunct w:val="0"/>
        <w:bidi w:val="0"/>
        <w:snapToGrid/>
        <w:spacing w:line="240" w:lineRule="auto"/>
      </w:pPr>
      <w:r>
        <w:rPr>
          <w:rFonts w:hint="eastAsia"/>
        </w:rPr>
        <w:t>康巴什区</w:t>
      </w:r>
      <w:r>
        <w:rPr>
          <w:rFonts w:hint="eastAsia"/>
          <w:lang w:val="en-US" w:eastAsia="zh-CN"/>
        </w:rPr>
        <w:t>5</w:t>
      </w:r>
      <w:r>
        <w:t>#</w:t>
      </w:r>
      <w:r>
        <w:rPr>
          <w:rFonts w:hint="eastAsia"/>
          <w:lang w:val="en-US" w:eastAsia="zh-CN"/>
        </w:rPr>
        <w:t>光伏</w:t>
      </w:r>
      <w:r>
        <w:rPr>
          <w:rFonts w:hint="eastAsia"/>
        </w:rPr>
        <w:t>项目位于格德热格社区西部，万和社区东部，场址北部、中部、南部分别有荣乌高速、东苏高速、东阿高速连接线穿过，交通便利，场址内海拔在1</w:t>
      </w:r>
      <w:r>
        <w:t>2</w:t>
      </w:r>
      <w:r>
        <w:rPr>
          <w:rFonts w:hint="eastAsia"/>
        </w:rPr>
        <w:t>50～1</w:t>
      </w:r>
      <w:r>
        <w:t>3</w:t>
      </w:r>
      <w:r>
        <w:rPr>
          <w:rFonts w:hint="eastAsia"/>
        </w:rPr>
        <w:t>50m之间，场址区总体呈现两侧高中间低的特点，地势总体较为平缓，适宜开发风光同场项目。场址规划面积32.2km</w:t>
      </w:r>
      <w:r>
        <w:rPr>
          <w:rFonts w:hint="eastAsia"/>
          <w:vertAlign w:val="superscript"/>
        </w:rPr>
        <w:t>2</w:t>
      </w:r>
      <w:r>
        <w:rPr>
          <w:rFonts w:hint="eastAsia"/>
        </w:rPr>
        <w:t>，以草地为主，建设条件较好，规划</w:t>
      </w:r>
      <w:r>
        <w:rPr>
          <w:rFonts w:hint="eastAsia"/>
          <w:lang w:val="en-US" w:eastAsia="zh-CN"/>
        </w:rPr>
        <w:t>建设</w:t>
      </w:r>
      <w:r>
        <w:rPr>
          <w:rFonts w:hint="eastAsia"/>
        </w:rPr>
        <w:t>光伏1</w:t>
      </w:r>
      <w:r>
        <w:rPr>
          <w:rFonts w:hint="eastAsia"/>
          <w:lang w:val="en-US" w:eastAsia="zh-CN"/>
        </w:rPr>
        <w:t>2</w:t>
      </w:r>
      <w:r>
        <w:rPr>
          <w:rFonts w:hint="eastAsia"/>
        </w:rPr>
        <w:t>0万千瓦，首年利用小时数（直流侧）1</w:t>
      </w:r>
      <w:r>
        <w:t>6</w:t>
      </w:r>
      <w:r>
        <w:rPr>
          <w:rFonts w:hint="eastAsia"/>
        </w:rPr>
        <w:t>82h。</w:t>
      </w:r>
    </w:p>
    <w:p>
      <w:pPr>
        <w:pageBreakBefore w:val="0"/>
        <w:wordWrap/>
        <w:topLinePunct w:val="0"/>
        <w:bidi w:val="0"/>
        <w:snapToGrid/>
        <w:spacing w:line="240" w:lineRule="auto"/>
        <w:ind w:firstLine="0" w:firstLineChars="0"/>
        <w:jc w:val="center"/>
      </w:pPr>
      <w:r>
        <w:drawing>
          <wp:inline distT="0" distB="0" distL="114300" distR="114300">
            <wp:extent cx="4696460" cy="4991100"/>
            <wp:effectExtent l="0" t="0" r="12700" b="7620"/>
            <wp:docPr id="19"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true"/>
                    </pic:cNvPicPr>
                  </pic:nvPicPr>
                  <pic:blipFill>
                    <a:blip r:embed="rId35"/>
                    <a:srcRect l="-1" r="241" b="4306"/>
                    <a:stretch>
                      <a:fillRect/>
                    </a:stretch>
                  </pic:blipFill>
                  <pic:spPr>
                    <a:xfrm>
                      <a:off x="0" y="0"/>
                      <a:ext cx="4696460" cy="4991100"/>
                    </a:xfrm>
                    <a:prstGeom prst="rect">
                      <a:avLst/>
                    </a:prstGeom>
                    <a:noFill/>
                    <a:ln>
                      <a:noFill/>
                    </a:ln>
                  </pic:spPr>
                </pic:pic>
              </a:graphicData>
            </a:graphic>
          </wp:inline>
        </w:drawing>
      </w:r>
    </w:p>
    <w:p>
      <w:pPr>
        <w:pStyle w:val="27"/>
        <w:bidi w:val="0"/>
        <w:rPr>
          <w:rFonts w:hint="eastAsia"/>
        </w:rPr>
      </w:pPr>
      <w:r>
        <w:rPr>
          <w:rFonts w:hint="eastAsia"/>
        </w:rPr>
        <w:t>图5-</w:t>
      </w:r>
      <w:r>
        <w:rPr>
          <w:rFonts w:hint="eastAsia"/>
          <w:lang w:val="en-US" w:eastAsia="zh-CN"/>
        </w:rPr>
        <w:t>5</w:t>
      </w:r>
      <w:r>
        <w:rPr>
          <w:rFonts w:hint="eastAsia"/>
        </w:rPr>
        <w:t xml:space="preserve"> 康巴什区</w:t>
      </w:r>
      <w:r>
        <w:rPr>
          <w:rFonts w:hint="eastAsia"/>
          <w:lang w:val="en-US" w:eastAsia="zh-CN"/>
        </w:rPr>
        <w:t>5</w:t>
      </w:r>
      <w:r>
        <w:rPr>
          <w:rFonts w:hint="eastAsia"/>
        </w:rPr>
        <w:t>#</w:t>
      </w:r>
      <w:r>
        <w:rPr>
          <w:rFonts w:hint="eastAsia"/>
          <w:lang w:val="en-US" w:eastAsia="zh-CN"/>
        </w:rPr>
        <w:t>光伏</w:t>
      </w:r>
      <w:r>
        <w:rPr>
          <w:rFonts w:hint="eastAsia"/>
        </w:rPr>
        <w:t>场址示意图</w:t>
      </w:r>
    </w:p>
    <w:p>
      <w:pPr>
        <w:pStyle w:val="28"/>
        <w:pageBreakBefore w:val="0"/>
        <w:wordWrap/>
        <w:topLinePunct w:val="0"/>
        <w:bidi w:val="0"/>
        <w:snapToGrid/>
        <w:spacing w:line="240" w:lineRule="auto"/>
        <w:rPr>
          <w:rFonts w:hint="eastAsia" w:cs="Times New Roman"/>
          <w:b/>
          <w:sz w:val="24"/>
        </w:rPr>
      </w:pPr>
      <w:bookmarkStart w:id="207" w:name="_Toc31636"/>
      <w:r>
        <w:rPr>
          <w:rFonts w:hint="eastAsia" w:ascii="Times New Roman" w:hAnsi="Times New Roman"/>
        </w:rPr>
        <w:t>（</w:t>
      </w:r>
      <w:r>
        <w:rPr>
          <w:rFonts w:hint="eastAsia" w:ascii="Times New Roman" w:hAnsi="Times New Roman"/>
          <w:lang w:val="en-US" w:eastAsia="zh-CN"/>
        </w:rPr>
        <w:t>六</w:t>
      </w:r>
      <w:r>
        <w:rPr>
          <w:rFonts w:hint="eastAsia" w:ascii="Times New Roman" w:hAnsi="Times New Roman"/>
        </w:rPr>
        <w:t>）</w:t>
      </w:r>
      <w:r>
        <w:rPr>
          <w:rFonts w:hint="eastAsia" w:ascii="Times New Roman" w:hAnsi="Times New Roman"/>
          <w:lang w:val="en-US" w:eastAsia="zh-CN"/>
        </w:rPr>
        <w:t>6</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bookmarkEnd w:id="207"/>
    </w:p>
    <w:p>
      <w:pPr>
        <w:pageBreakBefore w:val="0"/>
        <w:wordWrap/>
        <w:topLinePunct w:val="0"/>
        <w:bidi w:val="0"/>
        <w:snapToGrid/>
        <w:spacing w:line="240" w:lineRule="auto"/>
      </w:pPr>
      <w:r>
        <w:rPr>
          <w:rFonts w:hint="eastAsia"/>
        </w:rPr>
        <w:t>康巴什区</w:t>
      </w:r>
      <w:r>
        <w:rPr>
          <w:rFonts w:hint="eastAsia"/>
          <w:lang w:val="en-US" w:eastAsia="zh-CN"/>
        </w:rPr>
        <w:t>6</w:t>
      </w:r>
      <w:r>
        <w:t>#</w:t>
      </w:r>
      <w:r>
        <w:rPr>
          <w:rFonts w:hint="eastAsia"/>
          <w:lang w:val="en-US" w:eastAsia="zh-CN"/>
        </w:rPr>
        <w:t>光伏场址</w:t>
      </w:r>
      <w:r>
        <w:rPr>
          <w:rFonts w:hint="eastAsia"/>
        </w:rPr>
        <w:t>位于格德热格社区东部，场区位于机场高速以东，场区中心有公路自西向东穿过，交通便利，场址内海拔在1</w:t>
      </w:r>
      <w:r>
        <w:t>27</w:t>
      </w:r>
      <w:r>
        <w:rPr>
          <w:rFonts w:hint="eastAsia"/>
        </w:rPr>
        <w:t>0～1</w:t>
      </w:r>
      <w:r>
        <w:t>39</w:t>
      </w:r>
      <w:r>
        <w:rPr>
          <w:rFonts w:hint="eastAsia"/>
        </w:rPr>
        <w:t>0m之间，场址区北部沟壑较多，南部较为平缓，适宜</w:t>
      </w:r>
      <w:r>
        <w:rPr>
          <w:rFonts w:hint="eastAsia"/>
          <w:lang w:val="en-US" w:eastAsia="zh-CN"/>
        </w:rPr>
        <w:t>开发光伏</w:t>
      </w:r>
      <w:r>
        <w:rPr>
          <w:rFonts w:hint="eastAsia"/>
        </w:rPr>
        <w:t>项目。场址规划面积26.2km</w:t>
      </w:r>
      <w:r>
        <w:rPr>
          <w:rFonts w:hint="eastAsia"/>
          <w:vertAlign w:val="superscript"/>
        </w:rPr>
        <w:t>2</w:t>
      </w:r>
      <w:r>
        <w:rPr>
          <w:rFonts w:hint="eastAsia"/>
        </w:rPr>
        <w:t>，以草地为主，建设条件较好，规划</w:t>
      </w:r>
      <w:r>
        <w:rPr>
          <w:rFonts w:hint="eastAsia"/>
          <w:lang w:val="en-US" w:eastAsia="zh-CN"/>
        </w:rPr>
        <w:t>建设</w:t>
      </w:r>
      <w:r>
        <w:rPr>
          <w:rFonts w:hint="eastAsia"/>
        </w:rPr>
        <w:t>光伏</w:t>
      </w:r>
      <w:r>
        <w:rPr>
          <w:rFonts w:hint="eastAsia"/>
          <w:lang w:val="en-US" w:eastAsia="zh-CN"/>
        </w:rPr>
        <w:t>10</w:t>
      </w:r>
      <w:r>
        <w:rPr>
          <w:rFonts w:hint="eastAsia"/>
        </w:rPr>
        <w:t>0万千瓦，首年利用小时数（直流侧）1</w:t>
      </w:r>
      <w:r>
        <w:t>6</w:t>
      </w:r>
      <w:r>
        <w:rPr>
          <w:rFonts w:hint="eastAsia"/>
        </w:rPr>
        <w:t>67h。</w:t>
      </w:r>
    </w:p>
    <w:p>
      <w:pPr>
        <w:pStyle w:val="39"/>
        <w:bidi w:val="0"/>
      </w:pPr>
      <w:r>
        <w:drawing>
          <wp:inline distT="0" distB="0" distL="114300" distR="114300">
            <wp:extent cx="4819650" cy="4704080"/>
            <wp:effectExtent l="0" t="0" r="11430" b="5080"/>
            <wp:docPr id="23"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true"/>
                    </pic:cNvPicPr>
                  </pic:nvPicPr>
                  <pic:blipFill>
                    <a:blip r:embed="rId36"/>
                    <a:stretch>
                      <a:fillRect/>
                    </a:stretch>
                  </pic:blipFill>
                  <pic:spPr>
                    <a:xfrm>
                      <a:off x="0" y="0"/>
                      <a:ext cx="4819650" cy="4704080"/>
                    </a:xfrm>
                    <a:prstGeom prst="rect">
                      <a:avLst/>
                    </a:prstGeom>
                    <a:noFill/>
                    <a:ln>
                      <a:noFill/>
                    </a:ln>
                  </pic:spPr>
                </pic:pic>
              </a:graphicData>
            </a:graphic>
          </wp:inline>
        </w:drawing>
      </w:r>
    </w:p>
    <w:p>
      <w:pPr>
        <w:pStyle w:val="27"/>
        <w:bidi w:val="0"/>
      </w:pPr>
      <w:r>
        <w:rPr>
          <w:rFonts w:hint="eastAsia"/>
        </w:rPr>
        <w:t>图5-</w:t>
      </w:r>
      <w:r>
        <w:rPr>
          <w:rFonts w:hint="eastAsia"/>
          <w:lang w:val="en-US" w:eastAsia="zh-CN"/>
        </w:rPr>
        <w:t>6</w:t>
      </w:r>
      <w:r>
        <w:rPr>
          <w:rFonts w:hint="eastAsia"/>
        </w:rPr>
        <w:t xml:space="preserve"> 康巴什区</w:t>
      </w:r>
      <w:r>
        <w:rPr>
          <w:rFonts w:hint="eastAsia"/>
          <w:lang w:val="en-US" w:eastAsia="zh-CN"/>
        </w:rPr>
        <w:t>6</w:t>
      </w:r>
      <w:r>
        <w:rPr>
          <w:rFonts w:hint="eastAsia"/>
        </w:rPr>
        <w:t>#</w:t>
      </w:r>
      <w:r>
        <w:rPr>
          <w:rFonts w:hint="eastAsia"/>
          <w:lang w:val="en-US" w:eastAsia="zh-CN"/>
        </w:rPr>
        <w:t>光伏</w:t>
      </w:r>
      <w:r>
        <w:rPr>
          <w:rFonts w:hint="eastAsia"/>
        </w:rPr>
        <w:t>场址示意图</w:t>
      </w:r>
    </w:p>
    <w:p>
      <w:pPr>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208" w:name="_Toc11425"/>
      <w:bookmarkStart w:id="209" w:name="_Toc18870"/>
      <w:bookmarkStart w:id="210" w:name="_Toc27189"/>
      <w:bookmarkStart w:id="211" w:name="_Toc10317"/>
      <w:bookmarkStart w:id="212" w:name="_Toc4606"/>
      <w:bookmarkStart w:id="213" w:name="_Toc21490"/>
      <w:bookmarkStart w:id="214" w:name="_Toc21845"/>
      <w:bookmarkStart w:id="215" w:name="_Toc14942"/>
      <w:r>
        <w:rPr>
          <w:rFonts w:hint="eastAsia" w:eastAsia="黑体" w:cs="黑体"/>
          <w:snapToGrid w:val="0"/>
          <w:color w:val="000000"/>
          <w:spacing w:val="-2"/>
          <w:kern w:val="0"/>
          <w:szCs w:val="32"/>
        </w:rPr>
        <w:t>六、因地制宜发展分布式新能源</w:t>
      </w:r>
      <w:bookmarkEnd w:id="208"/>
      <w:bookmarkEnd w:id="209"/>
      <w:bookmarkEnd w:id="210"/>
      <w:bookmarkEnd w:id="211"/>
      <w:bookmarkEnd w:id="212"/>
      <w:bookmarkEnd w:id="213"/>
      <w:bookmarkEnd w:id="214"/>
      <w:bookmarkEnd w:id="215"/>
    </w:p>
    <w:p>
      <w:pPr>
        <w:pStyle w:val="28"/>
        <w:pageBreakBefore w:val="0"/>
        <w:wordWrap/>
        <w:topLinePunct w:val="0"/>
        <w:bidi w:val="0"/>
        <w:snapToGrid/>
        <w:spacing w:line="240" w:lineRule="auto"/>
        <w:rPr>
          <w:rFonts w:ascii="Times New Roman" w:hAnsi="Times New Roman"/>
        </w:rPr>
      </w:pPr>
      <w:bookmarkStart w:id="216" w:name="_Toc2367"/>
      <w:bookmarkStart w:id="217" w:name="_Toc24025"/>
      <w:bookmarkStart w:id="218" w:name="_Toc25396"/>
      <w:bookmarkStart w:id="219" w:name="_Toc12268"/>
      <w:bookmarkStart w:id="220" w:name="_Toc3051"/>
      <w:bookmarkStart w:id="221" w:name="_Toc2446"/>
      <w:bookmarkStart w:id="222" w:name="_Toc670"/>
      <w:r>
        <w:rPr>
          <w:rFonts w:hint="eastAsia" w:ascii="Times New Roman" w:hAnsi="Times New Roman"/>
        </w:rPr>
        <w:t>（一）结合城市基础设施建设分布式新能源项目</w:t>
      </w:r>
      <w:bookmarkEnd w:id="216"/>
      <w:bookmarkEnd w:id="217"/>
      <w:bookmarkEnd w:id="218"/>
      <w:bookmarkEnd w:id="219"/>
      <w:bookmarkEnd w:id="220"/>
      <w:bookmarkEnd w:id="221"/>
    </w:p>
    <w:p>
      <w:pPr>
        <w:pageBreakBefore w:val="0"/>
        <w:wordWrap/>
        <w:topLinePunct w:val="0"/>
        <w:bidi w:val="0"/>
        <w:snapToGrid/>
        <w:spacing w:line="240" w:lineRule="auto"/>
        <w:rPr>
          <w:rFonts w:hint="default" w:eastAsia="仿宋_GB2312" w:cs="微软雅黑"/>
          <w:szCs w:val="32"/>
          <w:lang w:val="en-US" w:eastAsia="zh-CN"/>
        </w:rPr>
      </w:pPr>
      <w:r>
        <w:rPr>
          <w:rFonts w:hint="eastAsia" w:cs="微软雅黑"/>
          <w:szCs w:val="32"/>
        </w:rPr>
        <w:t>鼓励在城市路灯照明、城市景观以及通信基站、交通信号灯、污水处理厂、垃圾填埋场等领域推广分布式光伏。充分利用康巴什区的高速枢纽、加油站、高速路护坡等空闲地建设分布式光伏项目。</w:t>
      </w:r>
      <w:r>
        <w:rPr>
          <w:rFonts w:hint="eastAsia" w:cs="微软雅黑"/>
          <w:szCs w:val="32"/>
          <w:lang w:val="en-US" w:eastAsia="zh-CN"/>
        </w:rPr>
        <w:t>在公路服务区（停车区）等可发展建设“光储充”一体化项目。</w:t>
      </w:r>
    </w:p>
    <w:p>
      <w:pPr>
        <w:pageBreakBefore w:val="0"/>
        <w:wordWrap/>
        <w:topLinePunct w:val="0"/>
        <w:bidi w:val="0"/>
        <w:snapToGrid/>
        <w:spacing w:line="240" w:lineRule="auto"/>
        <w:rPr>
          <w:rFonts w:cs="微软雅黑"/>
          <w:szCs w:val="32"/>
        </w:rPr>
      </w:pPr>
      <w:r>
        <w:rPr>
          <w:rFonts w:hint="eastAsia" w:cs="微软雅黑"/>
          <w:szCs w:val="32"/>
        </w:rPr>
        <w:t>荣乌高速</w:t>
      </w:r>
      <w:r>
        <w:rPr>
          <w:rFonts w:hint="eastAsia" w:cs="微软雅黑"/>
          <w:szCs w:val="32"/>
          <w:lang w:val="en-US" w:eastAsia="zh-CN"/>
        </w:rPr>
        <w:t>在康巴什区北部东</w:t>
      </w:r>
      <w:r>
        <w:rPr>
          <w:rFonts w:hint="eastAsia" w:cs="微软雅黑"/>
          <w:szCs w:val="32"/>
        </w:rPr>
        <w:t>西向穿过，长度约2</w:t>
      </w:r>
      <w:r>
        <w:rPr>
          <w:rFonts w:cs="微软雅黑"/>
          <w:szCs w:val="32"/>
        </w:rPr>
        <w:t>0</w:t>
      </w:r>
      <w:r>
        <w:rPr>
          <w:rFonts w:hint="eastAsia" w:cs="微软雅黑"/>
          <w:szCs w:val="32"/>
        </w:rPr>
        <w:t>km，南面护坡坡度适宜布置光伏。根据测算，利用荣乌高速南面护坡可布置光伏2万千瓦。此外，利用康巴什区高速枢纽及马王庙服务区等位置可规划建设分散式光伏项目约1万千瓦。</w:t>
      </w:r>
    </w:p>
    <w:p>
      <w:pPr>
        <w:pStyle w:val="27"/>
        <w:pageBreakBefore w:val="0"/>
        <w:wordWrap/>
        <w:topLinePunct w:val="0"/>
        <w:bidi w:val="0"/>
        <w:snapToGrid/>
        <w:spacing w:line="240" w:lineRule="auto"/>
      </w:pPr>
      <w:r>
        <w:rPr>
          <w:rFonts w:hint="eastAsia"/>
        </w:rPr>
        <w:t>表6</w:t>
      </w:r>
      <w:r>
        <w:t xml:space="preserve">-1 </w:t>
      </w:r>
      <w:r>
        <w:rPr>
          <w:rFonts w:hint="eastAsia"/>
        </w:rPr>
        <w:t>利用交通基础设施建设分散式光伏项目表</w:t>
      </w:r>
    </w:p>
    <w:tbl>
      <w:tblPr>
        <w:tblStyle w:val="17"/>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5"/>
        <w:gridCol w:w="5046"/>
        <w:gridCol w:w="29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pPr>
              <w:pStyle w:val="39"/>
              <w:bidi w:val="0"/>
            </w:pPr>
            <w:r>
              <w:rPr>
                <w:rFonts w:hint="eastAsia"/>
              </w:rPr>
              <w:t>序号</w:t>
            </w:r>
          </w:p>
        </w:tc>
        <w:tc>
          <w:tcPr>
            <w:tcW w:w="2785" w:type="pct"/>
            <w:tcBorders>
              <w:tl2br w:val="nil"/>
              <w:tr2bl w:val="nil"/>
            </w:tcBorders>
            <w:shd w:val="clear" w:color="auto" w:fill="auto"/>
            <w:noWrap/>
            <w:vAlign w:val="center"/>
          </w:tcPr>
          <w:p>
            <w:pPr>
              <w:pStyle w:val="39"/>
              <w:bidi w:val="0"/>
            </w:pPr>
            <w:r>
              <w:rPr>
                <w:rFonts w:hint="eastAsia"/>
              </w:rPr>
              <w:t>项目名称</w:t>
            </w:r>
          </w:p>
        </w:tc>
        <w:tc>
          <w:tcPr>
            <w:tcW w:w="1604" w:type="pct"/>
            <w:tcBorders>
              <w:tl2br w:val="nil"/>
              <w:tr2bl w:val="nil"/>
            </w:tcBorders>
            <w:shd w:val="clear" w:color="auto" w:fill="auto"/>
            <w:noWrap/>
            <w:vAlign w:val="center"/>
          </w:tcPr>
          <w:p>
            <w:pPr>
              <w:pStyle w:val="39"/>
              <w:bidi w:val="0"/>
            </w:pPr>
            <w:r>
              <w:rPr>
                <w:rFonts w:hint="eastAsia"/>
              </w:rPr>
              <w:t>光伏规模（MW）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pPr>
              <w:pStyle w:val="39"/>
              <w:bidi w:val="0"/>
            </w:pPr>
            <w:r>
              <w:rPr>
                <w:rFonts w:hint="eastAsia"/>
              </w:rPr>
              <w:t>1</w:t>
            </w:r>
          </w:p>
        </w:tc>
        <w:tc>
          <w:tcPr>
            <w:tcW w:w="2785" w:type="pct"/>
            <w:tcBorders>
              <w:tl2br w:val="nil"/>
              <w:tr2bl w:val="nil"/>
            </w:tcBorders>
            <w:shd w:val="clear" w:color="auto" w:fill="auto"/>
            <w:noWrap/>
            <w:vAlign w:val="center"/>
          </w:tcPr>
          <w:p>
            <w:pPr>
              <w:pStyle w:val="39"/>
              <w:bidi w:val="0"/>
            </w:pPr>
            <w:r>
              <w:rPr>
                <w:rFonts w:hint="eastAsia"/>
              </w:rPr>
              <w:t>荣乌高速南向护坡光伏</w:t>
            </w:r>
          </w:p>
        </w:tc>
        <w:tc>
          <w:tcPr>
            <w:tcW w:w="1604" w:type="pct"/>
            <w:tcBorders>
              <w:tl2br w:val="nil"/>
              <w:tr2bl w:val="nil"/>
            </w:tcBorders>
            <w:shd w:val="clear" w:color="auto" w:fill="auto"/>
            <w:noWrap/>
            <w:vAlign w:val="center"/>
          </w:tcPr>
          <w:p>
            <w:pPr>
              <w:pStyle w:val="39"/>
              <w:bidi w:val="0"/>
            </w:pPr>
            <w:r>
              <w:rPr>
                <w:rFonts w:hint="eastAsia"/>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pPr>
              <w:pStyle w:val="39"/>
              <w:bidi w:val="0"/>
            </w:pPr>
            <w:r>
              <w:rPr>
                <w:rFonts w:hint="eastAsia"/>
              </w:rPr>
              <w:t>2</w:t>
            </w:r>
          </w:p>
        </w:tc>
        <w:tc>
          <w:tcPr>
            <w:tcW w:w="2785" w:type="pct"/>
            <w:tcBorders>
              <w:tl2br w:val="nil"/>
              <w:tr2bl w:val="nil"/>
            </w:tcBorders>
            <w:shd w:val="clear" w:color="auto" w:fill="auto"/>
            <w:noWrap/>
            <w:vAlign w:val="center"/>
          </w:tcPr>
          <w:p>
            <w:pPr>
              <w:pStyle w:val="39"/>
              <w:bidi w:val="0"/>
            </w:pPr>
            <w:r>
              <w:rPr>
                <w:rFonts w:hint="eastAsia"/>
              </w:rPr>
              <w:t>荣乌高速与包茂高速枢纽光伏</w:t>
            </w:r>
          </w:p>
        </w:tc>
        <w:tc>
          <w:tcPr>
            <w:tcW w:w="1604" w:type="pct"/>
            <w:tcBorders>
              <w:tl2br w:val="nil"/>
              <w:tr2bl w:val="nil"/>
            </w:tcBorders>
            <w:shd w:val="clear" w:color="auto" w:fill="auto"/>
            <w:noWrap/>
            <w:vAlign w:val="center"/>
          </w:tcPr>
          <w:p>
            <w:pPr>
              <w:pStyle w:val="39"/>
              <w:bidi w:val="0"/>
            </w:pPr>
            <w:r>
              <w:rPr>
                <w:rFonts w:hint="eastAsia"/>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pPr>
              <w:pStyle w:val="39"/>
              <w:bidi w:val="0"/>
            </w:pPr>
            <w:r>
              <w:rPr>
                <w:rFonts w:hint="eastAsia"/>
              </w:rPr>
              <w:t>3</w:t>
            </w:r>
          </w:p>
        </w:tc>
        <w:tc>
          <w:tcPr>
            <w:tcW w:w="2785" w:type="pct"/>
            <w:tcBorders>
              <w:tl2br w:val="nil"/>
              <w:tr2bl w:val="nil"/>
            </w:tcBorders>
            <w:shd w:val="clear" w:color="auto" w:fill="auto"/>
            <w:noWrap/>
            <w:vAlign w:val="center"/>
          </w:tcPr>
          <w:p>
            <w:pPr>
              <w:pStyle w:val="39"/>
              <w:bidi w:val="0"/>
            </w:pPr>
            <w:r>
              <w:rPr>
                <w:rFonts w:hint="eastAsia"/>
              </w:rPr>
              <w:t>机场高速枢纽光伏</w:t>
            </w:r>
          </w:p>
        </w:tc>
        <w:tc>
          <w:tcPr>
            <w:tcW w:w="1604" w:type="pct"/>
            <w:tcBorders>
              <w:tl2br w:val="nil"/>
              <w:tr2bl w:val="nil"/>
            </w:tcBorders>
            <w:shd w:val="clear" w:color="auto" w:fill="auto"/>
            <w:noWrap/>
            <w:vAlign w:val="center"/>
          </w:tcPr>
          <w:p>
            <w:pPr>
              <w:pStyle w:val="39"/>
              <w:bidi w:val="0"/>
            </w:pPr>
            <w:r>
              <w:rPr>
                <w:rFonts w:hint="eastAsia"/>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pPr>
              <w:pStyle w:val="39"/>
              <w:bidi w:val="0"/>
            </w:pPr>
            <w:r>
              <w:rPr>
                <w:rFonts w:hint="eastAsia"/>
              </w:rPr>
              <w:t>4</w:t>
            </w:r>
          </w:p>
        </w:tc>
        <w:tc>
          <w:tcPr>
            <w:tcW w:w="2785" w:type="pct"/>
            <w:tcBorders>
              <w:tl2br w:val="nil"/>
              <w:tr2bl w:val="nil"/>
            </w:tcBorders>
            <w:shd w:val="clear" w:color="auto" w:fill="auto"/>
            <w:noWrap/>
            <w:vAlign w:val="center"/>
          </w:tcPr>
          <w:p>
            <w:pPr>
              <w:pStyle w:val="39"/>
              <w:bidi w:val="0"/>
            </w:pPr>
            <w:r>
              <w:rPr>
                <w:rFonts w:hint="eastAsia"/>
              </w:rPr>
              <w:t>荣乌高速与210国道枢纽光伏</w:t>
            </w:r>
          </w:p>
        </w:tc>
        <w:tc>
          <w:tcPr>
            <w:tcW w:w="1604" w:type="pct"/>
            <w:tcBorders>
              <w:tl2br w:val="nil"/>
              <w:tr2bl w:val="nil"/>
            </w:tcBorders>
            <w:shd w:val="clear" w:color="auto" w:fill="auto"/>
            <w:noWrap/>
            <w:vAlign w:val="center"/>
          </w:tcPr>
          <w:p>
            <w:pPr>
              <w:pStyle w:val="39"/>
              <w:bidi w:val="0"/>
            </w:pPr>
            <w:r>
              <w:rPr>
                <w:rFonts w:hint="eastAsia"/>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pPr>
              <w:pStyle w:val="39"/>
              <w:bidi w:val="0"/>
            </w:pPr>
            <w:r>
              <w:rPr>
                <w:rFonts w:hint="eastAsia"/>
              </w:rPr>
              <w:t>5</w:t>
            </w:r>
          </w:p>
        </w:tc>
        <w:tc>
          <w:tcPr>
            <w:tcW w:w="2785" w:type="pct"/>
            <w:tcBorders>
              <w:tl2br w:val="nil"/>
              <w:tr2bl w:val="nil"/>
            </w:tcBorders>
            <w:shd w:val="clear" w:color="auto" w:fill="auto"/>
            <w:noWrap/>
            <w:vAlign w:val="center"/>
          </w:tcPr>
          <w:p>
            <w:pPr>
              <w:pStyle w:val="39"/>
              <w:bidi w:val="0"/>
            </w:pPr>
            <w:r>
              <w:rPr>
                <w:rFonts w:hint="eastAsia"/>
              </w:rPr>
              <w:t>马王庙服务区两侧光伏</w:t>
            </w:r>
          </w:p>
        </w:tc>
        <w:tc>
          <w:tcPr>
            <w:tcW w:w="1604" w:type="pct"/>
            <w:tcBorders>
              <w:tl2br w:val="nil"/>
              <w:tr2bl w:val="nil"/>
            </w:tcBorders>
            <w:shd w:val="clear" w:color="auto" w:fill="auto"/>
            <w:noWrap/>
            <w:vAlign w:val="center"/>
          </w:tcPr>
          <w:p>
            <w:pPr>
              <w:pStyle w:val="39"/>
              <w:bidi w:val="0"/>
            </w:pPr>
            <w:r>
              <w:rPr>
                <w:rFonts w:hint="eastAsi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pPr>
              <w:pStyle w:val="39"/>
              <w:bidi w:val="0"/>
            </w:pPr>
            <w:r>
              <w:rPr>
                <w:rFonts w:hint="eastAsia"/>
              </w:rPr>
              <w:t>6</w:t>
            </w:r>
          </w:p>
        </w:tc>
        <w:tc>
          <w:tcPr>
            <w:tcW w:w="2785" w:type="pct"/>
            <w:tcBorders>
              <w:tl2br w:val="nil"/>
              <w:tr2bl w:val="nil"/>
            </w:tcBorders>
            <w:shd w:val="clear" w:color="auto" w:fill="auto"/>
            <w:noWrap/>
            <w:vAlign w:val="center"/>
          </w:tcPr>
          <w:p>
            <w:pPr>
              <w:pStyle w:val="39"/>
              <w:bidi w:val="0"/>
            </w:pPr>
            <w:r>
              <w:rPr>
                <w:rFonts w:hint="eastAsia"/>
              </w:rPr>
              <w:t>210国道边坡光伏</w:t>
            </w:r>
          </w:p>
        </w:tc>
        <w:tc>
          <w:tcPr>
            <w:tcW w:w="1604" w:type="pct"/>
            <w:tcBorders>
              <w:tl2br w:val="nil"/>
              <w:tr2bl w:val="nil"/>
            </w:tcBorders>
            <w:shd w:val="clear" w:color="auto" w:fill="auto"/>
            <w:noWrap/>
            <w:vAlign w:val="center"/>
          </w:tcPr>
          <w:p>
            <w:pPr>
              <w:pStyle w:val="39"/>
              <w:bidi w:val="0"/>
            </w:pPr>
            <w:r>
              <w:rPr>
                <w:rFonts w:hint="eastAsi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95" w:type="pct"/>
            <w:gridSpan w:val="2"/>
            <w:tcBorders>
              <w:tl2br w:val="nil"/>
              <w:tr2bl w:val="nil"/>
            </w:tcBorders>
            <w:shd w:val="clear" w:color="auto" w:fill="auto"/>
            <w:noWrap/>
            <w:vAlign w:val="center"/>
          </w:tcPr>
          <w:p>
            <w:pPr>
              <w:pStyle w:val="39"/>
              <w:bidi w:val="0"/>
            </w:pPr>
            <w:r>
              <w:rPr>
                <w:rFonts w:hint="eastAsia"/>
              </w:rPr>
              <w:t>合计</w:t>
            </w:r>
          </w:p>
        </w:tc>
        <w:tc>
          <w:tcPr>
            <w:tcW w:w="1604" w:type="pct"/>
            <w:tcBorders>
              <w:tl2br w:val="nil"/>
              <w:tr2bl w:val="nil"/>
            </w:tcBorders>
            <w:shd w:val="clear" w:color="auto" w:fill="auto"/>
            <w:noWrap/>
            <w:vAlign w:val="center"/>
          </w:tcPr>
          <w:p>
            <w:pPr>
              <w:pStyle w:val="39"/>
              <w:bidi w:val="0"/>
            </w:pPr>
            <w:r>
              <w:rPr>
                <w:rFonts w:hint="eastAsia"/>
              </w:rPr>
              <w:t>30</w:t>
            </w:r>
          </w:p>
        </w:tc>
      </w:tr>
    </w:tbl>
    <w:p>
      <w:pPr>
        <w:pStyle w:val="27"/>
        <w:keepNext w:val="0"/>
        <w:keepLines w:val="0"/>
        <w:pageBreakBefore w:val="0"/>
        <w:widowControl/>
        <w:kinsoku/>
        <w:wordWrap/>
        <w:overflowPunct/>
        <w:topLinePunct w:val="0"/>
        <w:autoSpaceDE/>
        <w:autoSpaceDN/>
        <w:bidi w:val="0"/>
        <w:adjustRightInd/>
        <w:snapToGrid w:val="0"/>
        <w:spacing w:before="156" w:beforeLines="50" w:line="240" w:lineRule="auto"/>
        <w:textAlignment w:val="auto"/>
      </w:pPr>
      <w:r>
        <w:drawing>
          <wp:inline distT="0" distB="0" distL="114300" distR="114300">
            <wp:extent cx="2495550" cy="1546225"/>
            <wp:effectExtent l="0" t="0" r="0" b="15875"/>
            <wp:docPr id="44"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4" name="图片 14"/>
                    <pic:cNvPicPr>
                      <a:picLocks noChangeAspect="true"/>
                    </pic:cNvPicPr>
                  </pic:nvPicPr>
                  <pic:blipFill>
                    <a:blip r:embed="rId37"/>
                    <a:stretch>
                      <a:fillRect/>
                    </a:stretch>
                  </pic:blipFill>
                  <pic:spPr>
                    <a:xfrm>
                      <a:off x="0" y="0"/>
                      <a:ext cx="2495550" cy="1546225"/>
                    </a:xfrm>
                    <a:prstGeom prst="rect">
                      <a:avLst/>
                    </a:prstGeom>
                    <a:noFill/>
                    <a:ln>
                      <a:noFill/>
                    </a:ln>
                  </pic:spPr>
                </pic:pic>
              </a:graphicData>
            </a:graphic>
          </wp:inline>
        </w:drawing>
      </w:r>
      <w:r>
        <w:drawing>
          <wp:inline distT="0" distB="0" distL="114300" distR="114300">
            <wp:extent cx="2438400" cy="1543685"/>
            <wp:effectExtent l="0" t="0" r="0" b="18415"/>
            <wp:docPr id="45"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5" name="图片 15"/>
                    <pic:cNvPicPr>
                      <a:picLocks noChangeAspect="true"/>
                    </pic:cNvPicPr>
                  </pic:nvPicPr>
                  <pic:blipFill>
                    <a:blip r:embed="rId38"/>
                    <a:stretch>
                      <a:fillRect/>
                    </a:stretch>
                  </pic:blipFill>
                  <pic:spPr>
                    <a:xfrm>
                      <a:off x="0" y="0"/>
                      <a:ext cx="2438400" cy="1543685"/>
                    </a:xfrm>
                    <a:prstGeom prst="rect">
                      <a:avLst/>
                    </a:prstGeom>
                    <a:noFill/>
                    <a:ln>
                      <a:noFill/>
                    </a:ln>
                  </pic:spPr>
                </pic:pic>
              </a:graphicData>
            </a:graphic>
          </wp:inline>
        </w:drawing>
      </w:r>
    </w:p>
    <w:p>
      <w:pPr>
        <w:pStyle w:val="27"/>
        <w:bidi w:val="0"/>
      </w:pPr>
      <w:r>
        <w:rPr>
          <w:rFonts w:hint="eastAsia"/>
        </w:rPr>
        <w:t>图6-1 国道210南北向边坡</w:t>
      </w:r>
    </w:p>
    <w:p>
      <w:pPr>
        <w:pStyle w:val="39"/>
        <w:bidi w:val="0"/>
      </w:pPr>
      <w:r>
        <w:drawing>
          <wp:inline distT="0" distB="0" distL="0" distR="0">
            <wp:extent cx="2519680" cy="1659255"/>
            <wp:effectExtent l="0" t="0" r="13970" b="17145"/>
            <wp:docPr id="31"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true"/>
                    </pic:cNvPicPr>
                  </pic:nvPicPr>
                  <pic:blipFill>
                    <a:blip r:embed="rId39"/>
                    <a:stretch>
                      <a:fillRect/>
                    </a:stretch>
                  </pic:blipFill>
                  <pic:spPr>
                    <a:xfrm>
                      <a:off x="0" y="0"/>
                      <a:ext cx="2520000" cy="1659268"/>
                    </a:xfrm>
                    <a:prstGeom prst="rect">
                      <a:avLst/>
                    </a:prstGeom>
                  </pic:spPr>
                </pic:pic>
              </a:graphicData>
            </a:graphic>
          </wp:inline>
        </w:drawing>
      </w:r>
      <w:r>
        <w:drawing>
          <wp:inline distT="0" distB="0" distL="0" distR="0">
            <wp:extent cx="2519680" cy="1676400"/>
            <wp:effectExtent l="0" t="0" r="13970" b="0"/>
            <wp:docPr id="32" name="图片 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true"/>
                    </pic:cNvPicPr>
                  </pic:nvPicPr>
                  <pic:blipFill>
                    <a:blip r:embed="rId40"/>
                    <a:stretch>
                      <a:fillRect/>
                    </a:stretch>
                  </pic:blipFill>
                  <pic:spPr>
                    <a:xfrm>
                      <a:off x="0" y="0"/>
                      <a:ext cx="2520000" cy="1676592"/>
                    </a:xfrm>
                    <a:prstGeom prst="rect">
                      <a:avLst/>
                    </a:prstGeom>
                  </pic:spPr>
                </pic:pic>
              </a:graphicData>
            </a:graphic>
          </wp:inline>
        </w:drawing>
      </w:r>
    </w:p>
    <w:p>
      <w:pPr>
        <w:pStyle w:val="27"/>
        <w:bidi w:val="0"/>
      </w:pPr>
      <w:r>
        <w:rPr>
          <w:rFonts w:hint="eastAsia"/>
        </w:rPr>
        <w:t>图6-2 交通枢纽光伏示意图</w:t>
      </w:r>
    </w:p>
    <w:p>
      <w:pPr>
        <w:pStyle w:val="28"/>
        <w:pageBreakBefore w:val="0"/>
        <w:wordWrap/>
        <w:topLinePunct w:val="0"/>
        <w:bidi w:val="0"/>
        <w:snapToGrid/>
        <w:spacing w:line="240" w:lineRule="auto"/>
        <w:rPr>
          <w:rFonts w:ascii="Times New Roman" w:hAnsi="Times New Roman"/>
        </w:rPr>
      </w:pPr>
      <w:bookmarkStart w:id="223" w:name="_Toc14727"/>
      <w:bookmarkStart w:id="224" w:name="_Toc6131"/>
      <w:bookmarkStart w:id="225" w:name="_Toc18725"/>
      <w:bookmarkStart w:id="226" w:name="_Toc3881"/>
      <w:bookmarkStart w:id="227" w:name="_Toc3497"/>
      <w:bookmarkStart w:id="228" w:name="_Toc28784"/>
      <w:r>
        <w:rPr>
          <w:rFonts w:hint="eastAsia" w:ascii="Times New Roman" w:hAnsi="Times New Roman"/>
        </w:rPr>
        <w:t>（二）积极建设康巴什区整区光伏项目</w:t>
      </w:r>
      <w:bookmarkEnd w:id="222"/>
      <w:bookmarkEnd w:id="223"/>
      <w:bookmarkEnd w:id="224"/>
      <w:bookmarkEnd w:id="225"/>
      <w:bookmarkEnd w:id="226"/>
      <w:bookmarkEnd w:id="227"/>
      <w:bookmarkEnd w:id="228"/>
    </w:p>
    <w:p>
      <w:pPr>
        <w:pageBreakBefore w:val="0"/>
        <w:wordWrap/>
        <w:topLinePunct w:val="0"/>
        <w:bidi w:val="0"/>
        <w:snapToGrid/>
        <w:spacing w:line="240" w:lineRule="auto"/>
        <w:rPr>
          <w:rFonts w:cs="微软雅黑"/>
          <w:szCs w:val="32"/>
        </w:rPr>
      </w:pPr>
      <w:r>
        <w:rPr>
          <w:rFonts w:hint="eastAsia" w:cs="微软雅黑"/>
          <w:szCs w:val="32"/>
        </w:rPr>
        <w:t>康巴什区作为鄂尔多斯市的城市形象代表，应发挥示范带头作用，充分利用屋顶资源，大力推动光伏发电应用，在康巴什区城市发展过程中广泛采用光伏建筑一体化建设。</w:t>
      </w:r>
    </w:p>
    <w:p>
      <w:pPr>
        <w:pageBreakBefore w:val="0"/>
        <w:wordWrap/>
        <w:topLinePunct w:val="0"/>
        <w:bidi w:val="0"/>
        <w:snapToGrid/>
        <w:spacing w:line="240" w:lineRule="auto"/>
        <w:rPr>
          <w:rFonts w:cs="微软雅黑"/>
          <w:szCs w:val="32"/>
        </w:rPr>
      </w:pPr>
      <w:r>
        <w:rPr>
          <w:rFonts w:hint="eastAsia" w:cs="微软雅黑"/>
          <w:szCs w:val="32"/>
        </w:rPr>
        <w:t>充分利用全区政府、企业、学校、医院等屋顶资源，结合停车场、车棚等开发分布式光伏。项目主要位于中心城区和工业园区内，根据屋顶结构特点，采用“自发自用、余电上网”模式，有序开发建设。</w:t>
      </w:r>
    </w:p>
    <w:p>
      <w:pPr>
        <w:pageBreakBefore w:val="0"/>
        <w:wordWrap/>
        <w:topLinePunct w:val="0"/>
        <w:bidi w:val="0"/>
        <w:snapToGrid/>
        <w:spacing w:line="240" w:lineRule="auto"/>
        <w:rPr>
          <w:rFonts w:cs="微软雅黑"/>
          <w:szCs w:val="32"/>
        </w:rPr>
      </w:pPr>
      <w:r>
        <w:rPr>
          <w:rFonts w:hint="eastAsia" w:cs="微软雅黑"/>
          <w:szCs w:val="32"/>
        </w:rPr>
        <w:t>鼓励开发应用一体化程度高的建材型、构件型光伏组件，支持光伏系统与建筑工程同步设计、同步施工、同步验收。结合工商业发展、老旧小区改造等，扩大分布式光伏发电应用。鼓励学校、医院、党政机关、事业单位、居民社区建筑和构筑物、个人家庭自有建筑物等建设分布式光伏发电系统。</w:t>
      </w:r>
    </w:p>
    <w:p>
      <w:pPr>
        <w:pageBreakBefore w:val="0"/>
        <w:wordWrap/>
        <w:topLinePunct w:val="0"/>
        <w:bidi w:val="0"/>
        <w:snapToGrid/>
        <w:spacing w:line="240" w:lineRule="auto"/>
        <w:rPr>
          <w:rFonts w:cs="微软雅黑"/>
          <w:szCs w:val="32"/>
        </w:rPr>
      </w:pPr>
      <w:r>
        <w:rPr>
          <w:rFonts w:hint="eastAsia" w:cs="微软雅黑"/>
          <w:szCs w:val="32"/>
        </w:rPr>
        <w:t>鼓励社会各类主体投资建设分布式光伏发电系统，支持专业化能源服务公司与用户合作，以“合同能源管理”模式投资建设和运营分布式光伏发电设施。</w:t>
      </w:r>
      <w:r>
        <w:rPr>
          <w:rFonts w:hint="eastAsia" w:cs="微软雅黑"/>
          <w:szCs w:val="32"/>
          <w:lang w:val="en-US" w:eastAsia="zh-CN"/>
        </w:rPr>
        <w:t>积极</w:t>
      </w:r>
      <w:r>
        <w:rPr>
          <w:rFonts w:hint="eastAsia" w:cs="微软雅黑"/>
          <w:szCs w:val="32"/>
        </w:rPr>
        <w:t>探索建筑屋顶太阳能热水器和光伏发电系统一体化应用。</w:t>
      </w:r>
    </w:p>
    <w:p>
      <w:pPr>
        <w:pageBreakBefore w:val="0"/>
        <w:wordWrap/>
        <w:topLinePunct w:val="0"/>
        <w:bidi w:val="0"/>
        <w:snapToGrid/>
        <w:spacing w:line="240" w:lineRule="auto"/>
        <w:rPr>
          <w:rFonts w:cs="微软雅黑"/>
          <w:szCs w:val="32"/>
        </w:rPr>
      </w:pPr>
      <w:r>
        <w:rPr>
          <w:rFonts w:hint="eastAsia" w:cs="微软雅黑"/>
          <w:szCs w:val="32"/>
        </w:rPr>
        <w:t>至20</w:t>
      </w:r>
      <w:r>
        <w:rPr>
          <w:rFonts w:cs="微软雅黑"/>
          <w:szCs w:val="32"/>
        </w:rPr>
        <w:t>3</w:t>
      </w:r>
      <w:r>
        <w:rPr>
          <w:rFonts w:hint="eastAsia" w:cs="微软雅黑"/>
          <w:szCs w:val="32"/>
        </w:rPr>
        <w:t>5年，全区各类分布式</w:t>
      </w:r>
      <w:r>
        <w:rPr>
          <w:rFonts w:hint="eastAsia" w:cs="微软雅黑"/>
          <w:szCs w:val="32"/>
          <w:lang w:val="en-US" w:eastAsia="zh-CN"/>
        </w:rPr>
        <w:t>光伏</w:t>
      </w:r>
      <w:r>
        <w:rPr>
          <w:rFonts w:hint="eastAsia" w:cs="微软雅黑"/>
          <w:szCs w:val="32"/>
          <w:lang w:eastAsia="zh-CN"/>
        </w:rPr>
        <w:t>（</w:t>
      </w:r>
      <w:r>
        <w:rPr>
          <w:rFonts w:hint="eastAsia" w:cs="微软雅黑"/>
          <w:szCs w:val="32"/>
          <w:lang w:val="en-US" w:eastAsia="zh-CN"/>
        </w:rPr>
        <w:t>不含道路交通光伏项目</w:t>
      </w:r>
      <w:r>
        <w:rPr>
          <w:rFonts w:hint="eastAsia" w:cs="微软雅黑"/>
          <w:szCs w:val="32"/>
          <w:lang w:eastAsia="zh-CN"/>
        </w:rPr>
        <w:t>）</w:t>
      </w:r>
      <w:r>
        <w:rPr>
          <w:rFonts w:hint="eastAsia" w:cs="微软雅黑"/>
          <w:szCs w:val="32"/>
        </w:rPr>
        <w:t>装机容量达到1</w:t>
      </w:r>
      <w:r>
        <w:rPr>
          <w:rFonts w:hint="eastAsia" w:cs="微软雅黑"/>
          <w:szCs w:val="32"/>
          <w:lang w:val="en-US" w:eastAsia="zh-CN"/>
        </w:rPr>
        <w:t>5</w:t>
      </w:r>
      <w:r>
        <w:rPr>
          <w:rFonts w:hint="eastAsia" w:cs="微软雅黑"/>
          <w:szCs w:val="32"/>
        </w:rPr>
        <w:t>万千瓦。</w:t>
      </w:r>
    </w:p>
    <w:p>
      <w:pPr>
        <w:pStyle w:val="28"/>
        <w:pageBreakBefore w:val="0"/>
        <w:wordWrap/>
        <w:topLinePunct w:val="0"/>
        <w:bidi w:val="0"/>
        <w:snapToGrid/>
        <w:spacing w:line="240" w:lineRule="auto"/>
        <w:rPr>
          <w:rFonts w:ascii="Times New Roman" w:hAnsi="Times New Roman"/>
        </w:rPr>
      </w:pPr>
      <w:bookmarkStart w:id="229" w:name="_Toc28652"/>
      <w:bookmarkStart w:id="230" w:name="_Toc20658"/>
      <w:bookmarkStart w:id="231" w:name="_Toc22508"/>
      <w:bookmarkStart w:id="232" w:name="_Toc9311"/>
      <w:bookmarkStart w:id="233" w:name="_Toc13358"/>
      <w:bookmarkStart w:id="234" w:name="_Toc21474"/>
      <w:bookmarkStart w:id="235" w:name="_Toc31422"/>
      <w:r>
        <w:rPr>
          <w:rFonts w:hint="eastAsia" w:ascii="Times New Roman" w:hAnsi="Times New Roman"/>
        </w:rPr>
        <w:t>（</w:t>
      </w:r>
      <w:r>
        <w:rPr>
          <w:rFonts w:hint="eastAsia" w:ascii="Times New Roman" w:hAnsi="Times New Roman"/>
          <w:lang w:val="en-US" w:eastAsia="zh-CN"/>
        </w:rPr>
        <w:t>三</w:t>
      </w:r>
      <w:r>
        <w:rPr>
          <w:rFonts w:hint="eastAsia" w:ascii="Times New Roman" w:hAnsi="Times New Roman"/>
        </w:rPr>
        <w:t>）建设新能源主题零碳景观公园</w:t>
      </w:r>
      <w:bookmarkEnd w:id="229"/>
      <w:bookmarkEnd w:id="230"/>
      <w:bookmarkEnd w:id="231"/>
      <w:bookmarkEnd w:id="232"/>
      <w:bookmarkEnd w:id="233"/>
      <w:bookmarkEnd w:id="234"/>
      <w:bookmarkEnd w:id="235"/>
    </w:p>
    <w:p>
      <w:pPr>
        <w:pageBreakBefore w:val="0"/>
        <w:wordWrap/>
        <w:topLinePunct w:val="0"/>
        <w:bidi w:val="0"/>
        <w:snapToGrid/>
        <w:spacing w:line="240" w:lineRule="auto"/>
        <w:rPr>
          <w:rFonts w:cs="微软雅黑"/>
          <w:szCs w:val="32"/>
        </w:rPr>
      </w:pPr>
      <w:r>
        <w:rPr>
          <w:rFonts w:hint="eastAsia" w:cs="微软雅黑"/>
          <w:szCs w:val="32"/>
        </w:rPr>
        <w:t>将传统园林景观与新能源相结合，在康巴什区规划建设新能源主题零碳景观公园，结合新能源技术和环保理念，为康巴什区居民创建一个低碳、绿色、可持续的公共休闲空间，同时推广低碳、零碳生活模式，科普新能源知识。</w:t>
      </w:r>
    </w:p>
    <w:p>
      <w:pPr>
        <w:pageBreakBefore w:val="0"/>
        <w:wordWrap/>
        <w:topLinePunct w:val="0"/>
        <w:bidi w:val="0"/>
        <w:snapToGrid/>
        <w:spacing w:line="240" w:lineRule="auto"/>
        <w:rPr>
          <w:rFonts w:cs="微软雅黑"/>
          <w:szCs w:val="32"/>
        </w:rPr>
      </w:pPr>
      <w:r>
        <w:rPr>
          <w:rFonts w:hint="eastAsia" w:cs="微软雅黑"/>
          <w:szCs w:val="32"/>
        </w:rPr>
        <w:t>在公园的建筑物、景观构筑物（如户外雨棚、景观路灯等）上安装太阳能光伏板，收集并转换太阳能为电能，用于公园内的照明、充电等服务。此外，太阳能还可以为游乐设施提供能源支持。在公园设置太阳能光伏遮阳伞、太阳能花、树型设计的垂直轴风机等新能源新型发电设备，通过一整套完整的发电系统，实现供电自给自足。设置光伏+生态循环区域，结合康巴什区沙地区域，建设典型光伏治理演示区，集成发电、集水、滴灌、种植于一体的生态循环结构，达成光伏对沙漠治理的科普、示范及推广的作用，打造康巴什区生态旅游新亮点。</w:t>
      </w:r>
    </w:p>
    <w:p>
      <w:pPr>
        <w:pStyle w:val="27"/>
        <w:pageBreakBefore w:val="0"/>
        <w:wordWrap/>
        <w:topLinePunct w:val="0"/>
        <w:bidi w:val="0"/>
        <w:snapToGrid/>
        <w:spacing w:line="240" w:lineRule="auto"/>
      </w:pPr>
      <w:r>
        <w:drawing>
          <wp:inline distT="0" distB="0" distL="0" distR="0">
            <wp:extent cx="2519680" cy="1740535"/>
            <wp:effectExtent l="0" t="0" r="13970" b="12065"/>
            <wp:docPr id="14"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true"/>
                    </pic:cNvPicPr>
                  </pic:nvPicPr>
                  <pic:blipFill>
                    <a:blip r:embed="rId41"/>
                    <a:stretch>
                      <a:fillRect/>
                    </a:stretch>
                  </pic:blipFill>
                  <pic:spPr>
                    <a:xfrm>
                      <a:off x="0" y="0"/>
                      <a:ext cx="2520000" cy="1740535"/>
                    </a:xfrm>
                    <a:prstGeom prst="rect">
                      <a:avLst/>
                    </a:prstGeom>
                  </pic:spPr>
                </pic:pic>
              </a:graphicData>
            </a:graphic>
          </wp:inline>
        </w:drawing>
      </w:r>
      <w:r>
        <w:drawing>
          <wp:inline distT="0" distB="0" distL="0" distR="0">
            <wp:extent cx="2519680" cy="1751330"/>
            <wp:effectExtent l="0" t="0" r="13970" b="1270"/>
            <wp:docPr id="15"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true"/>
                    </pic:cNvPicPr>
                  </pic:nvPicPr>
                  <pic:blipFill>
                    <a:blip r:embed="rId42"/>
                    <a:stretch>
                      <a:fillRect/>
                    </a:stretch>
                  </pic:blipFill>
                  <pic:spPr>
                    <a:xfrm>
                      <a:off x="0" y="0"/>
                      <a:ext cx="2520000" cy="1751330"/>
                    </a:xfrm>
                    <a:prstGeom prst="rect">
                      <a:avLst/>
                    </a:prstGeom>
                  </pic:spPr>
                </pic:pic>
              </a:graphicData>
            </a:graphic>
          </wp:inline>
        </w:drawing>
      </w:r>
    </w:p>
    <w:p>
      <w:pPr>
        <w:pStyle w:val="27"/>
        <w:bidi w:val="0"/>
        <w:rPr>
          <w:rFonts w:hint="eastAsia"/>
        </w:rPr>
      </w:pPr>
      <w:r>
        <w:rPr>
          <w:rFonts w:hint="eastAsia"/>
        </w:rPr>
        <w:t>图6-</w:t>
      </w:r>
      <w:r>
        <w:rPr>
          <w:rFonts w:hint="eastAsia"/>
          <w:lang w:val="en-US" w:eastAsia="zh-CN"/>
        </w:rPr>
        <w:t>3</w:t>
      </w:r>
      <w:r>
        <w:rPr>
          <w:rFonts w:hint="eastAsia"/>
        </w:rPr>
        <w:t xml:space="preserve"> 新能源景观公园示意图</w:t>
      </w:r>
    </w:p>
    <w:p>
      <w:pPr>
        <w:pStyle w:val="28"/>
        <w:pageBreakBefore w:val="0"/>
        <w:wordWrap/>
        <w:topLinePunct w:val="0"/>
        <w:bidi w:val="0"/>
        <w:snapToGrid/>
        <w:spacing w:line="240" w:lineRule="auto"/>
        <w:rPr>
          <w:rFonts w:hint="eastAsia" w:ascii="Times New Roman" w:hAnsi="Times New Roman" w:eastAsia="楷体"/>
          <w:highlight w:val="none"/>
          <w:lang w:val="en-US" w:eastAsia="zh-CN"/>
        </w:rPr>
      </w:pPr>
      <w:bookmarkStart w:id="236" w:name="_Toc31368"/>
      <w:bookmarkStart w:id="237" w:name="_Toc30923"/>
      <w:bookmarkStart w:id="238" w:name="_Toc2486"/>
      <w:bookmarkStart w:id="239" w:name="_Toc12907"/>
      <w:bookmarkStart w:id="240" w:name="_Toc11088"/>
      <w:bookmarkStart w:id="241" w:name="_Toc9343"/>
      <w:bookmarkStart w:id="242" w:name="_Toc13967"/>
      <w:r>
        <w:rPr>
          <w:rFonts w:hint="eastAsia" w:ascii="Times New Roman" w:hAnsi="Times New Roman"/>
          <w:highlight w:val="none"/>
        </w:rPr>
        <w:t>（</w:t>
      </w:r>
      <w:r>
        <w:rPr>
          <w:rFonts w:hint="eastAsia" w:ascii="Times New Roman" w:hAnsi="Times New Roman"/>
          <w:highlight w:val="none"/>
          <w:lang w:val="en-US" w:eastAsia="zh-CN"/>
        </w:rPr>
        <w:t>四</w:t>
      </w:r>
      <w:r>
        <w:rPr>
          <w:rFonts w:hint="eastAsia" w:ascii="Times New Roman" w:hAnsi="Times New Roman"/>
          <w:highlight w:val="none"/>
        </w:rPr>
        <w:t>）</w:t>
      </w:r>
      <w:r>
        <w:rPr>
          <w:rFonts w:hint="eastAsia" w:ascii="Times New Roman" w:hAnsi="Times New Roman"/>
          <w:highlight w:val="none"/>
          <w:lang w:val="en-US" w:eastAsia="zh-CN"/>
        </w:rPr>
        <w:t>发展园区</w:t>
      </w:r>
      <w:r>
        <w:rPr>
          <w:rFonts w:hint="eastAsia" w:ascii="Times New Roman" w:hAnsi="Times New Roman"/>
          <w:highlight w:val="none"/>
        </w:rPr>
        <w:t>分散式风电</w:t>
      </w:r>
      <w:r>
        <w:rPr>
          <w:rFonts w:hint="eastAsia" w:ascii="Times New Roman" w:hAnsi="Times New Roman"/>
          <w:highlight w:val="none"/>
          <w:lang w:eastAsia="zh-CN"/>
        </w:rPr>
        <w:t>，</w:t>
      </w:r>
      <w:r>
        <w:rPr>
          <w:rFonts w:hint="eastAsia" w:ascii="Times New Roman" w:hAnsi="Times New Roman"/>
          <w:highlight w:val="none"/>
          <w:lang w:val="en-US" w:eastAsia="zh-CN"/>
        </w:rPr>
        <w:t>推动</w:t>
      </w:r>
      <w:r>
        <w:rPr>
          <w:rFonts w:hint="eastAsia" w:ascii="Times New Roman" w:hAnsi="Times New Roman"/>
          <w:highlight w:val="none"/>
        </w:rPr>
        <w:t>园区绿电</w:t>
      </w:r>
      <w:bookmarkEnd w:id="236"/>
      <w:bookmarkEnd w:id="237"/>
      <w:bookmarkEnd w:id="238"/>
      <w:bookmarkEnd w:id="239"/>
      <w:bookmarkEnd w:id="240"/>
      <w:bookmarkEnd w:id="241"/>
      <w:r>
        <w:rPr>
          <w:rFonts w:hint="eastAsia" w:ascii="Times New Roman" w:hAnsi="Times New Roman"/>
          <w:highlight w:val="none"/>
          <w:lang w:val="en-US" w:eastAsia="zh-CN"/>
        </w:rPr>
        <w:t>替代</w:t>
      </w:r>
      <w:bookmarkEnd w:id="242"/>
    </w:p>
    <w:p>
      <w:pPr>
        <w:pageBreakBefore w:val="0"/>
        <w:wordWrap/>
        <w:topLinePunct w:val="0"/>
        <w:bidi w:val="0"/>
        <w:snapToGrid/>
        <w:spacing w:line="240" w:lineRule="auto"/>
        <w:rPr>
          <w:highlight w:val="none"/>
        </w:rPr>
      </w:pPr>
      <w:r>
        <w:rPr>
          <w:rFonts w:hint="eastAsia"/>
          <w:highlight w:val="none"/>
        </w:rPr>
        <w:t>充分</w:t>
      </w:r>
      <w:r>
        <w:rPr>
          <w:rFonts w:hint="eastAsia"/>
          <w:highlight w:val="none"/>
          <w:lang w:val="en-US" w:eastAsia="zh-CN"/>
        </w:rPr>
        <w:t>利用</w:t>
      </w:r>
      <w:r>
        <w:rPr>
          <w:rFonts w:hint="eastAsia"/>
          <w:highlight w:val="none"/>
        </w:rPr>
        <w:t>装备制造产业园</w:t>
      </w:r>
      <w:r>
        <w:rPr>
          <w:rFonts w:hint="eastAsia"/>
          <w:highlight w:val="none"/>
          <w:lang w:val="en-US" w:eastAsia="zh-CN"/>
        </w:rPr>
        <w:t>周边闲置土地</w:t>
      </w:r>
      <w:r>
        <w:rPr>
          <w:rFonts w:hint="eastAsia"/>
          <w:highlight w:val="none"/>
        </w:rPr>
        <w:t>，</w:t>
      </w:r>
      <w:r>
        <w:rPr>
          <w:rFonts w:hint="eastAsia"/>
          <w:highlight w:val="none"/>
          <w:lang w:val="en-US" w:eastAsia="zh-CN"/>
        </w:rPr>
        <w:t>发展建设用于</w:t>
      </w:r>
      <w:r>
        <w:rPr>
          <w:rFonts w:hint="eastAsia"/>
          <w:highlight w:val="none"/>
        </w:rPr>
        <w:t>园区</w:t>
      </w:r>
      <w:r>
        <w:rPr>
          <w:rFonts w:hint="eastAsia"/>
          <w:highlight w:val="none"/>
          <w:lang w:val="en-US" w:eastAsia="zh-CN"/>
        </w:rPr>
        <w:t>绿电替代的</w:t>
      </w:r>
      <w:r>
        <w:rPr>
          <w:rFonts w:hint="eastAsia"/>
          <w:highlight w:val="none"/>
        </w:rPr>
        <w:t>分散式风电项目。</w:t>
      </w:r>
    </w:p>
    <w:p>
      <w:pPr>
        <w:pageBreakBefore w:val="0"/>
        <w:wordWrap/>
        <w:topLinePunct w:val="0"/>
        <w:bidi w:val="0"/>
        <w:snapToGrid/>
        <w:spacing w:line="240" w:lineRule="auto"/>
        <w:rPr>
          <w:highlight w:val="none"/>
        </w:rPr>
      </w:pPr>
      <w:r>
        <w:rPr>
          <w:rFonts w:hint="eastAsia"/>
          <w:highlight w:val="none"/>
        </w:rPr>
        <w:t>康巴什区分散式风电项目位于哈巴格希社区北部，场区位于东康西线以西，交通便利，场址内海拔在1350～1</w:t>
      </w:r>
      <w:r>
        <w:rPr>
          <w:highlight w:val="none"/>
        </w:rPr>
        <w:t>45</w:t>
      </w:r>
      <w:r>
        <w:rPr>
          <w:rFonts w:hint="eastAsia"/>
          <w:highlight w:val="none"/>
        </w:rPr>
        <w:t>0m之间，场址区东部起伏较大，西部较为平缓，适宜开发分散式风电场项目。场内以草地为主，建设条件较好，项目场址内120m高度风速在6.</w:t>
      </w:r>
      <w:r>
        <w:rPr>
          <w:highlight w:val="none"/>
        </w:rPr>
        <w:t>3</w:t>
      </w:r>
      <w:r>
        <w:rPr>
          <w:rFonts w:hint="eastAsia"/>
          <w:highlight w:val="none"/>
        </w:rPr>
        <w:t>0～</w:t>
      </w:r>
      <w:r>
        <w:rPr>
          <w:highlight w:val="none"/>
        </w:rPr>
        <w:t>7</w:t>
      </w:r>
      <w:r>
        <w:rPr>
          <w:rFonts w:hint="eastAsia"/>
          <w:highlight w:val="none"/>
        </w:rPr>
        <w:t>.</w:t>
      </w:r>
      <w:r>
        <w:rPr>
          <w:highlight w:val="none"/>
        </w:rPr>
        <w:t>20</w:t>
      </w:r>
      <w:r>
        <w:rPr>
          <w:rFonts w:hint="eastAsia"/>
          <w:highlight w:val="none"/>
        </w:rPr>
        <w:t>m/s之间，风能资源较好，场址规划面积7.5km</w:t>
      </w:r>
      <w:r>
        <w:rPr>
          <w:rFonts w:hint="eastAsia"/>
          <w:highlight w:val="none"/>
          <w:vertAlign w:val="superscript"/>
        </w:rPr>
        <w:t>2</w:t>
      </w:r>
      <w:r>
        <w:rPr>
          <w:rFonts w:hint="eastAsia"/>
          <w:highlight w:val="none"/>
        </w:rPr>
        <w:t>，规划分散式风电3万千瓦，</w:t>
      </w:r>
      <w:r>
        <w:rPr>
          <w:rFonts w:hint="eastAsia" w:eastAsia="仿宋_GB2312"/>
          <w:highlight w:val="none"/>
          <w:lang w:eastAsia="zh-CN"/>
        </w:rPr>
        <w:t>利用小时</w:t>
      </w:r>
      <w:r>
        <w:rPr>
          <w:rFonts w:hint="eastAsia"/>
          <w:highlight w:val="none"/>
        </w:rPr>
        <w:t>数为2</w:t>
      </w:r>
      <w:r>
        <w:rPr>
          <w:highlight w:val="none"/>
        </w:rPr>
        <w:t>5</w:t>
      </w:r>
      <w:r>
        <w:rPr>
          <w:rFonts w:hint="eastAsia"/>
          <w:highlight w:val="none"/>
        </w:rPr>
        <w:t>00h。</w:t>
      </w:r>
    </w:p>
    <w:p>
      <w:pPr>
        <w:pStyle w:val="39"/>
        <w:bidi w:val="0"/>
      </w:pPr>
      <w:r>
        <w:drawing>
          <wp:inline distT="0" distB="0" distL="114300" distR="114300">
            <wp:extent cx="5262880" cy="3518535"/>
            <wp:effectExtent l="0" t="0" r="10160" b="1905"/>
            <wp:docPr id="35"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true"/>
                    </pic:cNvPicPr>
                  </pic:nvPicPr>
                  <pic:blipFill>
                    <a:blip r:embed="rId43"/>
                    <a:stretch>
                      <a:fillRect/>
                    </a:stretch>
                  </pic:blipFill>
                  <pic:spPr>
                    <a:xfrm>
                      <a:off x="0" y="0"/>
                      <a:ext cx="5262880" cy="3518535"/>
                    </a:xfrm>
                    <a:prstGeom prst="rect">
                      <a:avLst/>
                    </a:prstGeom>
                    <a:noFill/>
                    <a:ln>
                      <a:noFill/>
                    </a:ln>
                  </pic:spPr>
                </pic:pic>
              </a:graphicData>
            </a:graphic>
          </wp:inline>
        </w:drawing>
      </w:r>
    </w:p>
    <w:p>
      <w:pPr>
        <w:pStyle w:val="27"/>
        <w:bidi w:val="0"/>
      </w:pPr>
      <w:r>
        <w:rPr>
          <w:rFonts w:hint="eastAsia"/>
        </w:rPr>
        <w:t>图6-</w:t>
      </w:r>
      <w:r>
        <w:rPr>
          <w:rFonts w:hint="eastAsia"/>
          <w:lang w:val="en-US" w:eastAsia="zh-CN"/>
        </w:rPr>
        <w:t>4</w:t>
      </w:r>
      <w:r>
        <w:rPr>
          <w:rFonts w:hint="eastAsia"/>
        </w:rPr>
        <w:t xml:space="preserve"> 康巴什区分散式风电项目场址位置示意图</w:t>
      </w:r>
    </w:p>
    <w:p>
      <w:pPr>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243" w:name="_Toc8742"/>
      <w:bookmarkStart w:id="244" w:name="_Toc12912"/>
      <w:bookmarkStart w:id="245" w:name="_Toc7032"/>
      <w:bookmarkStart w:id="246" w:name="_Toc26597"/>
      <w:bookmarkStart w:id="247" w:name="_Toc9379"/>
      <w:bookmarkStart w:id="248" w:name="_Toc9571"/>
      <w:bookmarkStart w:id="249" w:name="_Toc25488"/>
      <w:bookmarkStart w:id="250" w:name="_Toc432"/>
      <w:bookmarkStart w:id="251" w:name="_Toc25341"/>
      <w:bookmarkStart w:id="252" w:name="_Toc16908"/>
      <w:bookmarkStart w:id="253" w:name="_Toc24180"/>
      <w:bookmarkStart w:id="254" w:name="_Toc5320"/>
      <w:bookmarkStart w:id="255" w:name="_Toc13263"/>
      <w:r>
        <w:rPr>
          <w:rFonts w:hint="eastAsia" w:eastAsia="黑体" w:cs="黑体"/>
          <w:snapToGrid w:val="0"/>
          <w:color w:val="000000"/>
          <w:spacing w:val="-2"/>
          <w:kern w:val="0"/>
          <w:szCs w:val="32"/>
        </w:rPr>
        <w:t>七、积极推动地热能开发</w:t>
      </w:r>
      <w:bookmarkEnd w:id="243"/>
      <w:bookmarkEnd w:id="244"/>
      <w:bookmarkEnd w:id="245"/>
      <w:bookmarkEnd w:id="246"/>
      <w:bookmarkEnd w:id="247"/>
      <w:bookmarkEnd w:id="248"/>
      <w:bookmarkEnd w:id="249"/>
    </w:p>
    <w:p>
      <w:pPr>
        <w:pStyle w:val="28"/>
        <w:pageBreakBefore w:val="0"/>
        <w:wordWrap/>
        <w:topLinePunct w:val="0"/>
        <w:bidi w:val="0"/>
        <w:snapToGrid/>
        <w:spacing w:line="240" w:lineRule="auto"/>
        <w:rPr>
          <w:rFonts w:ascii="Times New Roman" w:hAnsi="Times New Roman"/>
        </w:rPr>
      </w:pPr>
      <w:bookmarkStart w:id="256" w:name="_Toc17983"/>
      <w:bookmarkStart w:id="257" w:name="_Toc8003"/>
      <w:r>
        <w:rPr>
          <w:rFonts w:ascii="Times New Roman" w:hAnsi="Times New Roman"/>
        </w:rPr>
        <w:t>（</w:t>
      </w:r>
      <w:r>
        <w:rPr>
          <w:rFonts w:hint="eastAsia" w:ascii="Times New Roman" w:hAnsi="Times New Roman"/>
        </w:rPr>
        <w:t>一</w:t>
      </w:r>
      <w:r>
        <w:rPr>
          <w:rFonts w:ascii="Times New Roman" w:hAnsi="Times New Roman"/>
        </w:rPr>
        <w:t>）</w:t>
      </w:r>
      <w:bookmarkEnd w:id="256"/>
      <w:r>
        <w:rPr>
          <w:rFonts w:hint="eastAsia" w:ascii="Times New Roman" w:hAnsi="Times New Roman"/>
        </w:rPr>
        <w:t>开展地热资源勘查</w:t>
      </w:r>
      <w:bookmarkEnd w:id="257"/>
    </w:p>
    <w:p>
      <w:pPr>
        <w:pageBreakBefore w:val="0"/>
        <w:tabs>
          <w:tab w:val="center" w:pos="4535"/>
        </w:tabs>
        <w:wordWrap/>
        <w:topLinePunct w:val="0"/>
        <w:bidi w:val="0"/>
        <w:snapToGrid/>
        <w:spacing w:line="240" w:lineRule="auto"/>
      </w:pPr>
      <w:r>
        <w:rPr>
          <w:rFonts w:hint="eastAsia"/>
        </w:rPr>
        <w:t>康巴什区供热面积约为1300万平方米，冬季供暖期长达六个月，目前主要供热热源为京能康巴什热电厂。康巴什区所处的鄂尔多斯盆地是以中低温地热资源为主的稳定克拉通盆地，地温随深度增加而增加，属于热传导型地热资源。鄂尔多斯盆地地热资源具有储集条件较好、储层较多、厚度较大、分布范围广的特点，总体上盆地地热资源开发潜力较大。</w:t>
      </w:r>
    </w:p>
    <w:p>
      <w:pPr>
        <w:pageBreakBefore w:val="0"/>
        <w:tabs>
          <w:tab w:val="center" w:pos="4535"/>
        </w:tabs>
        <w:wordWrap/>
        <w:topLinePunct w:val="0"/>
        <w:bidi w:val="0"/>
        <w:snapToGrid/>
        <w:spacing w:line="240" w:lineRule="auto"/>
      </w:pPr>
      <w:r>
        <w:rPr>
          <w:rFonts w:hint="eastAsia"/>
        </w:rPr>
        <w:t>目前康巴什区尚未对地热资源开展过系统性的勘查，仅有少量地质勘察资料可供参考评估。为推动地热资源规模化、商业化利用，将适时开展全区地热资源勘查，全面分析区域地热能资源禀赋及分布情况，结合当地实际情况研究浅层地热及中深层地热能开发利用方式</w:t>
      </w:r>
      <w:bookmarkStart w:id="258" w:name="_Toc113482700"/>
      <w:bookmarkEnd w:id="258"/>
      <w:bookmarkStart w:id="259" w:name="_Toc113302979"/>
      <w:bookmarkEnd w:id="259"/>
      <w:bookmarkStart w:id="260" w:name="_Toc113482690"/>
      <w:bookmarkEnd w:id="260"/>
      <w:bookmarkStart w:id="261" w:name="_Toc113482702"/>
      <w:bookmarkEnd w:id="261"/>
      <w:bookmarkStart w:id="262" w:name="_Toc113482675"/>
      <w:bookmarkEnd w:id="262"/>
      <w:bookmarkStart w:id="263" w:name="_Toc113482673"/>
      <w:bookmarkEnd w:id="263"/>
      <w:bookmarkStart w:id="264" w:name="_Toc113302980"/>
      <w:bookmarkEnd w:id="264"/>
      <w:bookmarkStart w:id="265" w:name="_Toc113482688"/>
      <w:bookmarkEnd w:id="265"/>
      <w:bookmarkStart w:id="266" w:name="_Toc113291013"/>
      <w:bookmarkEnd w:id="266"/>
      <w:bookmarkStart w:id="267" w:name="_Toc113482674"/>
      <w:bookmarkEnd w:id="267"/>
      <w:bookmarkStart w:id="268" w:name="_Toc113482701"/>
      <w:bookmarkEnd w:id="268"/>
      <w:bookmarkStart w:id="269" w:name="_Toc113291012"/>
      <w:bookmarkEnd w:id="269"/>
      <w:bookmarkStart w:id="270" w:name="_Toc113482687"/>
      <w:bookmarkEnd w:id="270"/>
      <w:bookmarkStart w:id="271" w:name="_Toc113482672"/>
      <w:bookmarkEnd w:id="271"/>
      <w:bookmarkStart w:id="272" w:name="_Toc113482689"/>
      <w:bookmarkEnd w:id="272"/>
      <w:r>
        <w:rPr>
          <w:rFonts w:hint="eastAsia"/>
        </w:rPr>
        <w:t>。</w:t>
      </w:r>
    </w:p>
    <w:p>
      <w:pPr>
        <w:pStyle w:val="28"/>
        <w:pageBreakBefore w:val="0"/>
        <w:numPr>
          <w:ilvl w:val="0"/>
          <w:numId w:val="2"/>
        </w:numPr>
        <w:wordWrap/>
        <w:topLinePunct w:val="0"/>
        <w:bidi w:val="0"/>
        <w:snapToGrid/>
        <w:spacing w:line="240" w:lineRule="auto"/>
        <w:rPr>
          <w:rFonts w:ascii="Times New Roman" w:hAnsi="Times New Roman"/>
        </w:rPr>
      </w:pPr>
      <w:bookmarkStart w:id="273" w:name="_Toc2999"/>
      <w:r>
        <w:rPr>
          <w:rFonts w:hint="eastAsia" w:ascii="Times New Roman" w:hAnsi="Times New Roman"/>
        </w:rPr>
        <w:t>因地制宜开发浅层地热</w:t>
      </w:r>
      <w:bookmarkEnd w:id="273"/>
    </w:p>
    <w:p>
      <w:pPr>
        <w:pStyle w:val="23"/>
        <w:pageBreakBefore w:val="0"/>
        <w:wordWrap/>
        <w:topLinePunct w:val="0"/>
        <w:bidi w:val="0"/>
        <w:snapToGrid/>
        <w:spacing w:line="240" w:lineRule="auto"/>
        <w:ind w:firstLine="640"/>
        <w:rPr>
          <w:rFonts w:eastAsia="仿宋"/>
          <w:kern w:val="2"/>
          <w:sz w:val="32"/>
          <w:szCs w:val="22"/>
        </w:rPr>
      </w:pPr>
      <w:r>
        <w:rPr>
          <w:rFonts w:hint="eastAsia" w:eastAsia="仿宋"/>
          <w:kern w:val="2"/>
          <w:sz w:val="32"/>
          <w:szCs w:val="22"/>
        </w:rPr>
        <w:t>充分发挥浅层地热能适用范围广、技术成熟的优势，在政府机关、学校、医院、社区等有供暖和制冷需求的场所，鼓励利用浅层地热能供暖、制冷。对既有供冷供热建筑进行能源绿色、低碳升级改造，以浅层地热能替代传统高碳排燃气能源。</w:t>
      </w:r>
    </w:p>
    <w:p>
      <w:pPr>
        <w:pageBreakBefore w:val="0"/>
        <w:tabs>
          <w:tab w:val="center" w:pos="4535"/>
        </w:tabs>
        <w:wordWrap/>
        <w:topLinePunct w:val="0"/>
        <w:bidi w:val="0"/>
        <w:snapToGrid/>
        <w:spacing w:line="240" w:lineRule="auto"/>
        <w:rPr>
          <w:rFonts w:eastAsia="仿宋"/>
        </w:rPr>
      </w:pPr>
      <w:r>
        <w:rPr>
          <w:rFonts w:hint="eastAsia" w:eastAsia="仿宋"/>
        </w:rPr>
        <w:t>探索“</w:t>
      </w:r>
      <w:r>
        <w:rPr>
          <w:rFonts w:hint="eastAsia"/>
        </w:rPr>
        <w:t>热泵</w:t>
      </w:r>
      <w:r>
        <w:rPr>
          <w:rFonts w:hint="eastAsia" w:eastAsia="仿宋"/>
        </w:rPr>
        <w:t>+</w:t>
      </w:r>
      <w:r>
        <w:rPr>
          <w:rFonts w:hint="eastAsia"/>
        </w:rPr>
        <w:t>绿电+</w:t>
      </w:r>
      <w:r>
        <w:rPr>
          <w:rFonts w:hint="eastAsia" w:eastAsia="仿宋"/>
        </w:rPr>
        <w:t>储能”</w:t>
      </w:r>
      <w:r>
        <w:rPr>
          <w:rFonts w:hint="eastAsia"/>
        </w:rPr>
        <w:t>清洁供暖</w:t>
      </w:r>
      <w:r>
        <w:rPr>
          <w:rFonts w:hint="eastAsia" w:eastAsia="仿宋"/>
        </w:rPr>
        <w:t>模式，建立</w:t>
      </w:r>
      <w:r>
        <w:rPr>
          <w:rFonts w:hint="eastAsia"/>
        </w:rPr>
        <w:t>多种</w:t>
      </w:r>
      <w:r>
        <w:rPr>
          <w:rFonts w:hint="eastAsia" w:eastAsia="仿宋"/>
        </w:rPr>
        <w:t>能源</w:t>
      </w:r>
      <w:r>
        <w:rPr>
          <w:rFonts w:hint="eastAsia"/>
        </w:rPr>
        <w:t>间</w:t>
      </w:r>
      <w:r>
        <w:rPr>
          <w:rFonts w:hint="eastAsia" w:eastAsia="仿宋"/>
        </w:rPr>
        <w:t>的</w:t>
      </w:r>
      <w:r>
        <w:rPr>
          <w:rFonts w:hint="eastAsia"/>
        </w:rPr>
        <w:t>耦合</w:t>
      </w:r>
      <w:r>
        <w:rPr>
          <w:rFonts w:hint="eastAsia" w:eastAsia="仿宋"/>
        </w:rPr>
        <w:t>联动，利用太阳能</w:t>
      </w:r>
      <w:r>
        <w:rPr>
          <w:rFonts w:hint="eastAsia"/>
        </w:rPr>
        <w:t>、空气能、城市中水、绿色电力等</w:t>
      </w:r>
      <w:r>
        <w:rPr>
          <w:rFonts w:hint="eastAsia" w:eastAsia="仿宋"/>
        </w:rPr>
        <w:t>作为补充</w:t>
      </w:r>
      <w:r>
        <w:rPr>
          <w:rFonts w:hint="eastAsia"/>
        </w:rPr>
        <w:t>热</w:t>
      </w:r>
      <w:r>
        <w:rPr>
          <w:rFonts w:hint="eastAsia" w:eastAsia="仿宋"/>
        </w:rPr>
        <w:t>源</w:t>
      </w:r>
      <w:r>
        <w:rPr>
          <w:rFonts w:hint="eastAsia"/>
        </w:rPr>
        <w:t>，探索利用地下土壤、地下含水层、大型储热装置等建设</w:t>
      </w:r>
      <w:r>
        <w:rPr>
          <w:rFonts w:hint="eastAsia" w:eastAsia="仿宋"/>
        </w:rPr>
        <w:t>跨季节蓄热系统，平衡浅层地热能季节性利用不均衡问题。</w:t>
      </w:r>
    </w:p>
    <w:p>
      <w:pPr>
        <w:pStyle w:val="28"/>
        <w:keepNext/>
        <w:pageBreakBefore w:val="0"/>
        <w:numPr>
          <w:ilvl w:val="0"/>
          <w:numId w:val="2"/>
        </w:numPr>
        <w:wordWrap/>
        <w:topLinePunct w:val="0"/>
        <w:bidi w:val="0"/>
        <w:snapToGrid/>
        <w:spacing w:line="240" w:lineRule="auto"/>
        <w:rPr>
          <w:rFonts w:ascii="Times New Roman" w:hAnsi="Times New Roman"/>
        </w:rPr>
      </w:pPr>
      <w:bookmarkStart w:id="274" w:name="_Toc28835"/>
      <w:r>
        <w:rPr>
          <w:rFonts w:hint="eastAsia" w:ascii="Times New Roman" w:hAnsi="Times New Roman"/>
        </w:rPr>
        <w:t>推进中深层地热能开发利用</w:t>
      </w:r>
      <w:bookmarkEnd w:id="274"/>
    </w:p>
    <w:p>
      <w:pPr>
        <w:pageBreakBefore w:val="0"/>
        <w:tabs>
          <w:tab w:val="center" w:pos="4535"/>
        </w:tabs>
        <w:wordWrap/>
        <w:topLinePunct w:val="0"/>
        <w:bidi w:val="0"/>
        <w:snapToGrid/>
        <w:spacing w:line="240" w:lineRule="auto"/>
      </w:pPr>
      <w:r>
        <w:rPr>
          <w:rFonts w:hint="eastAsia"/>
        </w:rPr>
        <w:t>鼓励中深层地热供暖与市政供暖相结合。在做好资源评估、严格保护地下水基础上，建设“同层等量回灌、取热不耗水”示范工程，坚持环保、安全的开采地热资源。通过建设示范项目，在热井钻探、地下水提取、热能转换及智能化监控等方面，形成可复制、可推广的技术模式，以点带面促进推广应用。</w:t>
      </w:r>
    </w:p>
    <w:p>
      <w:pPr>
        <w:pageBreakBefore w:val="0"/>
        <w:tabs>
          <w:tab w:val="center" w:pos="4535"/>
        </w:tabs>
        <w:wordWrap/>
        <w:topLinePunct w:val="0"/>
        <w:bidi w:val="0"/>
        <w:snapToGrid/>
        <w:spacing w:line="240" w:lineRule="auto"/>
      </w:pPr>
      <w:r>
        <w:rPr>
          <w:rFonts w:hint="eastAsia"/>
        </w:rPr>
        <w:t>重点选取较为偏远、供热能力紧张、供热机组需限期关停的区域，在新建社区、酒店等因地制宜设置能源站，利用打井取地下水进行换热。地下热水温度在40℃左右，可直接进入小区地暖系统或经热泵提温后进入小区采暖系统。以成井工艺、井下高效换热等关键技术创新和成果转化为基础，加快地热能商业化开发利用进程。</w:t>
      </w:r>
    </w:p>
    <w:p>
      <w:pPr>
        <w:pStyle w:val="28"/>
        <w:pageBreakBefore w:val="0"/>
        <w:numPr>
          <w:ilvl w:val="0"/>
          <w:numId w:val="2"/>
        </w:numPr>
        <w:wordWrap/>
        <w:topLinePunct w:val="0"/>
        <w:bidi w:val="0"/>
        <w:snapToGrid/>
        <w:spacing w:line="240" w:lineRule="auto"/>
        <w:rPr>
          <w:rFonts w:ascii="Times New Roman" w:hAnsi="Times New Roman"/>
        </w:rPr>
      </w:pPr>
      <w:bookmarkStart w:id="275" w:name="_Toc26681"/>
      <w:r>
        <w:rPr>
          <w:rFonts w:hint="eastAsia" w:ascii="Times New Roman" w:hAnsi="Times New Roman"/>
        </w:rPr>
        <w:t>做好与相关规划的衔接</w:t>
      </w:r>
      <w:bookmarkEnd w:id="275"/>
    </w:p>
    <w:p>
      <w:pPr>
        <w:pageBreakBefore w:val="0"/>
        <w:tabs>
          <w:tab w:val="center" w:pos="4535"/>
        </w:tabs>
        <w:wordWrap/>
        <w:topLinePunct w:val="0"/>
        <w:bidi w:val="0"/>
        <w:snapToGrid/>
        <w:spacing w:line="240" w:lineRule="auto"/>
      </w:pPr>
      <w:r>
        <w:rPr>
          <w:rFonts w:hint="eastAsia"/>
        </w:rPr>
        <w:t>统筹做好地热供暖与国土空间规划、城市规划等相关规划的衔接，提高热力管网对可再生能源应用的兼容性，推动地热能集中供暖纳入城市供热管网，分类推进地热能开发利用，逐步替代燃煤供暖，力争到2027年实现可再生能源非电利用达到3万吨标准煤。</w:t>
      </w:r>
    </w:p>
    <w:p>
      <w:pPr>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276" w:name="_Toc24282"/>
      <w:bookmarkStart w:id="277" w:name="_Toc27043"/>
      <w:r>
        <w:rPr>
          <w:rFonts w:hint="eastAsia" w:eastAsia="黑体" w:cs="黑体"/>
          <w:snapToGrid w:val="0"/>
          <w:color w:val="000000"/>
          <w:spacing w:val="-2"/>
          <w:kern w:val="0"/>
          <w:szCs w:val="32"/>
        </w:rPr>
        <w:t>八、可再生能源消纳利用方案</w:t>
      </w:r>
      <w:bookmarkEnd w:id="250"/>
      <w:bookmarkEnd w:id="251"/>
      <w:bookmarkEnd w:id="252"/>
      <w:bookmarkEnd w:id="253"/>
      <w:bookmarkEnd w:id="254"/>
      <w:bookmarkEnd w:id="255"/>
      <w:bookmarkEnd w:id="276"/>
      <w:bookmarkEnd w:id="277"/>
    </w:p>
    <w:p>
      <w:pPr>
        <w:pStyle w:val="28"/>
        <w:pageBreakBefore w:val="0"/>
        <w:wordWrap/>
        <w:topLinePunct w:val="0"/>
        <w:bidi w:val="0"/>
        <w:snapToGrid/>
        <w:spacing w:line="240" w:lineRule="auto"/>
        <w:rPr>
          <w:rFonts w:ascii="Times New Roman" w:hAnsi="Times New Roman"/>
        </w:rPr>
      </w:pPr>
      <w:bookmarkStart w:id="278" w:name="_Toc106382464"/>
      <w:bookmarkStart w:id="279" w:name="_Toc25308"/>
      <w:bookmarkStart w:id="280" w:name="_Toc1221"/>
      <w:bookmarkStart w:id="281" w:name="_Toc24618"/>
      <w:bookmarkStart w:id="282" w:name="_Toc855"/>
      <w:bookmarkStart w:id="283" w:name="_Toc12667"/>
      <w:bookmarkStart w:id="284" w:name="_Toc2469"/>
      <w:bookmarkStart w:id="285" w:name="_Toc4111"/>
      <w:r>
        <w:rPr>
          <w:rFonts w:ascii="Times New Roman" w:hAnsi="Times New Roman"/>
        </w:rPr>
        <w:t>（</w:t>
      </w:r>
      <w:r>
        <w:rPr>
          <w:rFonts w:hint="eastAsia" w:ascii="Times New Roman" w:hAnsi="Times New Roman"/>
        </w:rPr>
        <w:t>一</w:t>
      </w:r>
      <w:r>
        <w:rPr>
          <w:rFonts w:ascii="Times New Roman" w:hAnsi="Times New Roman"/>
        </w:rPr>
        <w:t>）推</w:t>
      </w:r>
      <w:r>
        <w:rPr>
          <w:rFonts w:hint="eastAsia" w:ascii="Times New Roman" w:hAnsi="Times New Roman"/>
        </w:rPr>
        <w:t>动</w:t>
      </w:r>
      <w:r>
        <w:rPr>
          <w:rFonts w:ascii="Times New Roman" w:hAnsi="Times New Roman"/>
        </w:rPr>
        <w:t>工业园区</w:t>
      </w:r>
      <w:bookmarkEnd w:id="278"/>
      <w:r>
        <w:rPr>
          <w:rFonts w:hint="eastAsia" w:ascii="Times New Roman" w:hAnsi="Times New Roman"/>
        </w:rPr>
        <w:t>存量负荷绿电替代</w:t>
      </w:r>
      <w:bookmarkEnd w:id="279"/>
      <w:bookmarkEnd w:id="280"/>
      <w:bookmarkEnd w:id="281"/>
      <w:bookmarkEnd w:id="282"/>
      <w:bookmarkEnd w:id="283"/>
      <w:bookmarkEnd w:id="284"/>
      <w:bookmarkEnd w:id="285"/>
    </w:p>
    <w:p>
      <w:pPr>
        <w:pageBreakBefore w:val="0"/>
        <w:wordWrap/>
        <w:topLinePunct w:val="0"/>
        <w:bidi w:val="0"/>
        <w:snapToGrid/>
        <w:spacing w:line="240" w:lineRule="auto"/>
        <w:rPr>
          <w:rFonts w:hint="default" w:eastAsia="仿宋_GB2312"/>
          <w:lang w:val="en-US" w:eastAsia="zh-CN"/>
        </w:rPr>
      </w:pPr>
      <w:r>
        <w:rPr>
          <w:rFonts w:hint="eastAsia"/>
        </w:rPr>
        <w:t>充分调查挖掘康巴什区工业园区及周边高新技术产业园区、蒙苏经济开发区等工业园区用能需求，建立详细的用电、用热、用冷分类需求数据库。根据企业的生产工艺、设备特点以及能源管理水平，评估各企业的负荷响应能力，明确其参与绿电替代的潜力和可行性。</w:t>
      </w:r>
      <w:r>
        <w:rPr>
          <w:rFonts w:hint="eastAsia"/>
          <w:lang w:val="en-US" w:eastAsia="zh-CN"/>
        </w:rPr>
        <w:t>例如，在康巴什区东部商混园区周边，宜发展用于园区绿电替代的新能源项目。</w:t>
      </w:r>
    </w:p>
    <w:p>
      <w:pPr>
        <w:pageBreakBefore w:val="0"/>
        <w:wordWrap/>
        <w:topLinePunct w:val="0"/>
        <w:bidi w:val="0"/>
        <w:snapToGrid/>
        <w:spacing w:line="240" w:lineRule="auto"/>
        <w:rPr>
          <w:rFonts w:hint="default" w:eastAsia="仿宋_GB2312"/>
          <w:lang w:val="en-US" w:eastAsia="zh-CN"/>
        </w:rPr>
      </w:pPr>
      <w:r>
        <w:rPr>
          <w:rFonts w:hint="eastAsia"/>
        </w:rPr>
        <w:t>在靠近工业园区的规划场址发展用于园区绿电替代的新能源项目，通过园区用电负荷促进新能源消纳利用。210国道</w:t>
      </w:r>
      <w:r>
        <w:rPr>
          <w:rFonts w:hint="eastAsia"/>
          <w:lang w:val="en-US" w:eastAsia="zh-CN"/>
        </w:rPr>
        <w:t>东西两侧，东</w:t>
      </w:r>
      <w:r>
        <w:rPr>
          <w:rFonts w:hint="eastAsia"/>
        </w:rPr>
        <w:t>至那林沟周边区域，可建设400</w:t>
      </w:r>
      <w:r>
        <w:rPr>
          <w:rFonts w:hint="eastAsia"/>
          <w:lang w:val="en-US" w:eastAsia="zh-CN"/>
        </w:rPr>
        <w:t>MW</w:t>
      </w:r>
      <w:r>
        <w:rPr>
          <w:rFonts w:hint="eastAsia"/>
        </w:rPr>
        <w:t>光伏作为</w:t>
      </w:r>
      <w:r>
        <w:rPr>
          <w:rFonts w:hint="eastAsia"/>
          <w:lang w:val="en-US" w:eastAsia="zh-CN"/>
        </w:rPr>
        <w:t>蒙苏工业园区绿电替代</w:t>
      </w:r>
      <w:r>
        <w:rPr>
          <w:rFonts w:hint="eastAsia"/>
        </w:rPr>
        <w:t>项目。</w:t>
      </w:r>
    </w:p>
    <w:p>
      <w:pPr>
        <w:pStyle w:val="28"/>
        <w:pageBreakBefore w:val="0"/>
        <w:wordWrap/>
        <w:topLinePunct w:val="0"/>
        <w:bidi w:val="0"/>
        <w:snapToGrid/>
        <w:spacing w:line="240" w:lineRule="auto"/>
        <w:rPr>
          <w:rFonts w:ascii="Times New Roman" w:hAnsi="Times New Roman" w:cs="Times New Roman"/>
        </w:rPr>
      </w:pPr>
      <w:bookmarkStart w:id="286" w:name="_Toc3474"/>
      <w:bookmarkStart w:id="287" w:name="_Toc7925"/>
      <w:bookmarkStart w:id="288" w:name="_Toc19155"/>
      <w:bookmarkStart w:id="289" w:name="_Toc9397"/>
      <w:bookmarkStart w:id="290" w:name="_Toc8112"/>
      <w:bookmarkStart w:id="291" w:name="_Toc3251"/>
      <w:bookmarkStart w:id="292" w:name="_Toc27131"/>
      <w:r>
        <w:rPr>
          <w:rFonts w:hint="eastAsia" w:ascii="Times New Roman" w:hAnsi="Times New Roman"/>
        </w:rPr>
        <w:t>（二</w:t>
      </w:r>
      <w:r>
        <w:rPr>
          <w:rFonts w:hint="eastAsia" w:ascii="Times New Roman" w:hAnsi="Times New Roman" w:eastAsia="微软雅黑" w:cs="微软雅黑"/>
        </w:rPr>
        <w:t>）</w:t>
      </w:r>
      <w:bookmarkEnd w:id="286"/>
      <w:bookmarkEnd w:id="287"/>
      <w:bookmarkEnd w:id="288"/>
      <w:bookmarkEnd w:id="289"/>
      <w:bookmarkEnd w:id="290"/>
      <w:bookmarkEnd w:id="291"/>
      <w:r>
        <w:rPr>
          <w:rFonts w:hint="eastAsia" w:ascii="Times New Roman" w:hAnsi="Times New Roman"/>
        </w:rPr>
        <w:t>发展高比例新能源绿色智慧配电网</w:t>
      </w:r>
      <w:bookmarkEnd w:id="292"/>
    </w:p>
    <w:p>
      <w:pPr>
        <w:pageBreakBefore w:val="0"/>
        <w:wordWrap/>
        <w:topLinePunct w:val="0"/>
        <w:bidi w:val="0"/>
        <w:snapToGrid/>
        <w:spacing w:line="240" w:lineRule="auto"/>
      </w:pPr>
      <w:r>
        <w:rPr>
          <w:rFonts w:hint="eastAsia"/>
        </w:rPr>
        <w:t>目前我国城市核心区的新能源消费占比普遍较低，城市内负荷侧调节机制尚不完善，负荷侧调节能力尚未得到充分利用，为实现双碳目标和建设新型电力系统，亟须在城市发展高比例新能源的绿色智慧配电网。</w:t>
      </w:r>
    </w:p>
    <w:p>
      <w:pPr>
        <w:pageBreakBefore w:val="0"/>
        <w:wordWrap/>
        <w:topLinePunct w:val="0"/>
        <w:bidi w:val="0"/>
        <w:snapToGrid/>
        <w:spacing w:line="240" w:lineRule="auto"/>
      </w:pPr>
      <w:r>
        <w:rPr>
          <w:rFonts w:hint="eastAsia"/>
        </w:rPr>
        <w:t>康巴什区作为全国首个以城市景观为载体获评的国家AAAA级旅游景区，正在建设美丽内蒙古先行区和美丽暖城示范区，这是对深入贯彻落实习近平总书记对内蒙古重要指示精神的重要任务。康巴什区电力消费总量相对较小，城区周边新能源建设条件良好，配电网等基础设施完善，具备发展高比例新能源绿色智慧配电网的良好条件。</w:t>
      </w:r>
    </w:p>
    <w:p>
      <w:pPr>
        <w:pageBreakBefore w:val="0"/>
        <w:wordWrap/>
        <w:topLinePunct w:val="0"/>
        <w:bidi w:val="0"/>
        <w:snapToGrid/>
        <w:spacing w:line="240" w:lineRule="auto"/>
      </w:pPr>
      <w:r>
        <w:rPr>
          <w:rFonts w:hint="eastAsia"/>
        </w:rPr>
        <w:t>康巴什区作为鄂尔多斯市发展新型电力系统试点中重要的城市载体，应加大新能源电力绿色替代，建设新能源自平衡微电网，打造绿电楼宇、绿电社区和绿电园区样板。加大电动汽车推广力度和互动式充电桩建设，促进车网双向互动，通过发展绿色交通提高新能源消纳能力和电网灵活调节能力。聚合康巴什区内分布式新能源、充电设施、电锅炉、储能等，建设场站层虚拟电厂，共同接入城区虚拟电厂控制平台，优化用电负荷特性，提高城区配电网柔性，实现与蒙西电网间的灵活互动。加快提高绿电消费占康巴什区用电量的比例，力争将康巴什区打造为全国首个零碳用电示范区。</w:t>
      </w:r>
    </w:p>
    <w:p>
      <w:pPr>
        <w:pStyle w:val="28"/>
        <w:pageBreakBefore w:val="0"/>
        <w:wordWrap/>
        <w:topLinePunct w:val="0"/>
        <w:bidi w:val="0"/>
        <w:snapToGrid/>
        <w:spacing w:line="240" w:lineRule="auto"/>
        <w:rPr>
          <w:rFonts w:ascii="Times New Roman" w:hAnsi="Times New Roman"/>
        </w:rPr>
      </w:pPr>
      <w:bookmarkStart w:id="293" w:name="_Toc10780"/>
      <w:bookmarkStart w:id="294" w:name="_Toc2472"/>
      <w:bookmarkStart w:id="295" w:name="_Toc20844"/>
      <w:bookmarkStart w:id="296" w:name="_Toc2857"/>
      <w:bookmarkStart w:id="297" w:name="_Toc31375"/>
      <w:bookmarkStart w:id="298" w:name="_Toc106382465"/>
      <w:bookmarkStart w:id="299" w:name="_Toc2744"/>
      <w:bookmarkStart w:id="300" w:name="_Toc29570"/>
      <w:r>
        <w:rPr>
          <w:rFonts w:hint="eastAsia" w:ascii="Times New Roman" w:hAnsi="Times New Roman"/>
        </w:rPr>
        <w:t>（三）</w:t>
      </w:r>
      <w:bookmarkEnd w:id="293"/>
      <w:bookmarkEnd w:id="294"/>
      <w:bookmarkEnd w:id="295"/>
      <w:bookmarkEnd w:id="296"/>
      <w:bookmarkEnd w:id="297"/>
      <w:bookmarkEnd w:id="298"/>
      <w:bookmarkStart w:id="301" w:name="_Toc2932"/>
      <w:bookmarkStart w:id="302" w:name="_Toc28121"/>
      <w:bookmarkStart w:id="303" w:name="_Toc9911"/>
      <w:bookmarkStart w:id="304" w:name="_Toc12035"/>
      <w:bookmarkStart w:id="305" w:name="_Toc31058"/>
      <w:r>
        <w:rPr>
          <w:rFonts w:hint="eastAsia" w:ascii="Times New Roman" w:hAnsi="Times New Roman"/>
        </w:rPr>
        <w:t>推动新能源制氢耦合发展</w:t>
      </w:r>
      <w:bookmarkEnd w:id="299"/>
      <w:bookmarkEnd w:id="300"/>
      <w:bookmarkEnd w:id="301"/>
      <w:bookmarkEnd w:id="302"/>
      <w:bookmarkEnd w:id="303"/>
      <w:bookmarkEnd w:id="304"/>
      <w:bookmarkEnd w:id="305"/>
    </w:p>
    <w:p>
      <w:pPr>
        <w:pageBreakBefore w:val="0"/>
        <w:wordWrap/>
        <w:topLinePunct w:val="0"/>
        <w:bidi w:val="0"/>
        <w:snapToGrid/>
        <w:spacing w:line="240" w:lineRule="auto"/>
      </w:pPr>
      <w:r>
        <w:rPr>
          <w:rFonts w:hint="eastAsia"/>
        </w:rPr>
        <w:t>以氢能为纽带，衔接风能、太阳能、储能协同管理，在供应和消费两端实现能源绿色转型，构建“多能互补、源网荷协同”的一体化区域能源网络。利用氢能的优点提高能源供需协调能力，推动能源清洁生产和就近消纳，实现多能协同供应和综合梯级利用，减少弃风、弃光电量，取得最佳能源利用效率和效益。</w:t>
      </w:r>
    </w:p>
    <w:p>
      <w:pPr>
        <w:pageBreakBefore w:val="0"/>
        <w:wordWrap/>
        <w:topLinePunct w:val="0"/>
        <w:bidi w:val="0"/>
        <w:snapToGrid/>
        <w:spacing w:line="240" w:lineRule="auto"/>
      </w:pPr>
      <w:r>
        <w:rPr>
          <w:rFonts w:hint="eastAsia"/>
        </w:rPr>
        <w:t>结合鄂尔多斯市国家燃料电池汽车示范城市的定位，利用新能源电力电解水制氢，符合国家大力倡导的“绿色发电、绿色氢能”发展战略，同时有效解决新能源发电消纳困难的问题。</w:t>
      </w:r>
    </w:p>
    <w:p>
      <w:pPr>
        <w:pageBreakBefore w:val="0"/>
        <w:wordWrap/>
        <w:topLinePunct w:val="0"/>
        <w:bidi w:val="0"/>
        <w:snapToGrid/>
        <w:spacing w:line="240" w:lineRule="auto"/>
      </w:pPr>
      <w:r>
        <w:rPr>
          <w:rFonts w:hint="eastAsia"/>
        </w:rPr>
        <w:t>统筹规划康巴什区及周边区市用氢需求量，以康巴什区新能源风光制氢为基础，发展绿氢产业，推广绿氢在康巴什区各领域的应用，促进新能源本地消纳。</w:t>
      </w:r>
    </w:p>
    <w:p>
      <w:pPr>
        <w:pageBreakBefore w:val="0"/>
        <w:wordWrap/>
        <w:topLinePunct w:val="0"/>
        <w:bidi w:val="0"/>
        <w:snapToGrid/>
        <w:spacing w:line="240" w:lineRule="auto"/>
      </w:pPr>
      <w:r>
        <w:rPr>
          <w:rFonts w:hint="eastAsia"/>
        </w:rPr>
        <w:t>有序推</w:t>
      </w:r>
      <w:r>
        <w:rPr>
          <w:rFonts w:hint="eastAsia" w:cs="仿宋_GB2312"/>
        </w:rPr>
        <w:t>进氢燃</w:t>
      </w:r>
      <w:r>
        <w:rPr>
          <w:rFonts w:hint="eastAsia"/>
        </w:rPr>
        <w:t>料汽车</w:t>
      </w:r>
      <w:r>
        <w:rPr>
          <w:rFonts w:hint="eastAsia" w:cs="仿宋_GB2312"/>
        </w:rPr>
        <w:t>替换。以公</w:t>
      </w:r>
      <w:r>
        <w:rPr>
          <w:rFonts w:hint="eastAsia"/>
        </w:rPr>
        <w:t>共</w:t>
      </w:r>
      <w:r>
        <w:rPr>
          <w:rFonts w:hint="eastAsia" w:cs="仿宋_GB2312"/>
        </w:rPr>
        <w:t>交通</w:t>
      </w:r>
      <w:r>
        <w:rPr>
          <w:rFonts w:hint="eastAsia"/>
        </w:rPr>
        <w:t>领</w:t>
      </w:r>
      <w:r>
        <w:rPr>
          <w:rFonts w:hint="eastAsia" w:cs="仿宋_GB2312"/>
        </w:rPr>
        <w:t>域的应用为突破</w:t>
      </w:r>
      <w:r>
        <w:rPr>
          <w:rFonts w:hint="eastAsia"/>
        </w:rPr>
        <w:t>口</w:t>
      </w:r>
      <w:r>
        <w:rPr>
          <w:rFonts w:hint="eastAsia" w:cs="仿宋_GB2312"/>
        </w:rPr>
        <w:t>，</w:t>
      </w:r>
      <w:r>
        <w:rPr>
          <w:rFonts w:hint="eastAsia"/>
        </w:rPr>
        <w:t>带</w:t>
      </w:r>
      <w:r>
        <w:rPr>
          <w:rFonts w:hint="eastAsia" w:cs="仿宋_GB2312"/>
        </w:rPr>
        <w:t>动氢燃</w:t>
      </w:r>
      <w:r>
        <w:rPr>
          <w:rFonts w:hint="eastAsia"/>
        </w:rPr>
        <w:t>料汽车</w:t>
      </w:r>
      <w:r>
        <w:rPr>
          <w:rFonts w:hint="eastAsia" w:cs="仿宋_GB2312"/>
        </w:rPr>
        <w:t>市场发展。制定康巴什区氢燃</w:t>
      </w:r>
      <w:r>
        <w:rPr>
          <w:rFonts w:hint="eastAsia"/>
        </w:rPr>
        <w:t>料</w:t>
      </w:r>
      <w:r>
        <w:rPr>
          <w:rFonts w:hint="eastAsia" w:cs="仿宋_GB2312"/>
        </w:rPr>
        <w:t>电池公交</w:t>
      </w:r>
      <w:r>
        <w:rPr>
          <w:rFonts w:hint="eastAsia"/>
        </w:rPr>
        <w:t>车</w:t>
      </w:r>
      <w:r>
        <w:rPr>
          <w:rFonts w:hint="eastAsia" w:cs="仿宋_GB2312"/>
        </w:rPr>
        <w:t>、</w:t>
      </w:r>
      <w:r>
        <w:rPr>
          <w:rFonts w:hint="eastAsia"/>
        </w:rPr>
        <w:t>客车</w:t>
      </w:r>
      <w:r>
        <w:rPr>
          <w:rFonts w:hint="eastAsia" w:cs="仿宋_GB2312"/>
        </w:rPr>
        <w:t>应用示范</w:t>
      </w:r>
      <w:r>
        <w:rPr>
          <w:rFonts w:hint="eastAsia"/>
        </w:rPr>
        <w:t>计</w:t>
      </w:r>
      <w:r>
        <w:rPr>
          <w:rFonts w:hint="eastAsia" w:cs="仿宋_GB2312"/>
        </w:rPr>
        <w:t>划，</w:t>
      </w:r>
      <w:r>
        <w:rPr>
          <w:rFonts w:hint="eastAsia"/>
        </w:rPr>
        <w:t>逐</w:t>
      </w:r>
      <w:r>
        <w:rPr>
          <w:rFonts w:hint="eastAsia" w:cs="仿宋_GB2312"/>
        </w:rPr>
        <w:t>年分批</w:t>
      </w:r>
      <w:r>
        <w:rPr>
          <w:rFonts w:hint="eastAsia"/>
        </w:rPr>
        <w:t>次</w:t>
      </w:r>
      <w:r>
        <w:rPr>
          <w:rFonts w:hint="eastAsia" w:cs="仿宋_GB2312"/>
        </w:rPr>
        <w:t>替换</w:t>
      </w:r>
      <w:r>
        <w:rPr>
          <w:rFonts w:hint="eastAsia"/>
        </w:rPr>
        <w:t>燃油车</w:t>
      </w:r>
      <w:r>
        <w:rPr>
          <w:rFonts w:hint="eastAsia" w:cs="仿宋_GB2312"/>
        </w:rPr>
        <w:t>为氢燃</w:t>
      </w:r>
      <w:r>
        <w:rPr>
          <w:rFonts w:hint="eastAsia"/>
        </w:rPr>
        <w:t>料</w:t>
      </w:r>
      <w:r>
        <w:rPr>
          <w:rFonts w:hint="eastAsia" w:cs="仿宋_GB2312"/>
        </w:rPr>
        <w:t>电池</w:t>
      </w:r>
      <w:r>
        <w:rPr>
          <w:rFonts w:hint="eastAsia"/>
        </w:rPr>
        <w:t>车</w:t>
      </w:r>
      <w:r>
        <w:rPr>
          <w:rFonts w:hint="eastAsia" w:cs="仿宋_GB2312"/>
        </w:rPr>
        <w:t>。加</w:t>
      </w:r>
      <w:r>
        <w:rPr>
          <w:rFonts w:hint="eastAsia"/>
        </w:rPr>
        <w:t>快</w:t>
      </w:r>
      <w:r>
        <w:rPr>
          <w:rFonts w:hint="eastAsia" w:cs="仿宋_GB2312"/>
        </w:rPr>
        <w:t>城市公交、公</w:t>
      </w:r>
      <w:r>
        <w:rPr>
          <w:rFonts w:hint="eastAsia"/>
        </w:rPr>
        <w:t>务</w:t>
      </w:r>
      <w:r>
        <w:rPr>
          <w:rFonts w:hint="eastAsia" w:cs="仿宋_GB2312"/>
        </w:rPr>
        <w:t>、出</w:t>
      </w:r>
      <w:r>
        <w:rPr>
          <w:rFonts w:hint="eastAsia"/>
        </w:rPr>
        <w:t>租</w:t>
      </w:r>
      <w:r>
        <w:rPr>
          <w:rFonts w:hint="eastAsia" w:cs="仿宋_GB2312"/>
        </w:rPr>
        <w:t>等公</w:t>
      </w:r>
      <w:r>
        <w:rPr>
          <w:rFonts w:hint="eastAsia"/>
        </w:rPr>
        <w:t>共领</w:t>
      </w:r>
      <w:r>
        <w:rPr>
          <w:rFonts w:hint="eastAsia" w:cs="仿宋_GB2312"/>
        </w:rPr>
        <w:t>域燃</w:t>
      </w:r>
      <w:r>
        <w:rPr>
          <w:rFonts w:hint="eastAsia"/>
        </w:rPr>
        <w:t>油车辆</w:t>
      </w:r>
      <w:r>
        <w:rPr>
          <w:rFonts w:hint="eastAsia" w:cs="仿宋_GB2312"/>
        </w:rPr>
        <w:t>的</w:t>
      </w:r>
      <w:r>
        <w:rPr>
          <w:rFonts w:hint="eastAsia"/>
        </w:rPr>
        <w:t>淘汰</w:t>
      </w:r>
      <w:r>
        <w:rPr>
          <w:rFonts w:hint="eastAsia" w:cs="仿宋_GB2312"/>
        </w:rPr>
        <w:t>速度，</w:t>
      </w:r>
      <w:r>
        <w:rPr>
          <w:rFonts w:hint="eastAsia"/>
        </w:rPr>
        <w:t>推</w:t>
      </w:r>
      <w:r>
        <w:rPr>
          <w:rFonts w:hint="eastAsia" w:cs="仿宋_GB2312"/>
        </w:rPr>
        <w:t>动各</w:t>
      </w:r>
      <w:r>
        <w:rPr>
          <w:rFonts w:hint="eastAsia"/>
        </w:rPr>
        <w:t>级</w:t>
      </w:r>
      <w:r>
        <w:rPr>
          <w:rFonts w:hint="eastAsia" w:cs="仿宋_GB2312"/>
        </w:rPr>
        <w:t>政府及公</w:t>
      </w:r>
      <w:r>
        <w:rPr>
          <w:rFonts w:hint="eastAsia"/>
        </w:rPr>
        <w:t>共</w:t>
      </w:r>
      <w:r>
        <w:rPr>
          <w:rFonts w:hint="eastAsia" w:cs="仿宋_GB2312"/>
        </w:rPr>
        <w:t>机</w:t>
      </w:r>
      <w:r>
        <w:rPr>
          <w:rFonts w:hint="eastAsia"/>
        </w:rPr>
        <w:t>构</w:t>
      </w:r>
      <w:r>
        <w:rPr>
          <w:rFonts w:hint="eastAsia" w:cs="仿宋_GB2312"/>
        </w:rPr>
        <w:t>加大燃</w:t>
      </w:r>
      <w:r>
        <w:rPr>
          <w:rFonts w:hint="eastAsia"/>
        </w:rPr>
        <w:t>料</w:t>
      </w:r>
      <w:r>
        <w:rPr>
          <w:rFonts w:hint="eastAsia" w:cs="仿宋_GB2312"/>
        </w:rPr>
        <w:t>电池</w:t>
      </w:r>
      <w:r>
        <w:rPr>
          <w:rFonts w:hint="eastAsia"/>
        </w:rPr>
        <w:t>汽车</w:t>
      </w:r>
      <w:r>
        <w:rPr>
          <w:rFonts w:hint="eastAsia" w:cs="仿宋_GB2312"/>
        </w:rPr>
        <w:t>采</w:t>
      </w:r>
      <w:r>
        <w:rPr>
          <w:rFonts w:hint="eastAsia"/>
        </w:rPr>
        <w:t>购</w:t>
      </w:r>
      <w:r>
        <w:rPr>
          <w:rFonts w:hint="eastAsia" w:cs="仿宋_GB2312"/>
        </w:rPr>
        <w:t>数量。加快清洁能源在交通运输领域的推广和使用，大力推广新能源汽车，完善加气、加氢设施，逐步提高清洁能源和新能源运输车辆在城市公交和出租车领域的应用比例。全面实施国Ⅵ汽车、国Ⅳ非道路机械排放标准，全面淘汰国Ⅲ及以下营运柴油货车。到2025年，全区新增和更新新能源公交车比例达到100%。</w:t>
      </w:r>
    </w:p>
    <w:p>
      <w:pPr>
        <w:pageBreakBefore w:val="0"/>
        <w:wordWrap/>
        <w:topLinePunct w:val="0"/>
        <w:bidi w:val="0"/>
        <w:snapToGrid/>
        <w:spacing w:line="240" w:lineRule="auto"/>
      </w:pPr>
      <w:r>
        <w:rPr>
          <w:rFonts w:hint="eastAsia"/>
        </w:rPr>
        <w:t>鼓励</w:t>
      </w:r>
      <w:r>
        <w:rPr>
          <w:rFonts w:hint="eastAsia" w:cs="仿宋_GB2312"/>
        </w:rPr>
        <w:t>成立氢燃</w:t>
      </w:r>
      <w:r>
        <w:rPr>
          <w:rFonts w:hint="eastAsia"/>
        </w:rPr>
        <w:t>料</w:t>
      </w:r>
      <w:r>
        <w:rPr>
          <w:rFonts w:hint="eastAsia" w:cs="仿宋_GB2312"/>
        </w:rPr>
        <w:t>电池运</w:t>
      </w:r>
      <w:r>
        <w:rPr>
          <w:rFonts w:hint="eastAsia"/>
        </w:rPr>
        <w:t>输车辆</w:t>
      </w:r>
      <w:r>
        <w:rPr>
          <w:rFonts w:hint="eastAsia" w:cs="仿宋_GB2312"/>
        </w:rPr>
        <w:t>综合</w:t>
      </w:r>
      <w:r>
        <w:rPr>
          <w:rFonts w:hint="eastAsia"/>
        </w:rPr>
        <w:t>服务</w:t>
      </w:r>
      <w:r>
        <w:rPr>
          <w:rFonts w:hint="eastAsia" w:cs="仿宋_GB2312"/>
        </w:rPr>
        <w:t>平</w:t>
      </w:r>
      <w:r>
        <w:rPr>
          <w:rFonts w:hint="eastAsia"/>
        </w:rPr>
        <w:t>台</w:t>
      </w:r>
      <w:r>
        <w:rPr>
          <w:rFonts w:hint="eastAsia" w:cs="仿宋_GB2312"/>
        </w:rPr>
        <w:t>，积极</w:t>
      </w:r>
      <w:r>
        <w:rPr>
          <w:rFonts w:hint="eastAsia"/>
        </w:rPr>
        <w:t>探索融</w:t>
      </w:r>
      <w:r>
        <w:rPr>
          <w:rFonts w:hint="eastAsia" w:cs="仿宋_GB2312"/>
        </w:rPr>
        <w:t>资</w:t>
      </w:r>
      <w:r>
        <w:rPr>
          <w:rFonts w:hint="eastAsia"/>
        </w:rPr>
        <w:t>租赁</w:t>
      </w:r>
      <w:r>
        <w:rPr>
          <w:rFonts w:hint="eastAsia" w:cs="仿宋_GB2312"/>
        </w:rPr>
        <w:t>等</w:t>
      </w:r>
      <w:r>
        <w:rPr>
          <w:rFonts w:hint="eastAsia"/>
        </w:rPr>
        <w:t>商</w:t>
      </w:r>
      <w:r>
        <w:rPr>
          <w:rFonts w:hint="eastAsia" w:cs="仿宋_GB2312"/>
        </w:rPr>
        <w:t>业运</w:t>
      </w:r>
      <w:r>
        <w:rPr>
          <w:rFonts w:hint="eastAsia"/>
        </w:rPr>
        <w:t>营</w:t>
      </w:r>
      <w:r>
        <w:rPr>
          <w:rFonts w:hint="eastAsia" w:cs="仿宋_GB2312"/>
        </w:rPr>
        <w:t>模式，形成良好的示范</w:t>
      </w:r>
      <w:r>
        <w:rPr>
          <w:rFonts w:hint="eastAsia"/>
        </w:rPr>
        <w:t>推广效应</w:t>
      </w:r>
      <w:r>
        <w:rPr>
          <w:rFonts w:hint="eastAsia" w:cs="仿宋_GB2312"/>
        </w:rPr>
        <w:t>。</w:t>
      </w:r>
    </w:p>
    <w:p>
      <w:pPr>
        <w:pageBreakBefore w:val="0"/>
        <w:wordWrap/>
        <w:topLinePunct w:val="0"/>
        <w:bidi w:val="0"/>
        <w:snapToGrid/>
        <w:spacing w:line="240" w:lineRule="auto"/>
        <w:rPr>
          <w:rFonts w:cs="仿宋_GB2312"/>
        </w:rPr>
      </w:pPr>
      <w:r>
        <w:rPr>
          <w:rFonts w:hint="eastAsia"/>
        </w:rPr>
        <w:t>推进工业领</w:t>
      </w:r>
      <w:r>
        <w:rPr>
          <w:rFonts w:hint="eastAsia" w:cs="仿宋_GB2312"/>
        </w:rPr>
        <w:t>域绿氢使用率，探索天然气掺氢、火电掺氨、氢能热电联产技术，减少二氧化碳排放量。</w:t>
      </w:r>
      <w:r>
        <w:rPr>
          <w:rFonts w:hint="eastAsia"/>
        </w:rPr>
        <w:t>鼓励</w:t>
      </w:r>
      <w:r>
        <w:rPr>
          <w:rFonts w:hint="eastAsia" w:cs="仿宋_GB2312"/>
        </w:rPr>
        <w:t>企业开展节能减排措施，积极</w:t>
      </w:r>
      <w:r>
        <w:rPr>
          <w:rFonts w:hint="eastAsia"/>
        </w:rPr>
        <w:t>推广</w:t>
      </w:r>
      <w:r>
        <w:rPr>
          <w:rFonts w:hint="eastAsia" w:cs="仿宋_GB2312"/>
        </w:rPr>
        <w:t>绿色氢能作为高效、节能、环保的新技术、新工</w:t>
      </w:r>
      <w:r>
        <w:rPr>
          <w:rFonts w:hint="eastAsia"/>
        </w:rPr>
        <w:t>艺</w:t>
      </w:r>
      <w:r>
        <w:rPr>
          <w:rFonts w:hint="eastAsia" w:cs="仿宋_GB2312"/>
        </w:rPr>
        <w:t>。</w:t>
      </w:r>
    </w:p>
    <w:p>
      <w:pPr>
        <w:pStyle w:val="28"/>
        <w:pageBreakBefore w:val="0"/>
        <w:wordWrap/>
        <w:topLinePunct w:val="0"/>
        <w:bidi w:val="0"/>
        <w:snapToGrid/>
        <w:spacing w:line="240" w:lineRule="auto"/>
        <w:rPr>
          <w:rFonts w:ascii="Times New Roman" w:hAnsi="Times New Roman"/>
        </w:rPr>
      </w:pPr>
      <w:bookmarkStart w:id="306" w:name="_Toc106382466"/>
      <w:bookmarkStart w:id="307" w:name="_Toc28471"/>
      <w:bookmarkStart w:id="308" w:name="_Toc1234"/>
      <w:bookmarkStart w:id="309" w:name="_Toc12617"/>
      <w:bookmarkStart w:id="310" w:name="_Toc24106"/>
      <w:bookmarkStart w:id="311" w:name="_Toc24782"/>
      <w:bookmarkStart w:id="312" w:name="_Toc20048"/>
      <w:bookmarkStart w:id="313" w:name="_Toc21529"/>
      <w:r>
        <w:rPr>
          <w:rFonts w:hint="eastAsia" w:ascii="Times New Roman" w:hAnsi="Times New Roman"/>
        </w:rPr>
        <w:t>（四）</w:t>
      </w:r>
      <w:bookmarkEnd w:id="306"/>
      <w:r>
        <w:rPr>
          <w:rFonts w:hint="eastAsia" w:ascii="Times New Roman" w:hAnsi="Times New Roman"/>
        </w:rPr>
        <w:t>配套建设多种新型储能</w:t>
      </w:r>
      <w:bookmarkEnd w:id="307"/>
      <w:bookmarkEnd w:id="308"/>
      <w:bookmarkEnd w:id="309"/>
      <w:bookmarkEnd w:id="310"/>
      <w:bookmarkEnd w:id="311"/>
      <w:bookmarkEnd w:id="312"/>
      <w:bookmarkEnd w:id="313"/>
    </w:p>
    <w:p>
      <w:pPr>
        <w:pageBreakBefore w:val="0"/>
        <w:wordWrap/>
        <w:topLinePunct w:val="0"/>
        <w:bidi w:val="0"/>
        <w:snapToGrid/>
        <w:spacing w:line="240" w:lineRule="auto"/>
      </w:pPr>
      <w:r>
        <w:rPr>
          <w:rFonts w:hint="eastAsia"/>
        </w:rPr>
        <w:t>新能源出力具有随机性、波动性特征，传统运行模式无法为系统提供充足的顶峰容量。可以通过配置一定规模的储能来提供顶峰容量，同时减少弃电。储能规模配置具有边际效应递减的特点，且储能成本现阶段需要与电源一并疏导，因此需要研究合理的储能配置规模。</w:t>
      </w:r>
    </w:p>
    <w:p>
      <w:pPr>
        <w:pageBreakBefore w:val="0"/>
        <w:wordWrap/>
        <w:topLinePunct w:val="0"/>
        <w:bidi w:val="0"/>
        <w:snapToGrid/>
        <w:spacing w:line="240" w:lineRule="auto"/>
      </w:pPr>
      <w:r>
        <w:rPr>
          <w:rFonts w:hint="eastAsia"/>
        </w:rPr>
        <w:t>随着储能方案的技术水平更为成熟和经济水平更为合理，在新能源项目中配套储能系统已经成为较为广泛的选择。储能系统能够缓解风电、光伏发电项目在电网端的不稳定性，同时也是增加风电、光伏发电项目二次调频辅助服务能力的新模式探索。</w:t>
      </w:r>
    </w:p>
    <w:p>
      <w:pPr>
        <w:pageBreakBefore w:val="0"/>
        <w:wordWrap/>
        <w:topLinePunct w:val="0"/>
        <w:bidi w:val="0"/>
        <w:snapToGrid/>
        <w:spacing w:line="240" w:lineRule="auto"/>
      </w:pPr>
      <w:r>
        <w:rPr>
          <w:rFonts w:hint="eastAsia"/>
        </w:rPr>
        <w:t>增加一定比例的储能系统，能够缓解电网的调峰压力，减少新能源电源的弃风和弃光电量，利用储能的充放电特性，能够提高新能源电源的利用效率和经济效益。加入储能系统后，新能源电源具有更为友好的并网特性，能够输出更高质量的电力能源，拥有更高精度的输出预测水平，实现更高效的资源利用。</w:t>
      </w:r>
    </w:p>
    <w:p>
      <w:pPr>
        <w:pageBreakBefore w:val="0"/>
        <w:wordWrap/>
        <w:topLinePunct w:val="0"/>
        <w:bidi w:val="0"/>
        <w:snapToGrid/>
        <w:spacing w:line="240" w:lineRule="auto"/>
      </w:pPr>
      <w:r>
        <w:rPr>
          <w:rFonts w:hint="eastAsia"/>
        </w:rPr>
        <w:t>目前市场上商业成熟度较高的电池类型主要有磷酸铁锂电池、液流电池及铅炭电池等。综合考虑磷酸铁锂电池的安全性、经济性等因素，建议选用该类电池。</w:t>
      </w:r>
    </w:p>
    <w:p>
      <w:pPr>
        <w:pageBreakBefore w:val="0"/>
        <w:wordWrap/>
        <w:topLinePunct w:val="0"/>
        <w:bidi w:val="0"/>
        <w:snapToGrid/>
        <w:spacing w:line="240" w:lineRule="auto"/>
      </w:pPr>
      <w:r>
        <w:rPr>
          <w:rFonts w:hint="eastAsia"/>
        </w:rPr>
        <w:t>从初始投资成本来看，磷酸铁锂电池有较强的竞争力，钠硫电池和全钒液流电池未形成产业化，供应渠道受限，较昂贵。从运营和维护成本来看，钠硫需要持续供热，全钒液流电池需要泵进行流体控制，增加了运营成本，而磷酸铁锂电池几乎不需要维护。根据国内外储能电站应用现状和电池特点，建议磷酸铁锂电池作为首选技术路线。</w:t>
      </w:r>
    </w:p>
    <w:p>
      <w:pPr>
        <w:pageBreakBefore w:val="0"/>
        <w:wordWrap/>
        <w:topLinePunct w:val="0"/>
        <w:bidi w:val="0"/>
        <w:snapToGrid/>
        <w:spacing w:line="240" w:lineRule="auto"/>
      </w:pPr>
      <w:r>
        <w:rPr>
          <w:rFonts w:hint="eastAsia"/>
        </w:rPr>
        <w:t>除电化学储能外，还可适当配套压缩空气储能、熔盐储能、飞轮储能等新型储能设备，综合不同储能技术在储能时长、储能特性等方面的优势协助电网调峰调频。</w:t>
      </w:r>
    </w:p>
    <w:p>
      <w:pPr>
        <w:pStyle w:val="28"/>
        <w:pageBreakBefore w:val="0"/>
        <w:wordWrap/>
        <w:topLinePunct w:val="0"/>
        <w:bidi w:val="0"/>
        <w:snapToGrid/>
        <w:spacing w:line="240" w:lineRule="auto"/>
        <w:rPr>
          <w:rFonts w:ascii="Times New Roman" w:hAnsi="Times New Roman"/>
        </w:rPr>
      </w:pPr>
      <w:bookmarkStart w:id="314" w:name="_Toc20109"/>
      <w:bookmarkStart w:id="315" w:name="_Toc25839"/>
      <w:bookmarkStart w:id="316" w:name="_Toc20125"/>
      <w:bookmarkStart w:id="317" w:name="_Toc27100"/>
      <w:bookmarkStart w:id="318" w:name="_Toc7644"/>
      <w:bookmarkStart w:id="319" w:name="_Toc22331"/>
      <w:bookmarkStart w:id="320" w:name="_Toc17178"/>
      <w:r>
        <w:rPr>
          <w:rFonts w:hint="eastAsia" w:ascii="Times New Roman" w:hAnsi="Times New Roman"/>
        </w:rPr>
        <w:t>（五）打造绿色用能社区示范样板</w:t>
      </w:r>
      <w:bookmarkEnd w:id="314"/>
    </w:p>
    <w:p>
      <w:pPr>
        <w:pageBreakBefore w:val="0"/>
        <w:wordWrap/>
        <w:topLinePunct w:val="0"/>
        <w:bidi w:val="0"/>
        <w:snapToGrid/>
        <w:spacing w:line="240" w:lineRule="auto"/>
      </w:pPr>
      <w:r>
        <w:rPr>
          <w:rFonts w:hint="eastAsia"/>
        </w:rPr>
        <w:t>选取部分新建社区打造绿色用能社区示范样板，合理规划社区空间，在社区建设方案中一体化同步建设建筑屋顶光伏、光伏车棚，太阳能路灯，新能源景观公园等。在条件允许的情况下，安装小型风力发电机，作为光伏发电的补充。</w:t>
      </w:r>
    </w:p>
    <w:p>
      <w:pPr>
        <w:pageBreakBefore w:val="0"/>
        <w:wordWrap/>
        <w:topLinePunct w:val="0"/>
        <w:bidi w:val="0"/>
        <w:snapToGrid/>
        <w:spacing w:line="240" w:lineRule="auto"/>
      </w:pPr>
      <w:r>
        <w:rPr>
          <w:rFonts w:hint="eastAsia"/>
        </w:rPr>
        <w:t>在做好资源评估、严格保护地下水基础上，有序发展中深层地热能开发利用。重点选取供热能力有限的区域，建设“同层等量回灌、取热不耗水”地热供暖工程，坚持环保、安全的开采地下热资源，以点带面促进推广应用。</w:t>
      </w:r>
    </w:p>
    <w:p>
      <w:pPr>
        <w:pageBreakBefore w:val="0"/>
        <w:wordWrap/>
        <w:topLinePunct w:val="0"/>
        <w:bidi w:val="0"/>
        <w:snapToGrid/>
        <w:spacing w:line="240" w:lineRule="auto"/>
      </w:pPr>
      <w:r>
        <w:rPr>
          <w:rFonts w:hint="eastAsia"/>
        </w:rPr>
        <w:t>建立综合能源管理系统，对社区内的多种能源供需进行实时监测和优化调配。通过大数据分析，优化能源配置，提高能源利用效率。</w:t>
      </w:r>
    </w:p>
    <w:p>
      <w:pPr>
        <w:pageBreakBefore w:val="0"/>
        <w:wordWrap/>
        <w:topLinePunct w:val="0"/>
        <w:bidi w:val="0"/>
        <w:snapToGrid/>
        <w:spacing w:line="240" w:lineRule="auto"/>
      </w:pPr>
      <w:r>
        <w:rPr>
          <w:rFonts w:hint="eastAsia"/>
        </w:rPr>
        <w:t>逐步积累绿色社区的建设经验和管理模式，以点促面带动其他社区借鉴并推广绿电社区建设模式，推动康巴什区绿色低碳发展。</w:t>
      </w:r>
    </w:p>
    <w:p>
      <w:pPr>
        <w:pStyle w:val="28"/>
        <w:pageBreakBefore w:val="0"/>
        <w:wordWrap/>
        <w:topLinePunct w:val="0"/>
        <w:bidi w:val="0"/>
        <w:snapToGrid/>
        <w:spacing w:line="240" w:lineRule="auto"/>
        <w:rPr>
          <w:rFonts w:ascii="Times New Roman" w:hAnsi="Times New Roman"/>
        </w:rPr>
      </w:pPr>
      <w:bookmarkStart w:id="321" w:name="_Toc492"/>
      <w:r>
        <w:rPr>
          <w:rFonts w:hint="eastAsia" w:ascii="Times New Roman" w:hAnsi="Times New Roman"/>
        </w:rPr>
        <w:t>（六）发展综合能源智慧管控系统</w:t>
      </w:r>
      <w:bookmarkEnd w:id="315"/>
      <w:bookmarkEnd w:id="316"/>
      <w:bookmarkEnd w:id="317"/>
      <w:bookmarkEnd w:id="318"/>
      <w:bookmarkEnd w:id="319"/>
      <w:bookmarkEnd w:id="320"/>
      <w:bookmarkEnd w:id="321"/>
    </w:p>
    <w:p>
      <w:pPr>
        <w:pageBreakBefore w:val="0"/>
        <w:wordWrap/>
        <w:topLinePunct w:val="0"/>
        <w:bidi w:val="0"/>
        <w:snapToGrid/>
        <w:spacing w:line="240" w:lineRule="auto"/>
      </w:pPr>
      <w:r>
        <w:rPr>
          <w:rFonts w:hint="eastAsia"/>
        </w:rPr>
        <w:t>随着新能源规模越来越大，消纳要求越来越高，规划建设、并网服务、技术支撑、市场交易等方面的矛盾与不足也愈发突显。在系统层面，应推进源端基地及终端消费综合能源系统规划建设，一方面，加速源端与负荷中心互联、各级能源网互济，为广域时空的可再生能源接入与优化配置提供支撑；另一方面，在终端推动分布式能源、储能的发展应用，提供安全、智能、清洁的综合能源服务，提升可再生能源占比。</w:t>
      </w:r>
    </w:p>
    <w:p>
      <w:pPr>
        <w:pageBreakBefore w:val="0"/>
        <w:wordWrap/>
        <w:topLinePunct w:val="0"/>
        <w:bidi w:val="0"/>
        <w:snapToGrid/>
        <w:spacing w:line="240" w:lineRule="auto"/>
      </w:pPr>
      <w:r>
        <w:rPr>
          <w:rFonts w:hint="eastAsia"/>
        </w:rPr>
        <w:t>在康巴什区建设综合能源智慧管控平台，基于物联网、大数据、云计算等先进的信息化技术，融合生产运营管理先进控制模式，区域共享集中运检管理模式，线上、线下联动，建立基于大数据的具备远程监控诊断、功率分析与预测、资产及备件管理功能的智能运营平台，实现电场资产运营管理的数字化、可视化、透明化和标准化。</w:t>
      </w:r>
    </w:p>
    <w:p>
      <w:pPr>
        <w:pageBreakBefore w:val="0"/>
        <w:wordWrap/>
        <w:topLinePunct w:val="0"/>
        <w:bidi w:val="0"/>
        <w:snapToGrid/>
        <w:spacing w:line="240" w:lineRule="auto"/>
        <w:rPr>
          <w:rFonts w:cstheme="minorBidi"/>
        </w:rPr>
      </w:pPr>
      <w:r>
        <w:rPr>
          <w:rFonts w:hint="eastAsia" w:cstheme="minorBidi"/>
        </w:rPr>
        <w:t>推进“平台+生态”建设，依托云平台建设打造电力供需预测、消纳能力计算、新能源大数据分析等子功能模块，为可再生能源设备与厂商管理、规划建设、运行管理等业务环节提供辅助决策支撑。建设新能源数字经济平台，通过新一代信息技术与新能源业务深度融合，解决新能源高质量发展在并网服务、运行消纳、补贴管理、信息咨询等方面存在的难点和痛点问题，打造新能源生态圈。建立碳排放统一管理平台，实现对园区碳排放情况进行透明化、统一化、动态管理，对比康巴什区碳排放总量及碳抵消总量，合理将碳中和指标分解到年，助力康巴什区实现2027年建设低碳城市、2035年建设零碳城市的发展目标。</w:t>
      </w:r>
    </w:p>
    <w:p>
      <w:pPr>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322" w:name="_Toc26797"/>
      <w:bookmarkStart w:id="323" w:name="_Toc30850"/>
      <w:bookmarkStart w:id="324" w:name="_Toc10617"/>
      <w:bookmarkStart w:id="325" w:name="_Toc17912"/>
      <w:bookmarkStart w:id="326" w:name="_Toc22908"/>
      <w:bookmarkStart w:id="327" w:name="_Toc20175"/>
      <w:bookmarkStart w:id="328" w:name="_Toc6531"/>
      <w:bookmarkStart w:id="329" w:name="_Toc30220"/>
      <w:r>
        <w:rPr>
          <w:rFonts w:hint="eastAsia" w:eastAsia="黑体" w:cs="黑体"/>
          <w:snapToGrid w:val="0"/>
          <w:color w:val="000000"/>
          <w:spacing w:val="-2"/>
          <w:kern w:val="0"/>
          <w:szCs w:val="32"/>
        </w:rPr>
        <w:t>九、电网接入方案</w:t>
      </w:r>
      <w:bookmarkEnd w:id="322"/>
      <w:bookmarkEnd w:id="323"/>
      <w:bookmarkEnd w:id="324"/>
      <w:bookmarkEnd w:id="325"/>
      <w:bookmarkEnd w:id="326"/>
      <w:bookmarkEnd w:id="327"/>
      <w:bookmarkEnd w:id="328"/>
      <w:bookmarkEnd w:id="329"/>
    </w:p>
    <w:p>
      <w:pPr>
        <w:pStyle w:val="28"/>
        <w:pageBreakBefore w:val="0"/>
        <w:wordWrap/>
        <w:topLinePunct w:val="0"/>
        <w:bidi w:val="0"/>
        <w:snapToGrid/>
        <w:spacing w:line="240" w:lineRule="auto"/>
        <w:rPr>
          <w:rFonts w:ascii="Times New Roman" w:hAnsi="Times New Roman" w:eastAsia="方正仿宋_GB2312" w:cs="Times New Roman"/>
        </w:rPr>
      </w:pPr>
      <w:bookmarkStart w:id="330" w:name="_Toc17942"/>
      <w:bookmarkStart w:id="331" w:name="_Toc18152"/>
      <w:bookmarkStart w:id="332" w:name="_Toc15301"/>
      <w:bookmarkStart w:id="333" w:name="_Toc4503"/>
      <w:bookmarkStart w:id="334" w:name="_Toc1071"/>
      <w:bookmarkStart w:id="335" w:name="_Toc24840"/>
      <w:bookmarkStart w:id="336" w:name="_Toc28196"/>
      <w:r>
        <w:rPr>
          <w:rFonts w:hint="eastAsia" w:ascii="Times New Roman" w:hAnsi="Times New Roman"/>
        </w:rPr>
        <w:t>（一）电网发展规划</w:t>
      </w:r>
      <w:bookmarkEnd w:id="330"/>
      <w:bookmarkEnd w:id="331"/>
      <w:bookmarkEnd w:id="332"/>
      <w:bookmarkEnd w:id="333"/>
      <w:bookmarkEnd w:id="334"/>
      <w:bookmarkEnd w:id="335"/>
      <w:bookmarkEnd w:id="336"/>
    </w:p>
    <w:p>
      <w:pPr>
        <w:pageBreakBefore w:val="0"/>
        <w:wordWrap/>
        <w:topLinePunct w:val="0"/>
        <w:bidi w:val="0"/>
        <w:snapToGrid/>
        <w:spacing w:line="240" w:lineRule="auto"/>
      </w:pPr>
      <w:r>
        <w:rPr>
          <w:rFonts w:hint="eastAsia" w:eastAsia="方正仿宋_GB2312" w:cs="Times New Roman"/>
        </w:rPr>
        <w:t>目前，康巴什地区用电负荷由220kV康巴什变电站、220kV装备变电站供电，全区</w:t>
      </w:r>
      <w:r>
        <w:rPr>
          <w:rFonts w:hint="eastAsia"/>
        </w:rPr>
        <w:t>110kV变电站共9座，分别为青春山变电站、景观河变电站、红海子变电站、商混变电站、惠民变电站、寨子塔变电站、北区变电站、杨五壕变电站、幸福变电站。</w:t>
      </w:r>
    </w:p>
    <w:p>
      <w:pPr>
        <w:pageBreakBefore w:val="0"/>
        <w:wordWrap/>
        <w:topLinePunct w:val="0"/>
        <w:bidi w:val="0"/>
        <w:snapToGrid/>
        <w:spacing w:line="240" w:lineRule="auto"/>
      </w:pPr>
      <w:r>
        <w:rPr>
          <w:rFonts w:hint="eastAsia"/>
        </w:rPr>
        <w:t>根据电网规划，2024年建成220kV卓越变，主变容量2×240MVA，电压等级为220/110/10kV。拟将布日都～掌岗图双回220kV线路开断接入卓越变。卓越变建成后其供电区域将覆盖康巴什北部地区，同时为进一步优化地区110kV供电网络，提高负荷供电质量，考虑将目前由康巴什变、装备变接带的寨子塔变、惠民变、幸福变以及北区变、红海子变、天隆变的串联供电网络形式优化为通过新建5回110kV线路，形成卓越变至北区变、红海子变、惠民变、寨子塔变、幸福变供电网络结构，结合由掌岗图变新建2回110kV线路，形成掌岗图变至天隆变、红海子变供电网络结构，打造康巴什B类供电区域可靠的单链式结构，进一步提高康巴什城区可靠性。</w:t>
      </w:r>
    </w:p>
    <w:p>
      <w:pPr>
        <w:pStyle w:val="28"/>
        <w:pageBreakBefore w:val="0"/>
        <w:wordWrap/>
        <w:topLinePunct w:val="0"/>
        <w:bidi w:val="0"/>
        <w:snapToGrid/>
        <w:spacing w:line="240" w:lineRule="auto"/>
        <w:rPr>
          <w:rFonts w:ascii="Times New Roman" w:hAnsi="Times New Roman"/>
        </w:rPr>
      </w:pPr>
      <w:bookmarkStart w:id="337" w:name="_Toc25114"/>
      <w:bookmarkStart w:id="338" w:name="_Toc13113"/>
      <w:bookmarkStart w:id="339" w:name="_Toc31758"/>
      <w:bookmarkStart w:id="340" w:name="_Toc1643"/>
      <w:bookmarkStart w:id="341" w:name="_Toc25083"/>
      <w:bookmarkStart w:id="342" w:name="_Toc7325"/>
      <w:r>
        <w:rPr>
          <w:rFonts w:ascii="Times New Roman" w:hAnsi="Times New Roman"/>
        </w:rPr>
        <w:t>（二）</w:t>
      </w:r>
      <w:r>
        <w:rPr>
          <w:rFonts w:hint="eastAsia" w:ascii="Times New Roman" w:hAnsi="Times New Roman"/>
        </w:rPr>
        <w:t>可接入变电站分析</w:t>
      </w:r>
      <w:bookmarkEnd w:id="337"/>
      <w:bookmarkEnd w:id="338"/>
      <w:bookmarkEnd w:id="339"/>
      <w:bookmarkEnd w:id="340"/>
      <w:bookmarkEnd w:id="341"/>
      <w:bookmarkEnd w:id="342"/>
    </w:p>
    <w:p>
      <w:pPr>
        <w:pageBreakBefore w:val="0"/>
        <w:wordWrap/>
        <w:topLinePunct w:val="0"/>
        <w:bidi w:val="0"/>
        <w:snapToGrid/>
        <w:spacing w:line="240" w:lineRule="auto"/>
        <w:rPr>
          <w:szCs w:val="24"/>
        </w:rPr>
      </w:pPr>
      <w:r>
        <w:rPr>
          <w:rFonts w:hint="eastAsia"/>
          <w:szCs w:val="24"/>
        </w:rPr>
        <w:t>（1）康巴什变电站</w:t>
      </w:r>
    </w:p>
    <w:p>
      <w:pPr>
        <w:pageBreakBefore w:val="0"/>
        <w:wordWrap/>
        <w:topLinePunct w:val="0"/>
        <w:bidi w:val="0"/>
        <w:snapToGrid/>
        <w:spacing w:line="240" w:lineRule="auto"/>
        <w:rPr>
          <w:szCs w:val="24"/>
        </w:rPr>
      </w:pPr>
      <w:r>
        <w:rPr>
          <w:rFonts w:hint="eastAsia"/>
          <w:szCs w:val="24"/>
        </w:rPr>
        <w:t>位于伊金霍洛旗，紧邻康巴什区南部。规划3×180MVA主变，已全部建成投产，最大负荷约30万千瓦。220kV规划出线12回，站内设备已全部建成，现有出线8回，分别至布日都2回、康巴什热电2回、康铁牵引站2回，分别至乌兰木兰站、白音提布光伏电站各1回，尚有4个220kV备用出线间隔位置。</w:t>
      </w:r>
    </w:p>
    <w:p>
      <w:pPr>
        <w:pageBreakBefore w:val="0"/>
        <w:wordWrap/>
        <w:topLinePunct w:val="0"/>
        <w:bidi w:val="0"/>
        <w:snapToGrid/>
        <w:spacing w:line="240" w:lineRule="auto"/>
        <w:rPr>
          <w:szCs w:val="24"/>
        </w:rPr>
      </w:pPr>
      <w:r>
        <w:rPr>
          <w:rFonts w:hint="eastAsia"/>
          <w:szCs w:val="24"/>
        </w:rPr>
        <w:t>（2）卓越变电站</w:t>
      </w:r>
    </w:p>
    <w:p>
      <w:pPr>
        <w:pageBreakBefore w:val="0"/>
        <w:wordWrap/>
        <w:topLinePunct w:val="0"/>
        <w:bidi w:val="0"/>
        <w:snapToGrid/>
        <w:spacing w:line="240" w:lineRule="auto"/>
        <w:rPr>
          <w:szCs w:val="24"/>
        </w:rPr>
      </w:pPr>
      <w:r>
        <w:rPr>
          <w:rFonts w:hint="eastAsia"/>
          <w:szCs w:val="24"/>
        </w:rPr>
        <w:t>位于康巴什区北部。变电站为规划变电站，规划3×240MVA主变，一期建设2台主变，投运后预计最大负荷约15万千瓦。220kV规划出线8回，一期出线4回，分别至布日都、掌岗图各2回，尚有4个220kV备用出线间隔位置。110kV规划出线16回，一期建设8个出线间隔。</w:t>
      </w:r>
    </w:p>
    <w:p>
      <w:pPr>
        <w:pageBreakBefore w:val="0"/>
        <w:wordWrap/>
        <w:topLinePunct w:val="0"/>
        <w:bidi w:val="0"/>
        <w:snapToGrid/>
        <w:spacing w:line="240" w:lineRule="auto"/>
        <w:rPr>
          <w:szCs w:val="24"/>
        </w:rPr>
      </w:pPr>
      <w:r>
        <w:rPr>
          <w:rFonts w:hint="eastAsia"/>
          <w:szCs w:val="24"/>
        </w:rPr>
        <w:t>（3）</w:t>
      </w:r>
      <w:r>
        <w:rPr>
          <w:szCs w:val="24"/>
        </w:rPr>
        <w:t>布日都</w:t>
      </w:r>
      <w:r>
        <w:rPr>
          <w:rFonts w:hint="eastAsia"/>
          <w:szCs w:val="24"/>
        </w:rPr>
        <w:t>变电站</w:t>
      </w:r>
    </w:p>
    <w:p>
      <w:pPr>
        <w:pageBreakBefore w:val="0"/>
        <w:wordWrap/>
        <w:topLinePunct w:val="0"/>
        <w:bidi w:val="0"/>
        <w:snapToGrid/>
        <w:spacing w:line="240" w:lineRule="auto"/>
        <w:rPr>
          <w:szCs w:val="24"/>
        </w:rPr>
      </w:pPr>
      <w:r>
        <w:rPr>
          <w:szCs w:val="24"/>
        </w:rPr>
        <w:t>位于</w:t>
      </w:r>
      <w:r>
        <w:rPr>
          <w:rFonts w:hint="eastAsia"/>
          <w:szCs w:val="24"/>
        </w:rPr>
        <w:t>东胜区境内，紧邻康巴什区北缘。</w:t>
      </w:r>
      <w:r>
        <w:rPr>
          <w:szCs w:val="24"/>
        </w:rPr>
        <w:t>规划3×750MVA主变，已全部建成投产。</w:t>
      </w:r>
      <w:r>
        <w:rPr>
          <w:rFonts w:hint="eastAsia"/>
          <w:szCs w:val="24"/>
        </w:rPr>
        <w:t>500kV侧采用一个半断路器接线，规划出线11回，现有出线9回，分别至乌海、响沙湾、甘迪尔、蒙泰热电二期各2回，至杭锦煤矸石电厂1回，尚有2个500kV备用出线间隔位置。</w:t>
      </w:r>
      <w:r>
        <w:rPr>
          <w:szCs w:val="24"/>
        </w:rPr>
        <w:t>220kV</w:t>
      </w:r>
      <w:r>
        <w:rPr>
          <w:rFonts w:hint="eastAsia"/>
          <w:szCs w:val="24"/>
        </w:rPr>
        <w:t>规划</w:t>
      </w:r>
      <w:r>
        <w:rPr>
          <w:szCs w:val="24"/>
        </w:rPr>
        <w:t>出线16回，</w:t>
      </w:r>
      <w:r>
        <w:rPr>
          <w:rFonts w:hint="eastAsia"/>
          <w:szCs w:val="24"/>
        </w:rPr>
        <w:t>现有出线16回，站址周边空间受限，220kV侧不具备扩建条件</w:t>
      </w:r>
      <w:r>
        <w:rPr>
          <w:szCs w:val="24"/>
        </w:rPr>
        <w:t>。</w:t>
      </w:r>
    </w:p>
    <w:p>
      <w:pPr>
        <w:pageBreakBefore w:val="0"/>
        <w:wordWrap/>
        <w:topLinePunct w:val="0"/>
        <w:bidi w:val="0"/>
        <w:snapToGrid/>
        <w:spacing w:line="240" w:lineRule="auto"/>
        <w:rPr>
          <w:szCs w:val="24"/>
        </w:rPr>
      </w:pPr>
      <w:r>
        <w:rPr>
          <w:rFonts w:hint="eastAsia"/>
          <w:szCs w:val="24"/>
        </w:rPr>
        <w:t>（4）装备变电站</w:t>
      </w:r>
    </w:p>
    <w:p>
      <w:pPr>
        <w:pageBreakBefore w:val="0"/>
        <w:wordWrap/>
        <w:topLinePunct w:val="0"/>
        <w:bidi w:val="0"/>
        <w:snapToGrid/>
        <w:spacing w:line="240" w:lineRule="auto"/>
        <w:rPr>
          <w:rFonts w:cs="Times New Roman"/>
        </w:rPr>
      </w:pPr>
      <w:r>
        <w:rPr>
          <w:szCs w:val="24"/>
        </w:rPr>
        <w:t>位于</w:t>
      </w:r>
      <w:r>
        <w:rPr>
          <w:rFonts w:hint="eastAsia"/>
          <w:szCs w:val="24"/>
        </w:rPr>
        <w:t>高新技术产业园装备产业园区内，紧邻康巴什区北缘。</w:t>
      </w:r>
      <w:r>
        <w:rPr>
          <w:szCs w:val="24"/>
        </w:rPr>
        <w:t>规划3×</w:t>
      </w:r>
      <w:r>
        <w:rPr>
          <w:rFonts w:hint="eastAsia"/>
          <w:szCs w:val="24"/>
        </w:rPr>
        <w:t>18</w:t>
      </w:r>
      <w:r>
        <w:rPr>
          <w:szCs w:val="24"/>
        </w:rPr>
        <w:t>0MVA主变，已建成投产</w:t>
      </w:r>
      <w:r>
        <w:rPr>
          <w:rFonts w:hint="eastAsia"/>
          <w:szCs w:val="24"/>
        </w:rPr>
        <w:t>2</w:t>
      </w:r>
      <w:r>
        <w:rPr>
          <w:szCs w:val="24"/>
        </w:rPr>
        <w:t>×</w:t>
      </w:r>
      <w:r>
        <w:rPr>
          <w:rFonts w:hint="eastAsia"/>
          <w:szCs w:val="24"/>
        </w:rPr>
        <w:t>18</w:t>
      </w:r>
      <w:r>
        <w:rPr>
          <w:szCs w:val="24"/>
        </w:rPr>
        <w:t>0MVA主变</w:t>
      </w:r>
      <w:r>
        <w:rPr>
          <w:rFonts w:hint="eastAsia"/>
          <w:szCs w:val="24"/>
        </w:rPr>
        <w:t>，最大负荷约18万千瓦</w:t>
      </w:r>
      <w:r>
        <w:rPr>
          <w:szCs w:val="24"/>
        </w:rPr>
        <w:t>。220kV</w:t>
      </w:r>
      <w:r>
        <w:rPr>
          <w:rFonts w:hint="eastAsia"/>
          <w:szCs w:val="24"/>
        </w:rPr>
        <w:t>规划</w:t>
      </w:r>
      <w:r>
        <w:rPr>
          <w:szCs w:val="24"/>
        </w:rPr>
        <w:t>出线</w:t>
      </w:r>
      <w:r>
        <w:rPr>
          <w:rFonts w:hint="eastAsia"/>
          <w:szCs w:val="24"/>
        </w:rPr>
        <w:t>6</w:t>
      </w:r>
      <w:r>
        <w:rPr>
          <w:szCs w:val="24"/>
        </w:rPr>
        <w:t>回，</w:t>
      </w:r>
      <w:r>
        <w:rPr>
          <w:rFonts w:hint="eastAsia"/>
          <w:szCs w:val="24"/>
        </w:rPr>
        <w:t>现有出线2回，2回均至布日都变，尚有4个220kV备用出线间隔位置。</w:t>
      </w:r>
    </w:p>
    <w:p>
      <w:pPr>
        <w:pStyle w:val="28"/>
        <w:pageBreakBefore w:val="0"/>
        <w:wordWrap/>
        <w:topLinePunct w:val="0"/>
        <w:bidi w:val="0"/>
        <w:snapToGrid/>
        <w:spacing w:line="240" w:lineRule="auto"/>
        <w:rPr>
          <w:rFonts w:ascii="Times New Roman" w:hAnsi="Times New Roman"/>
        </w:rPr>
      </w:pPr>
      <w:bookmarkStart w:id="343" w:name="_Toc14965"/>
      <w:bookmarkStart w:id="344" w:name="_Toc3874"/>
      <w:bookmarkStart w:id="345" w:name="_Toc17540"/>
      <w:bookmarkStart w:id="346" w:name="_Toc1996"/>
      <w:bookmarkStart w:id="347" w:name="_Toc5594"/>
      <w:bookmarkStart w:id="348" w:name="_Toc17330"/>
      <w:bookmarkStart w:id="349" w:name="_Toc17829"/>
      <w:r>
        <w:rPr>
          <w:rFonts w:ascii="Times New Roman" w:hAnsi="Times New Roman"/>
        </w:rPr>
        <w:t>（</w:t>
      </w:r>
      <w:r>
        <w:rPr>
          <w:rFonts w:hint="eastAsia" w:ascii="Times New Roman" w:hAnsi="Times New Roman"/>
        </w:rPr>
        <w:t>三</w:t>
      </w:r>
      <w:r>
        <w:rPr>
          <w:rFonts w:ascii="Times New Roman" w:hAnsi="Times New Roman"/>
        </w:rPr>
        <w:t>）接入系统方案</w:t>
      </w:r>
      <w:bookmarkEnd w:id="343"/>
      <w:bookmarkEnd w:id="344"/>
      <w:bookmarkEnd w:id="345"/>
      <w:bookmarkEnd w:id="346"/>
      <w:bookmarkEnd w:id="347"/>
      <w:bookmarkEnd w:id="348"/>
      <w:bookmarkEnd w:id="349"/>
    </w:p>
    <w:p>
      <w:pPr>
        <w:pageBreakBefore w:val="0"/>
        <w:wordWrap/>
        <w:topLinePunct w:val="0"/>
        <w:bidi w:val="0"/>
        <w:snapToGrid/>
        <w:spacing w:line="240" w:lineRule="auto"/>
      </w:pPr>
      <w:r>
        <w:rPr>
          <w:rFonts w:hint="eastAsia"/>
          <w:szCs w:val="24"/>
        </w:rPr>
        <w:t>（</w:t>
      </w:r>
      <w:r>
        <w:rPr>
          <w:rFonts w:hint="eastAsia"/>
          <w:szCs w:val="24"/>
          <w:lang w:val="en-US" w:eastAsia="zh-CN"/>
        </w:rPr>
        <w:t>1</w:t>
      </w:r>
      <w:r>
        <w:rPr>
          <w:rFonts w:hint="eastAsia"/>
          <w:szCs w:val="24"/>
        </w:rPr>
        <w:t>）</w:t>
      </w:r>
      <w:r>
        <w:t>1#</w:t>
      </w:r>
      <w:r>
        <w:rPr>
          <w:rFonts w:hint="eastAsia"/>
        </w:rPr>
        <w:t>光伏治沙场区</w:t>
      </w:r>
    </w:p>
    <w:p>
      <w:pPr>
        <w:pageBreakBefore w:val="0"/>
        <w:wordWrap/>
        <w:topLinePunct w:val="0"/>
        <w:bidi w:val="0"/>
        <w:snapToGrid/>
        <w:spacing w:line="240" w:lineRule="auto"/>
      </w:pPr>
      <w:r>
        <w:rPr>
          <w:rFonts w:hint="eastAsia"/>
        </w:rPr>
        <w:t>1#光伏治沙场区位于康巴什区东南部，格德热格社区范围内，规划装机容量40万千瓦，场址附近规划新建1座220kV升压站，可考虑如下接入系统方案：</w:t>
      </w:r>
    </w:p>
    <w:p>
      <w:pPr>
        <w:pageBreakBefore w:val="0"/>
        <w:wordWrap/>
        <w:topLinePunct w:val="0"/>
        <w:bidi w:val="0"/>
        <w:snapToGrid/>
        <w:spacing w:line="240" w:lineRule="auto"/>
      </w:pPr>
      <w:r>
        <w:rPr>
          <w:rFonts w:hint="eastAsia"/>
        </w:rPr>
        <w:t>以1回220kV线路接至220kV边家塔变电站，新建线路长度约21km，采用2×400mm</w:t>
      </w:r>
      <w:r>
        <w:rPr>
          <w:rFonts w:hint="eastAsia"/>
          <w:vertAlign w:val="superscript"/>
        </w:rPr>
        <w:t>2</w:t>
      </w:r>
      <w:r>
        <w:rPr>
          <w:rFonts w:hint="eastAsia"/>
        </w:rPr>
        <w:t>截面导线。</w:t>
      </w:r>
    </w:p>
    <w:p>
      <w:pPr>
        <w:pageBreakBefore w:val="0"/>
        <w:wordWrap/>
        <w:topLinePunct w:val="0"/>
        <w:bidi w:val="0"/>
        <w:snapToGrid/>
        <w:spacing w:line="240" w:lineRule="auto"/>
        <w:rPr>
          <w:rFonts w:hint="eastAsia"/>
        </w:rPr>
      </w:pPr>
      <w:r>
        <w:rPr>
          <w:rFonts w:hint="eastAsia"/>
        </w:rPr>
        <w:t>若项目采用分期建设，可按远期规划将并网工程一次建成，后续扩建工程仅需接入一期工程建设的升压站，利用已建成的并网工程接入系统即可。</w:t>
      </w:r>
    </w:p>
    <w:p>
      <w:pPr>
        <w:pageBreakBefore w:val="0"/>
        <w:wordWrap/>
        <w:topLinePunct w:val="0"/>
        <w:bidi w:val="0"/>
        <w:snapToGrid/>
        <w:spacing w:line="240" w:lineRule="auto"/>
        <w:ind w:firstLine="0" w:firstLineChars="0"/>
        <w:jc w:val="center"/>
        <w:rPr>
          <w:rFonts w:cs="Times New Roman"/>
          <w:b/>
          <w:sz w:val="24"/>
        </w:rPr>
      </w:pPr>
      <w:r>
        <w:rPr>
          <w:rFonts w:hint="eastAsia"/>
        </w:rPr>
        <w:t xml:space="preserve"> </w:t>
      </w:r>
      <w:r>
        <w:drawing>
          <wp:inline distT="0" distB="0" distL="114935" distR="114935">
            <wp:extent cx="5142230" cy="5913120"/>
            <wp:effectExtent l="0" t="0" r="8890" b="0"/>
            <wp:docPr id="16"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true"/>
                    </pic:cNvPicPr>
                  </pic:nvPicPr>
                  <pic:blipFill>
                    <a:blip r:embed="rId44"/>
                    <a:stretch>
                      <a:fillRect/>
                    </a:stretch>
                  </pic:blipFill>
                  <pic:spPr>
                    <a:xfrm>
                      <a:off x="0" y="0"/>
                      <a:ext cx="5142230" cy="5913120"/>
                    </a:xfrm>
                    <a:prstGeom prst="rect">
                      <a:avLst/>
                    </a:prstGeom>
                    <a:noFill/>
                    <a:ln>
                      <a:noFill/>
                    </a:ln>
                  </pic:spPr>
                </pic:pic>
              </a:graphicData>
            </a:graphic>
          </wp:inline>
        </w:drawing>
      </w:r>
    </w:p>
    <w:p>
      <w:pPr>
        <w:pStyle w:val="27"/>
        <w:bidi w:val="0"/>
      </w:pPr>
      <w:r>
        <w:rPr>
          <w:rFonts w:hint="eastAsia"/>
        </w:rPr>
        <w:t>图9-</w:t>
      </w:r>
      <w:r>
        <w:rPr>
          <w:rFonts w:hint="eastAsia"/>
          <w:lang w:val="en-US" w:eastAsia="zh-CN"/>
        </w:rPr>
        <w:t xml:space="preserve">1 </w:t>
      </w:r>
      <w:r>
        <w:rPr>
          <w:rFonts w:hint="eastAsia"/>
        </w:rPr>
        <w:t xml:space="preserve"> </w:t>
      </w:r>
      <w:r>
        <w:rPr>
          <w:rFonts w:hint="eastAsia"/>
          <w:lang w:val="en-US" w:eastAsia="zh-CN"/>
        </w:rPr>
        <w:t>1#光伏治沙项目</w:t>
      </w:r>
      <w:r>
        <w:rPr>
          <w:rFonts w:hint="eastAsia"/>
        </w:rPr>
        <w:t>接入系统方案示意图</w:t>
      </w:r>
    </w:p>
    <w:p>
      <w:pPr>
        <w:pageBreakBefore w:val="0"/>
        <w:wordWrap/>
        <w:topLinePunct w:val="0"/>
        <w:bidi w:val="0"/>
        <w:snapToGrid/>
        <w:spacing w:line="240" w:lineRule="auto"/>
        <w:rPr>
          <w:rFonts w:hint="default"/>
          <w:szCs w:val="24"/>
          <w:lang w:val="en-US"/>
        </w:rPr>
      </w:pPr>
      <w:r>
        <w:rPr>
          <w:rFonts w:hint="eastAsia"/>
          <w:szCs w:val="24"/>
        </w:rPr>
        <w:t>（</w:t>
      </w:r>
      <w:r>
        <w:rPr>
          <w:rFonts w:hint="eastAsia"/>
          <w:szCs w:val="24"/>
          <w:lang w:val="en-US" w:eastAsia="zh-CN"/>
        </w:rPr>
        <w:t>2</w:t>
      </w:r>
      <w:r>
        <w:rPr>
          <w:rFonts w:hint="eastAsia"/>
          <w:szCs w:val="24"/>
        </w:rPr>
        <w:t>）</w:t>
      </w:r>
      <w:r>
        <w:rPr>
          <w:rFonts w:hint="eastAsia"/>
          <w:szCs w:val="24"/>
          <w:lang w:val="en-US" w:eastAsia="zh-CN"/>
        </w:rPr>
        <w:t>2</w:t>
      </w:r>
      <w:r>
        <w:rPr>
          <w:rFonts w:hint="eastAsia"/>
          <w:szCs w:val="24"/>
        </w:rPr>
        <w:t>#</w:t>
      </w:r>
      <w:r>
        <w:rPr>
          <w:rFonts w:hint="eastAsia"/>
          <w:szCs w:val="24"/>
          <w:lang w:eastAsia="zh-CN"/>
        </w:rPr>
        <w:t>、</w:t>
      </w:r>
      <w:r>
        <w:rPr>
          <w:rFonts w:hint="eastAsia"/>
          <w:szCs w:val="24"/>
          <w:lang w:val="en-US" w:eastAsia="zh-CN"/>
        </w:rPr>
        <w:t>4#光伏场址</w:t>
      </w:r>
    </w:p>
    <w:p>
      <w:pPr>
        <w:pageBreakBefore w:val="0"/>
        <w:wordWrap/>
        <w:topLinePunct w:val="0"/>
        <w:bidi w:val="0"/>
        <w:snapToGrid/>
        <w:spacing w:line="240" w:lineRule="auto"/>
        <w:rPr>
          <w:rFonts w:hint="eastAsia" w:eastAsia="方正仿宋_GB2312" w:cs="Times New Roman"/>
          <w:lang w:val="en-US" w:eastAsia="zh-CN"/>
        </w:rPr>
      </w:pPr>
      <w:r>
        <w:rPr>
          <w:rFonts w:hint="eastAsia" w:eastAsia="方正仿宋_GB2312" w:cs="Times New Roman"/>
          <w:lang w:val="en-US" w:eastAsia="zh-CN"/>
        </w:rPr>
        <w:t>#2、#4</w:t>
      </w:r>
      <w:r>
        <w:rPr>
          <w:rFonts w:hint="eastAsia" w:eastAsia="方正仿宋_GB2312" w:cs="Times New Roman"/>
        </w:rPr>
        <w:t>场址</w:t>
      </w:r>
      <w:r>
        <w:rPr>
          <w:rFonts w:hint="eastAsia" w:eastAsia="方正仿宋_GB2312" w:cs="Times New Roman"/>
          <w:lang w:val="en-US" w:eastAsia="zh-CN"/>
        </w:rPr>
        <w:t>南部较为平坦，建设条件较好，规划在近期开发分别开发200MW光伏电站</w:t>
      </w:r>
      <w:r>
        <w:rPr>
          <w:rFonts w:hint="eastAsia" w:eastAsia="方正仿宋_GB2312" w:cs="Times New Roman"/>
        </w:rPr>
        <w:t>。</w:t>
      </w:r>
      <w:r>
        <w:rPr>
          <w:rFonts w:hint="eastAsia" w:eastAsia="方正仿宋_GB2312" w:cs="Times New Roman"/>
          <w:lang w:val="en-US" w:eastAsia="zh-CN"/>
        </w:rPr>
        <w:t>由于该区域距离伊金霍洛旗蒙苏工业园区较近，可考虑以220kV电压等级送至蒙苏工业园用电负荷消纳。</w:t>
      </w:r>
    </w:p>
    <w:p>
      <w:pPr>
        <w:pageBreakBefore w:val="0"/>
        <w:wordWrap/>
        <w:topLinePunct w:val="0"/>
        <w:bidi w:val="0"/>
        <w:snapToGrid/>
        <w:spacing w:line="240" w:lineRule="auto"/>
      </w:pPr>
      <w:r>
        <w:rPr>
          <w:rFonts w:hint="eastAsia" w:eastAsia="方正仿宋_GB2312" w:cs="Times New Roman"/>
          <w:lang w:val="en-US" w:eastAsia="zh-CN"/>
        </w:rPr>
        <w:t>北部区域沟壑较多，建议在远期开发建设，剩余容量约600MW，可考虑接入鄂尔多斯高新技术产业开发区消纳或接近接入卓越220kV变电站。</w:t>
      </w:r>
    </w:p>
    <w:p>
      <w:pPr>
        <w:pageBreakBefore w:val="0"/>
        <w:wordWrap/>
        <w:topLinePunct w:val="0"/>
        <w:bidi w:val="0"/>
        <w:snapToGrid/>
        <w:spacing w:line="240" w:lineRule="auto"/>
      </w:pPr>
      <w:r>
        <w:rPr>
          <w:rFonts w:hint="eastAsia"/>
          <w:szCs w:val="24"/>
        </w:rPr>
        <w:t>（</w:t>
      </w:r>
      <w:r>
        <w:rPr>
          <w:rFonts w:hint="eastAsia"/>
          <w:szCs w:val="24"/>
          <w:lang w:val="en-US" w:eastAsia="zh-CN"/>
        </w:rPr>
        <w:t>3</w:t>
      </w:r>
      <w:r>
        <w:rPr>
          <w:rFonts w:hint="eastAsia"/>
          <w:szCs w:val="24"/>
        </w:rPr>
        <w:t>）</w:t>
      </w:r>
      <w:r>
        <w:rPr>
          <w:rFonts w:hint="eastAsia"/>
          <w:lang w:val="en-US" w:eastAsia="zh-CN"/>
        </w:rPr>
        <w:t>3</w:t>
      </w:r>
      <w:r>
        <w:t>#</w:t>
      </w:r>
      <w:r>
        <w:rPr>
          <w:rFonts w:hint="eastAsia"/>
        </w:rPr>
        <w:t>、</w:t>
      </w:r>
      <w:r>
        <w:rPr>
          <w:rFonts w:hint="eastAsia"/>
          <w:lang w:val="en-US" w:eastAsia="zh-CN"/>
        </w:rPr>
        <w:t>5</w:t>
      </w:r>
      <w:r>
        <w:rPr>
          <w:rFonts w:hint="eastAsia"/>
        </w:rPr>
        <w:t>#、</w:t>
      </w:r>
      <w:r>
        <w:rPr>
          <w:rFonts w:hint="eastAsia"/>
          <w:lang w:val="en-US" w:eastAsia="zh-CN"/>
        </w:rPr>
        <w:t>6</w:t>
      </w:r>
      <w:r>
        <w:rPr>
          <w:rFonts w:hint="eastAsia"/>
        </w:rPr>
        <w:t>#光伏场址</w:t>
      </w:r>
    </w:p>
    <w:p>
      <w:pPr>
        <w:pageBreakBefore w:val="0"/>
        <w:wordWrap/>
        <w:topLinePunct w:val="0"/>
        <w:bidi w:val="0"/>
        <w:snapToGrid/>
        <w:spacing w:line="240" w:lineRule="auto"/>
      </w:pPr>
      <w:r>
        <w:rPr>
          <w:rFonts w:hint="eastAsia"/>
          <w:lang w:val="en-US" w:eastAsia="zh-CN"/>
        </w:rPr>
        <w:t>其中3#、5#场址距离主城区较近，规划在远期开发建设，为城区发展留有拓展空间。因此，其最终建设规模还存在较大不确定性。若总体规模可达到1GW以上，宜在</w:t>
      </w:r>
      <w:r>
        <w:rPr>
          <w:rFonts w:hint="eastAsia"/>
        </w:rPr>
        <w:t>格德热格社区北侧新建一座500kV汇集站</w:t>
      </w:r>
      <w:r>
        <w:rPr>
          <w:rFonts w:hint="eastAsia"/>
          <w:lang w:eastAsia="zh-CN"/>
        </w:rPr>
        <w:t>，</w:t>
      </w:r>
      <w:r>
        <w:rPr>
          <w:rFonts w:hint="eastAsia"/>
          <w:lang w:val="en-US" w:eastAsia="zh-CN"/>
        </w:rPr>
        <w:t>周边各光伏电站经汇流后</w:t>
      </w:r>
      <w:r>
        <w:rPr>
          <w:rFonts w:hint="eastAsia"/>
        </w:rPr>
        <w:t>，以1回500kV架空线路接至500kV布日都站，新建线路长度约15km，采用4×630mm</w:t>
      </w:r>
      <w:r>
        <w:rPr>
          <w:rFonts w:hint="eastAsia"/>
          <w:vertAlign w:val="superscript"/>
        </w:rPr>
        <w:t>2</w:t>
      </w:r>
      <w:r>
        <w:rPr>
          <w:rFonts w:hint="eastAsia"/>
        </w:rPr>
        <w:t>截面导线。</w:t>
      </w:r>
    </w:p>
    <w:p>
      <w:pPr>
        <w:pageBreakBefore w:val="0"/>
        <w:wordWrap/>
        <w:topLinePunct w:val="0"/>
        <w:bidi w:val="0"/>
        <w:snapToGrid/>
        <w:spacing w:line="240" w:lineRule="auto"/>
        <w:rPr>
          <w:rFonts w:hint="eastAsia"/>
        </w:rPr>
      </w:pPr>
      <w:r>
        <w:rPr>
          <w:rFonts w:hint="eastAsia"/>
        </w:rPr>
        <w:t>若项目采用分期建设，可按远期规划将并网工程一次建成，后续扩建工程仅需接入一期工程建设的升压站，利用已建成的并网工程接入系统即可。若周边规划项目建设规模</w:t>
      </w:r>
      <w:r>
        <w:rPr>
          <w:rFonts w:hint="eastAsia"/>
          <w:lang w:val="en-US" w:eastAsia="zh-CN"/>
        </w:rPr>
        <w:t>在1GW以下</w:t>
      </w:r>
      <w:r>
        <w:rPr>
          <w:rFonts w:hint="eastAsia"/>
        </w:rPr>
        <w:t>，也可采用220kV电压等级进行汇流，接入布日都变电站或边家塔变电站。</w:t>
      </w:r>
    </w:p>
    <w:p>
      <w:pPr>
        <w:pageBreakBefore w:val="0"/>
        <w:wordWrap/>
        <w:topLinePunct w:val="0"/>
        <w:bidi w:val="0"/>
        <w:snapToGrid/>
        <w:spacing w:line="240" w:lineRule="auto"/>
        <w:rPr>
          <w:rFonts w:hint="eastAsia"/>
          <w:szCs w:val="24"/>
          <w:lang w:val="en-US" w:eastAsia="zh-CN"/>
        </w:rPr>
      </w:pPr>
      <w:r>
        <w:rPr>
          <w:rFonts w:hint="eastAsia"/>
          <w:szCs w:val="24"/>
        </w:rPr>
        <w:t>（</w:t>
      </w:r>
      <w:r>
        <w:rPr>
          <w:rFonts w:hint="eastAsia"/>
          <w:szCs w:val="24"/>
          <w:lang w:val="en-US" w:eastAsia="zh-CN"/>
        </w:rPr>
        <w:t>4</w:t>
      </w:r>
      <w:r>
        <w:rPr>
          <w:rFonts w:hint="eastAsia"/>
          <w:szCs w:val="24"/>
        </w:rPr>
        <w:t>）</w:t>
      </w:r>
      <w:r>
        <w:rPr>
          <w:rFonts w:hint="eastAsia"/>
          <w:szCs w:val="24"/>
          <w:lang w:val="en-US" w:eastAsia="zh-CN"/>
        </w:rPr>
        <w:t>分散式风电项目</w:t>
      </w:r>
    </w:p>
    <w:p>
      <w:pPr>
        <w:pageBreakBefore w:val="0"/>
        <w:wordWrap/>
        <w:topLinePunct w:val="0"/>
        <w:bidi w:val="0"/>
        <w:snapToGrid/>
        <w:spacing w:line="240" w:lineRule="auto"/>
        <w:rPr>
          <w:rFonts w:hint="default"/>
          <w:szCs w:val="24"/>
          <w:lang w:val="en-US" w:eastAsia="zh-CN"/>
        </w:rPr>
      </w:pPr>
      <w:r>
        <w:rPr>
          <w:rFonts w:hint="eastAsia"/>
          <w:szCs w:val="24"/>
          <w:lang w:val="en-US" w:eastAsia="zh-CN"/>
        </w:rPr>
        <w:t>康巴什区30MW分散式风电项目紧邻高新技术产业园区的装备产业园，可就近接入园区变电站，在园区用电负荷范围内消纳。</w:t>
      </w:r>
    </w:p>
    <w:p>
      <w:pPr>
        <w:pageBreakBefore w:val="0"/>
        <w:wordWrap/>
        <w:topLinePunct w:val="0"/>
        <w:bidi w:val="0"/>
        <w:snapToGrid/>
        <w:spacing w:line="240" w:lineRule="auto"/>
      </w:pPr>
      <w:r>
        <w:rPr>
          <w:rFonts w:hint="eastAsia"/>
          <w:lang w:eastAsia="zh-CN"/>
        </w:rPr>
        <w:t>（</w:t>
      </w:r>
      <w:r>
        <w:rPr>
          <w:rFonts w:hint="eastAsia"/>
          <w:lang w:val="en-US" w:eastAsia="zh-CN"/>
        </w:rPr>
        <w:t>5</w:t>
      </w:r>
      <w:r>
        <w:rPr>
          <w:rFonts w:hint="eastAsia"/>
          <w:lang w:eastAsia="zh-CN"/>
        </w:rPr>
        <w:t>）</w:t>
      </w:r>
      <w:r>
        <w:rPr>
          <w:rFonts w:hint="eastAsia"/>
        </w:rPr>
        <w:t>分布式光伏项目</w:t>
      </w:r>
    </w:p>
    <w:p>
      <w:pPr>
        <w:pageBreakBefore w:val="0"/>
        <w:wordWrap/>
        <w:topLinePunct w:val="0"/>
        <w:bidi w:val="0"/>
        <w:snapToGrid/>
        <w:spacing w:line="240" w:lineRule="auto"/>
        <w:rPr>
          <w:rFonts w:eastAsia="方正仿宋_GB2312" w:cs="Times New Roman"/>
        </w:rPr>
      </w:pPr>
      <w:r>
        <w:rPr>
          <w:rFonts w:hint="eastAsia" w:eastAsia="方正仿宋_GB2312" w:cs="Times New Roman"/>
        </w:rPr>
        <w:t>按照就近接入，就地消纳的原则，在符合项目建设要求的区块开发建设分布式光伏。</w:t>
      </w:r>
      <w:r>
        <w:rPr>
          <w:rFonts w:hint="eastAsia" w:eastAsia="方正仿宋_GB2312" w:cs="Times New Roman"/>
          <w:lang w:val="en-US" w:eastAsia="zh-CN"/>
        </w:rPr>
        <w:t>屋顶光伏宜接入建筑配电室就地消纳。</w:t>
      </w:r>
      <w:r>
        <w:rPr>
          <w:rFonts w:hint="eastAsia" w:eastAsia="方正仿宋_GB2312" w:cs="Times New Roman"/>
        </w:rPr>
        <w:t>高速护坡、枢纽分布式光伏项目优先汇集至附近道路服务区、加油站等，通过配套建设充换电及储能装置，形成光储充一体化项目。</w:t>
      </w:r>
    </w:p>
    <w:p>
      <w:pPr>
        <w:keepNext/>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350" w:name="_Toc8272"/>
      <w:bookmarkStart w:id="351" w:name="_Toc20172"/>
      <w:bookmarkStart w:id="352" w:name="_Toc28072"/>
      <w:bookmarkStart w:id="353" w:name="_Toc14893"/>
      <w:bookmarkStart w:id="354" w:name="_Toc9199"/>
      <w:bookmarkStart w:id="355" w:name="_Toc3976"/>
      <w:bookmarkStart w:id="356" w:name="_Toc12960"/>
      <w:bookmarkStart w:id="357" w:name="_Toc11502"/>
      <w:r>
        <w:rPr>
          <w:rFonts w:hint="eastAsia" w:eastAsia="黑体" w:cs="黑体"/>
          <w:snapToGrid w:val="0"/>
          <w:color w:val="000000"/>
          <w:spacing w:val="-2"/>
          <w:kern w:val="0"/>
          <w:szCs w:val="32"/>
        </w:rPr>
        <w:t>十、保障措施</w:t>
      </w:r>
      <w:bookmarkEnd w:id="350"/>
      <w:bookmarkEnd w:id="351"/>
      <w:bookmarkEnd w:id="352"/>
      <w:bookmarkEnd w:id="353"/>
      <w:bookmarkEnd w:id="354"/>
      <w:bookmarkEnd w:id="355"/>
      <w:bookmarkEnd w:id="356"/>
      <w:bookmarkEnd w:id="357"/>
    </w:p>
    <w:p>
      <w:pPr>
        <w:pStyle w:val="28"/>
        <w:pageBreakBefore w:val="0"/>
        <w:wordWrap/>
        <w:topLinePunct w:val="0"/>
        <w:bidi w:val="0"/>
        <w:snapToGrid/>
        <w:spacing w:line="240" w:lineRule="auto"/>
        <w:rPr>
          <w:rFonts w:ascii="Times New Roman" w:hAnsi="Times New Roman"/>
        </w:rPr>
      </w:pPr>
      <w:bookmarkStart w:id="358" w:name="_Toc21085"/>
      <w:bookmarkStart w:id="359" w:name="_Toc7790"/>
      <w:bookmarkStart w:id="360" w:name="_Toc21554"/>
      <w:bookmarkStart w:id="361" w:name="_Toc7489"/>
      <w:bookmarkStart w:id="362" w:name="_Toc31012"/>
      <w:bookmarkStart w:id="363" w:name="_Toc7421"/>
      <w:bookmarkStart w:id="364" w:name="_Toc30596"/>
      <w:bookmarkStart w:id="365" w:name="_Toc29243"/>
      <w:r>
        <w:rPr>
          <w:rFonts w:hint="eastAsia" w:ascii="Times New Roman" w:hAnsi="Times New Roman"/>
        </w:rPr>
        <w:t>（一）</w:t>
      </w:r>
      <w:bookmarkEnd w:id="358"/>
      <w:bookmarkEnd w:id="359"/>
      <w:bookmarkEnd w:id="360"/>
      <w:bookmarkEnd w:id="361"/>
      <w:bookmarkEnd w:id="362"/>
      <w:bookmarkEnd w:id="363"/>
      <w:bookmarkEnd w:id="364"/>
      <w:r>
        <w:rPr>
          <w:rFonts w:hint="eastAsia" w:ascii="Times New Roman" w:hAnsi="Times New Roman"/>
        </w:rPr>
        <w:t>加强组织领导</w:t>
      </w:r>
      <w:bookmarkEnd w:id="365"/>
    </w:p>
    <w:p>
      <w:pPr>
        <w:pageBreakBefore w:val="0"/>
        <w:wordWrap/>
        <w:topLinePunct w:val="0"/>
        <w:bidi w:val="0"/>
        <w:snapToGrid/>
        <w:spacing w:line="240" w:lineRule="auto"/>
        <w:rPr>
          <w:rFonts w:eastAsia="黑体" w:cs="黑体"/>
          <w:snapToGrid w:val="0"/>
          <w:color w:val="000000"/>
          <w:spacing w:val="-2"/>
          <w:kern w:val="0"/>
          <w:sz w:val="30"/>
          <w:szCs w:val="30"/>
        </w:rPr>
      </w:pPr>
      <w:r>
        <w:rPr>
          <w:rFonts w:hint="eastAsia"/>
        </w:rPr>
        <w:t>成立康巴什区新能源发展领导小组，全面负责康巴什区新能源开发进程的统筹协调和整体推进，为新能源发展提供坚强组织保证。强化全区新能源规划的指导作用，相关</w:t>
      </w:r>
      <w:r>
        <w:t>部门</w:t>
      </w:r>
      <w:r>
        <w:rPr>
          <w:rFonts w:hint="eastAsia"/>
        </w:rPr>
        <w:t>要</w:t>
      </w:r>
      <w:r>
        <w:t>强化</w:t>
      </w:r>
      <w:r>
        <w:rPr>
          <w:rFonts w:hint="eastAsia"/>
        </w:rPr>
        <w:t>主体</w:t>
      </w:r>
      <w:r>
        <w:t>责任，</w:t>
      </w:r>
      <w:r>
        <w:rPr>
          <w:rFonts w:hint="eastAsia"/>
        </w:rPr>
        <w:t>将规划</w:t>
      </w:r>
      <w:r>
        <w:t>方案</w:t>
      </w:r>
      <w:r>
        <w:rPr>
          <w:rFonts w:hint="eastAsia"/>
        </w:rPr>
        <w:t>与本地区能源发展规划及相关专项规划相</w:t>
      </w:r>
      <w:r>
        <w:t>衔接，</w:t>
      </w:r>
      <w:r>
        <w:rPr>
          <w:rFonts w:hint="eastAsia"/>
        </w:rPr>
        <w:t>将规划方案</w:t>
      </w:r>
      <w:r>
        <w:t>充分细化并落实到位，</w:t>
      </w:r>
      <w:r>
        <w:rPr>
          <w:rFonts w:hint="eastAsia"/>
        </w:rPr>
        <w:t>实现同向引领、协调推进。坚持上下联动，部门联动，形成合力，助力全市</w:t>
      </w:r>
      <w:r>
        <w:t>新能源高质量</w:t>
      </w:r>
      <w:r>
        <w:rPr>
          <w:rFonts w:hint="eastAsia"/>
        </w:rPr>
        <w:t>发</w:t>
      </w:r>
      <w:r>
        <w:t>展。</w:t>
      </w:r>
    </w:p>
    <w:p>
      <w:pPr>
        <w:pStyle w:val="28"/>
        <w:pageBreakBefore w:val="0"/>
        <w:wordWrap/>
        <w:topLinePunct w:val="0"/>
        <w:bidi w:val="0"/>
        <w:snapToGrid/>
        <w:spacing w:line="240" w:lineRule="auto"/>
        <w:rPr>
          <w:rFonts w:ascii="Times New Roman" w:hAnsi="Times New Roman"/>
        </w:rPr>
      </w:pPr>
      <w:bookmarkStart w:id="366" w:name="_Toc16448"/>
      <w:bookmarkStart w:id="367" w:name="_Toc31753"/>
      <w:bookmarkStart w:id="368" w:name="_Toc16897"/>
      <w:bookmarkStart w:id="369" w:name="_Toc5726"/>
      <w:bookmarkStart w:id="370" w:name="_Toc8668"/>
      <w:bookmarkStart w:id="371" w:name="_Toc13737"/>
      <w:bookmarkStart w:id="372" w:name="_Toc6961"/>
      <w:r>
        <w:rPr>
          <w:rFonts w:hint="eastAsia" w:ascii="Times New Roman" w:hAnsi="Times New Roman"/>
        </w:rPr>
        <w:t>（二）</w:t>
      </w:r>
      <w:bookmarkEnd w:id="366"/>
      <w:bookmarkEnd w:id="367"/>
      <w:bookmarkEnd w:id="368"/>
      <w:bookmarkEnd w:id="369"/>
      <w:bookmarkEnd w:id="370"/>
      <w:bookmarkEnd w:id="371"/>
      <w:r>
        <w:rPr>
          <w:rFonts w:hint="eastAsia" w:ascii="Times New Roman" w:hAnsi="Times New Roman"/>
        </w:rPr>
        <w:t>优化土地配置</w:t>
      </w:r>
      <w:bookmarkEnd w:id="372"/>
    </w:p>
    <w:p>
      <w:pPr>
        <w:pageBreakBefore w:val="0"/>
        <w:wordWrap/>
        <w:topLinePunct w:val="0"/>
        <w:bidi w:val="0"/>
        <w:snapToGrid/>
        <w:spacing w:line="240" w:lineRule="auto"/>
      </w:pPr>
      <w:r>
        <w:rPr>
          <w:rFonts w:hint="eastAsia"/>
        </w:rPr>
        <w:t>充分发挥土地利用总体规划的统筹管控作用，新能源项目用地必须符合土地利用总体规划，严格保护耕地，优先利用沙地、空闲地、荒山荒坡等土地开发新能源项目。</w:t>
      </w:r>
    </w:p>
    <w:p>
      <w:pPr>
        <w:pageBreakBefore w:val="0"/>
        <w:wordWrap/>
        <w:topLinePunct w:val="0"/>
        <w:bidi w:val="0"/>
        <w:snapToGrid/>
        <w:spacing w:line="240" w:lineRule="auto"/>
      </w:pPr>
      <w:r>
        <w:rPr>
          <w:rFonts w:hint="eastAsia"/>
        </w:rPr>
        <w:t>统筹考虑生态环保、林业、土地等方面影响，做好新能源开发与相关规划的衔接。对规划建设的新能源项目，在建设用地指标方面给予重点支持。同时加大节约集约用地力度，严格执行建设用地标准，积极发展板下经济，促进土地利用模式和经济发展方式转变。</w:t>
      </w:r>
    </w:p>
    <w:p>
      <w:pPr>
        <w:pStyle w:val="28"/>
        <w:pageBreakBefore w:val="0"/>
        <w:wordWrap/>
        <w:topLinePunct w:val="0"/>
        <w:bidi w:val="0"/>
        <w:snapToGrid/>
        <w:spacing w:line="240" w:lineRule="auto"/>
        <w:rPr>
          <w:rFonts w:ascii="Times New Roman" w:hAnsi="Times New Roman"/>
        </w:rPr>
      </w:pPr>
      <w:bookmarkStart w:id="373" w:name="_Toc958"/>
      <w:bookmarkStart w:id="374" w:name="_Toc527"/>
      <w:bookmarkStart w:id="375" w:name="_Toc19434"/>
      <w:bookmarkStart w:id="376" w:name="_Toc32233"/>
      <w:bookmarkStart w:id="377" w:name="_Toc7825"/>
      <w:bookmarkStart w:id="378" w:name="_Toc20804"/>
      <w:bookmarkStart w:id="379" w:name="_Toc7374"/>
      <w:r>
        <w:rPr>
          <w:rFonts w:hint="eastAsia" w:ascii="Times New Roman" w:hAnsi="Times New Roman"/>
        </w:rPr>
        <w:t>（三）加强金融财政支持</w:t>
      </w:r>
      <w:bookmarkEnd w:id="373"/>
      <w:bookmarkEnd w:id="374"/>
      <w:bookmarkEnd w:id="375"/>
      <w:bookmarkEnd w:id="376"/>
      <w:bookmarkEnd w:id="377"/>
      <w:bookmarkEnd w:id="378"/>
      <w:bookmarkEnd w:id="379"/>
    </w:p>
    <w:p>
      <w:pPr>
        <w:pageBreakBefore w:val="0"/>
        <w:wordWrap/>
        <w:topLinePunct w:val="0"/>
        <w:bidi w:val="0"/>
        <w:snapToGrid/>
        <w:spacing w:line="240" w:lineRule="auto"/>
        <w:rPr>
          <w:rFonts w:eastAsia="方正楷体_GBK" w:cs="Times New Roman"/>
        </w:rPr>
      </w:pPr>
      <w:r>
        <w:rPr>
          <w:rFonts w:hint="eastAsia"/>
        </w:rPr>
        <w:t>健全完善投融资机制，拓宽投融资渠道，充分发挥政府财政资金作用，对重点示范性项目提供一定的财政支持，带动企业与社会投资，不断扩大投资规模。整合现有政策渠道，完善清洁能源资金支持制度，加大对清洁能源发展的支持力度。继续安排财政预算内投资，支持电网改造升级、供储电设备建设、清洁能源自主创新、清洁能源战略性新兴产业、节能减排等领域发展，研究建立健全可再生能源投入长效机制。创新适应可再生能源产业的融资方式和金融服务模式，建立和完善可再生能源产业链企业信用担保体系，提高中小企业融资能力，扩大融资规模，采取多种手段保障资金需求。</w:t>
      </w:r>
    </w:p>
    <w:p>
      <w:pPr>
        <w:pStyle w:val="28"/>
        <w:pageBreakBefore w:val="0"/>
        <w:wordWrap/>
        <w:topLinePunct w:val="0"/>
        <w:bidi w:val="0"/>
        <w:snapToGrid/>
        <w:spacing w:line="240" w:lineRule="auto"/>
        <w:rPr>
          <w:rFonts w:ascii="Times New Roman" w:hAnsi="Times New Roman"/>
        </w:rPr>
      </w:pPr>
      <w:bookmarkStart w:id="380" w:name="_Toc17570"/>
      <w:bookmarkStart w:id="381" w:name="_Toc26984"/>
      <w:bookmarkStart w:id="382" w:name="_Toc23803"/>
      <w:bookmarkStart w:id="383" w:name="_Toc6027"/>
      <w:bookmarkStart w:id="384" w:name="_Toc9332"/>
      <w:bookmarkStart w:id="385" w:name="_Toc24680"/>
      <w:bookmarkStart w:id="386" w:name="_Toc31782"/>
      <w:bookmarkStart w:id="387" w:name="_Toc12453"/>
      <w:r>
        <w:rPr>
          <w:rFonts w:hint="eastAsia" w:ascii="Times New Roman" w:hAnsi="Times New Roman"/>
        </w:rPr>
        <w:t>（四）统筹源网建设</w:t>
      </w:r>
      <w:bookmarkEnd w:id="380"/>
      <w:bookmarkEnd w:id="381"/>
      <w:bookmarkEnd w:id="382"/>
      <w:bookmarkEnd w:id="383"/>
      <w:bookmarkEnd w:id="384"/>
      <w:bookmarkEnd w:id="385"/>
      <w:bookmarkEnd w:id="386"/>
      <w:bookmarkEnd w:id="387"/>
    </w:p>
    <w:p>
      <w:pPr>
        <w:pageBreakBefore w:val="0"/>
        <w:wordWrap/>
        <w:topLinePunct w:val="0"/>
        <w:bidi w:val="0"/>
        <w:snapToGrid/>
        <w:spacing w:line="240" w:lineRule="auto"/>
        <w:rPr>
          <w:rFonts w:eastAsia="黑体" w:cs="黑体"/>
          <w:snapToGrid w:val="0"/>
          <w:color w:val="000000"/>
          <w:spacing w:val="-2"/>
          <w:kern w:val="0"/>
          <w:sz w:val="30"/>
          <w:szCs w:val="30"/>
        </w:rPr>
      </w:pPr>
      <w:r>
        <w:rPr>
          <w:rFonts w:hint="eastAsia" w:eastAsia="方正仿宋_GB2312" w:cs="Times New Roman"/>
        </w:rPr>
        <w:t>重视新能源开发</w:t>
      </w:r>
      <w:r>
        <w:rPr>
          <w:rFonts w:eastAsia="方正仿宋_GB2312" w:cs="Times New Roman"/>
        </w:rPr>
        <w:t>与电网规划</w:t>
      </w:r>
      <w:r>
        <w:rPr>
          <w:rFonts w:hint="eastAsia" w:eastAsia="方正仿宋_GB2312" w:cs="Times New Roman"/>
        </w:rPr>
        <w:t>相衔接，统筹</w:t>
      </w:r>
      <w:r>
        <w:rPr>
          <w:rFonts w:eastAsia="方正仿宋_GB2312" w:cs="Times New Roman"/>
        </w:rPr>
        <w:t>电网</w:t>
      </w:r>
      <w:r>
        <w:rPr>
          <w:rFonts w:hint="eastAsia" w:eastAsia="方正仿宋_GB2312" w:cs="Times New Roman"/>
        </w:rPr>
        <w:t>发展规划、电力送出通道与</w:t>
      </w:r>
      <w:r>
        <w:rPr>
          <w:rFonts w:eastAsia="方正仿宋_GB2312" w:cs="Times New Roman"/>
        </w:rPr>
        <w:t>新能源</w:t>
      </w:r>
      <w:r>
        <w:rPr>
          <w:rFonts w:hint="eastAsia" w:eastAsia="方正仿宋_GB2312" w:cs="Times New Roman"/>
        </w:rPr>
        <w:t>布局相</w:t>
      </w:r>
      <w:r>
        <w:rPr>
          <w:rFonts w:eastAsia="方正仿宋_GB2312" w:cs="Times New Roman"/>
        </w:rPr>
        <w:t>适应</w:t>
      </w:r>
      <w:r>
        <w:rPr>
          <w:rFonts w:hint="eastAsia" w:eastAsia="方正仿宋_GB2312" w:cs="Times New Roman"/>
        </w:rPr>
        <w:t>。结合不同工程特点和建设周期，衔接好网源建设进度，保障</w:t>
      </w:r>
      <w:r>
        <w:rPr>
          <w:rFonts w:hint="eastAsia" w:eastAsia="方正仿宋_GB2312" w:cs="Times New Roman"/>
          <w:lang w:val="en-US" w:eastAsia="zh-CN"/>
        </w:rPr>
        <w:t>新能源</w:t>
      </w:r>
      <w:r>
        <w:rPr>
          <w:rFonts w:hint="eastAsia" w:eastAsia="方正仿宋_GB2312" w:cs="Times New Roman"/>
        </w:rPr>
        <w:t>项目和配套送出工程同步规划、同步核准、同步建设、同步投运，做到电源与电网协同发展。加强政府与电网企业之间的协调沟通，形成政府引导、市场调节、企业参与的高效联动机制。</w:t>
      </w:r>
    </w:p>
    <w:p>
      <w:pPr>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388" w:name="_Toc11184"/>
      <w:bookmarkStart w:id="389" w:name="_Toc23351"/>
      <w:bookmarkStart w:id="390" w:name="_Toc17212"/>
      <w:bookmarkStart w:id="391" w:name="_Toc19266"/>
      <w:bookmarkStart w:id="392" w:name="_Toc5287"/>
      <w:bookmarkStart w:id="393" w:name="_Toc29766"/>
      <w:bookmarkStart w:id="394" w:name="_Toc4903"/>
      <w:bookmarkStart w:id="395" w:name="_Toc23535"/>
      <w:r>
        <w:rPr>
          <w:rFonts w:hint="eastAsia" w:eastAsia="黑体" w:cs="黑体"/>
          <w:snapToGrid w:val="0"/>
          <w:color w:val="000000"/>
          <w:spacing w:val="-2"/>
          <w:kern w:val="0"/>
          <w:szCs w:val="32"/>
        </w:rPr>
        <w:t>十一、环境影响</w:t>
      </w:r>
      <w:bookmarkEnd w:id="388"/>
      <w:bookmarkEnd w:id="389"/>
      <w:bookmarkEnd w:id="390"/>
      <w:bookmarkEnd w:id="391"/>
      <w:bookmarkEnd w:id="392"/>
      <w:bookmarkEnd w:id="393"/>
      <w:bookmarkEnd w:id="394"/>
      <w:r>
        <w:rPr>
          <w:rFonts w:hint="eastAsia" w:eastAsia="黑体" w:cs="黑体"/>
          <w:snapToGrid w:val="0"/>
          <w:color w:val="000000"/>
          <w:spacing w:val="-2"/>
          <w:kern w:val="0"/>
          <w:szCs w:val="32"/>
        </w:rPr>
        <w:t>评价</w:t>
      </w:r>
      <w:bookmarkEnd w:id="395"/>
    </w:p>
    <w:p>
      <w:pPr>
        <w:pStyle w:val="28"/>
        <w:pageBreakBefore w:val="0"/>
        <w:wordWrap/>
        <w:topLinePunct w:val="0"/>
        <w:bidi w:val="0"/>
        <w:snapToGrid/>
        <w:spacing w:line="240" w:lineRule="auto"/>
        <w:rPr>
          <w:rFonts w:ascii="Times New Roman" w:hAnsi="Times New Roman"/>
        </w:rPr>
      </w:pPr>
      <w:bookmarkStart w:id="396" w:name="_Toc21842"/>
      <w:r>
        <w:rPr>
          <w:rFonts w:hint="eastAsia" w:ascii="Times New Roman" w:hAnsi="Times New Roman"/>
        </w:rPr>
        <w:t>（一）环境</w:t>
      </w:r>
      <w:r>
        <w:rPr>
          <w:rFonts w:ascii="Times New Roman" w:hAnsi="Times New Roman"/>
        </w:rPr>
        <w:t>影响</w:t>
      </w:r>
      <w:r>
        <w:rPr>
          <w:rFonts w:hint="eastAsia" w:ascii="Times New Roman" w:hAnsi="Times New Roman"/>
        </w:rPr>
        <w:t>效益分析</w:t>
      </w:r>
      <w:bookmarkEnd w:id="396"/>
    </w:p>
    <w:p>
      <w:pPr>
        <w:pageBreakBefore w:val="0"/>
        <w:wordWrap/>
        <w:topLinePunct w:val="0"/>
        <w:bidi w:val="0"/>
        <w:snapToGrid/>
        <w:spacing w:line="240" w:lineRule="auto"/>
        <w:rPr>
          <w:rFonts w:eastAsia="方正仿宋_GB2312" w:cs="Times New Roman"/>
        </w:rPr>
      </w:pPr>
      <w:r>
        <w:rPr>
          <w:rFonts w:hint="eastAsia" w:eastAsia="方正仿宋_GB2312" w:cs="Times New Roman"/>
        </w:rPr>
        <w:t>可再生能源开发利用可替代大量化石能源消耗、减少温室气体和污染物排放、显著增加新的就业岗位，对环境和社会发展起到重要且积极作用。太阳能发电在能源生产过程中不排放污染物和温室气体，可显著减少各类化石能源消耗，同时降低煤炭开采的生态破坏和燃煤发电的水资源消耗。</w:t>
      </w:r>
    </w:p>
    <w:p>
      <w:pPr>
        <w:pageBreakBefore w:val="0"/>
        <w:wordWrap/>
        <w:topLinePunct w:val="0"/>
        <w:bidi w:val="0"/>
        <w:snapToGrid/>
        <w:spacing w:line="240" w:lineRule="auto"/>
        <w:rPr>
          <w:rFonts w:eastAsia="方正仿宋_GB2312" w:cs="Times New Roman"/>
        </w:rPr>
      </w:pPr>
      <w:r>
        <w:rPr>
          <w:rFonts w:hint="eastAsia" w:eastAsia="方正仿宋_GB2312" w:cs="Times New Roman"/>
        </w:rPr>
        <w:t>与此同时，新能源项目在建设过程中将会造成扬尘、噪声、废污水以及固体废物等对环境的不利影响。建成后也有可能对生态系统、局部气候、地貌景观等产生一定影响。因此，在项目实施前应严格按照有关法规要求，做好区域资源环境承载能力分析和生态环境影响预测评估，分析论证项目建设的环境影响，提出预防或减轻不良环境影响的政策、管理、技术措施，进一步促进可再生能源开发利用与生态环境保护协调发展。</w:t>
      </w:r>
    </w:p>
    <w:p>
      <w:pPr>
        <w:pageBreakBefore w:val="0"/>
        <w:wordWrap/>
        <w:topLinePunct w:val="0"/>
        <w:bidi w:val="0"/>
        <w:snapToGrid/>
        <w:spacing w:line="240" w:lineRule="auto"/>
        <w:rPr>
          <w:rFonts w:eastAsia="方正仿宋_GB2312" w:cs="Times New Roman"/>
        </w:rPr>
      </w:pPr>
      <w:r>
        <w:rPr>
          <w:rFonts w:hint="eastAsia" w:eastAsia="方正仿宋_GB2312" w:cs="Times New Roman"/>
        </w:rPr>
        <w:t>至2027年，全区每年可再生能源发电量达到2</w:t>
      </w:r>
      <w:r>
        <w:rPr>
          <w:rFonts w:hint="eastAsia" w:eastAsia="方正仿宋_GB2312" w:cs="Times New Roman"/>
          <w:lang w:val="en-US" w:eastAsia="zh-CN"/>
        </w:rPr>
        <w:t>0</w:t>
      </w:r>
      <w:r>
        <w:rPr>
          <w:rFonts w:hint="eastAsia" w:eastAsia="方正仿宋_GB2312" w:cs="Times New Roman"/>
        </w:rPr>
        <w:t>亿千瓦时，每年可减少二氧化碳排放量约</w:t>
      </w:r>
      <w:r>
        <w:rPr>
          <w:rFonts w:hint="eastAsia" w:eastAsia="方正仿宋_GB2312" w:cs="Times New Roman"/>
          <w:lang w:val="en-US" w:eastAsia="zh-CN"/>
        </w:rPr>
        <w:t>164</w:t>
      </w:r>
      <w:r>
        <w:rPr>
          <w:rFonts w:hint="eastAsia" w:eastAsia="方正仿宋_GB2312" w:cs="Times New Roman"/>
        </w:rPr>
        <w:t>万吨，减少二氧化硫排放量约</w:t>
      </w:r>
      <w:r>
        <w:rPr>
          <w:rFonts w:hint="eastAsia" w:eastAsia="方正仿宋_GB2312" w:cs="Times New Roman"/>
          <w:lang w:val="en-US" w:eastAsia="zh-CN"/>
        </w:rPr>
        <w:t>166</w:t>
      </w:r>
      <w:r>
        <w:rPr>
          <w:rFonts w:hint="eastAsia" w:eastAsia="方正仿宋_GB2312" w:cs="Times New Roman"/>
        </w:rPr>
        <w:t>吨，减少氮氧化物排放约</w:t>
      </w:r>
      <w:r>
        <w:rPr>
          <w:rFonts w:hint="eastAsia" w:eastAsia="方正仿宋_GB2312" w:cs="Times New Roman"/>
          <w:lang w:val="en-US" w:eastAsia="zh-CN"/>
        </w:rPr>
        <w:t>266</w:t>
      </w:r>
      <w:r>
        <w:rPr>
          <w:rFonts w:hint="eastAsia" w:eastAsia="方正仿宋_GB2312" w:cs="Times New Roman"/>
        </w:rPr>
        <w:t>吨。</w:t>
      </w:r>
    </w:p>
    <w:p>
      <w:pPr>
        <w:pageBreakBefore w:val="0"/>
        <w:wordWrap/>
        <w:topLinePunct w:val="0"/>
        <w:bidi w:val="0"/>
        <w:snapToGrid/>
        <w:spacing w:line="240" w:lineRule="auto"/>
        <w:rPr>
          <w:rFonts w:eastAsia="方正仿宋_GB2312" w:cs="Times New Roman"/>
        </w:rPr>
      </w:pPr>
      <w:r>
        <w:rPr>
          <w:rFonts w:hint="eastAsia" w:eastAsia="方正仿宋_GB2312" w:cs="Times New Roman"/>
        </w:rPr>
        <w:t>至2035年，若规划项目全部建成，全区每年可再生能源发电量达到约</w:t>
      </w:r>
      <w:r>
        <w:rPr>
          <w:rFonts w:hint="eastAsia" w:eastAsia="方正仿宋_GB2312" w:cs="Times New Roman"/>
          <w:lang w:val="en-US" w:eastAsia="zh-CN"/>
        </w:rPr>
        <w:t>74</w:t>
      </w:r>
      <w:r>
        <w:rPr>
          <w:rFonts w:hint="eastAsia" w:eastAsia="方正仿宋_GB2312" w:cs="Times New Roman"/>
        </w:rPr>
        <w:t>亿千瓦时，每年可减少二氧化碳排放量约</w:t>
      </w:r>
      <w:r>
        <w:rPr>
          <w:rFonts w:hint="eastAsia" w:eastAsia="方正仿宋_GB2312" w:cs="Times New Roman"/>
          <w:lang w:val="en-US" w:eastAsia="zh-CN"/>
        </w:rPr>
        <w:t>610</w:t>
      </w:r>
      <w:r>
        <w:rPr>
          <w:rFonts w:hint="eastAsia" w:eastAsia="方正仿宋_GB2312" w:cs="Times New Roman"/>
        </w:rPr>
        <w:t>万吨，减少二氧化硫排放量约</w:t>
      </w:r>
      <w:r>
        <w:rPr>
          <w:rFonts w:hint="eastAsia" w:eastAsia="方正仿宋_GB2312" w:cs="Times New Roman"/>
          <w:lang w:val="en-US" w:eastAsia="zh-CN"/>
        </w:rPr>
        <w:t>614</w:t>
      </w:r>
      <w:r>
        <w:rPr>
          <w:rFonts w:hint="eastAsia" w:eastAsia="方正仿宋_GB2312" w:cs="Times New Roman"/>
        </w:rPr>
        <w:t>吨，减少氮氧化物排放约</w:t>
      </w:r>
      <w:r>
        <w:rPr>
          <w:rFonts w:hint="eastAsia" w:eastAsia="方正仿宋_GB2312" w:cs="Times New Roman"/>
          <w:lang w:val="en-US" w:eastAsia="zh-CN"/>
        </w:rPr>
        <w:t>984</w:t>
      </w:r>
      <w:r>
        <w:rPr>
          <w:rFonts w:hint="eastAsia" w:eastAsia="方正仿宋_GB2312" w:cs="Times New Roman"/>
        </w:rPr>
        <w:t>吨。</w:t>
      </w:r>
    </w:p>
    <w:p>
      <w:pPr>
        <w:pageBreakBefore w:val="0"/>
        <w:wordWrap/>
        <w:topLinePunct w:val="0"/>
        <w:bidi w:val="0"/>
        <w:snapToGrid/>
        <w:spacing w:line="240" w:lineRule="auto"/>
        <w:rPr>
          <w:rFonts w:eastAsia="方正仿宋_GB2312" w:cs="Times New Roman"/>
        </w:rPr>
      </w:pPr>
      <w:r>
        <w:rPr>
          <w:rFonts w:hint="eastAsia" w:eastAsia="方正仿宋_GB2312" w:cs="方正仿宋_GB2312"/>
        </w:rPr>
        <w:t>此外，每年还可减少大量的灰渣及烟尘排放，节约用水，并减少相应的废水排放，节能减排效益显</w:t>
      </w:r>
      <w:r>
        <w:rPr>
          <w:rFonts w:hint="eastAsia" w:eastAsia="方正仿宋_GB2312" w:cs="Times New Roman"/>
        </w:rPr>
        <w:t>著。</w:t>
      </w:r>
    </w:p>
    <w:p>
      <w:pPr>
        <w:pStyle w:val="28"/>
        <w:pageBreakBefore w:val="0"/>
        <w:wordWrap/>
        <w:topLinePunct w:val="0"/>
        <w:bidi w:val="0"/>
        <w:snapToGrid/>
        <w:spacing w:line="240" w:lineRule="auto"/>
        <w:rPr>
          <w:rFonts w:ascii="Times New Roman" w:hAnsi="Times New Roman"/>
        </w:rPr>
      </w:pPr>
      <w:bookmarkStart w:id="397" w:name="_Toc22069"/>
      <w:r>
        <w:rPr>
          <w:rFonts w:hint="eastAsia" w:ascii="Times New Roman" w:hAnsi="Times New Roman"/>
        </w:rPr>
        <w:t>（二）环境保护措施</w:t>
      </w:r>
      <w:bookmarkEnd w:id="397"/>
    </w:p>
    <w:p>
      <w:pPr>
        <w:pageBreakBefore w:val="0"/>
        <w:wordWrap/>
        <w:topLinePunct w:val="0"/>
        <w:bidi w:val="0"/>
        <w:snapToGrid/>
        <w:spacing w:line="240" w:lineRule="auto"/>
        <w:rPr>
          <w:rFonts w:eastAsia="方正仿宋_GB2312" w:cs="Times New Roman"/>
        </w:rPr>
      </w:pPr>
      <w:r>
        <w:rPr>
          <w:rFonts w:hint="eastAsia" w:eastAsia="方正仿宋_GB2312" w:cs="Times New Roman"/>
        </w:rPr>
        <w:t>加强项目开发设计环节</w:t>
      </w:r>
      <w:r>
        <w:rPr>
          <w:rFonts w:eastAsia="方正仿宋_GB2312" w:cs="Times New Roman"/>
        </w:rPr>
        <w:t>环保</w:t>
      </w:r>
      <w:r>
        <w:rPr>
          <w:rFonts w:hint="eastAsia" w:eastAsia="方正仿宋_GB2312" w:cs="Times New Roman"/>
        </w:rPr>
        <w:t>措施。项目开发严格按照《</w:t>
      </w:r>
      <w:r>
        <w:rPr>
          <w:rFonts w:hint="eastAsia" w:eastAsia="方正仿宋_GB2312" w:cs="Times New Roman"/>
          <w:lang w:eastAsia="zh-CN"/>
        </w:rPr>
        <w:t>中华人民共和国环境影响评价法</w:t>
      </w:r>
      <w:r>
        <w:rPr>
          <w:rFonts w:hint="eastAsia" w:eastAsia="方正仿宋_GB2312" w:cs="Times New Roman"/>
        </w:rPr>
        <w:t>》相关规定开展环境影响评价，尤其是对城市气候、生态环境等方面的影响进行针对性的评估分析。在项目设计过程中，优化技术方案，尽可能减少地表植被破坏，节省土地资源。积极采用低损耗设备材料，结合远景发展合理选择变压器及送出线路容量，避免重复建设。</w:t>
      </w:r>
    </w:p>
    <w:p>
      <w:pPr>
        <w:pageBreakBefore w:val="0"/>
        <w:wordWrap/>
        <w:topLinePunct w:val="0"/>
        <w:bidi w:val="0"/>
        <w:snapToGrid/>
        <w:spacing w:line="240" w:lineRule="auto"/>
        <w:rPr>
          <w:rFonts w:eastAsia="方正仿宋_GB2312" w:cs="Times New Roman"/>
        </w:rPr>
      </w:pPr>
      <w:r>
        <w:rPr>
          <w:rFonts w:hint="eastAsia" w:eastAsia="方正仿宋_GB2312" w:cs="Times New Roman"/>
        </w:rPr>
        <w:t>加强项目建设运维环节环保措施。强化施工期规范管理，加强污水、生活垃圾、固体废物等集中处理处置设施和收运体系建设，落实环境影响评价中提出的各项环保措施。强化运行期环保监测，加快环境监测监控体系及应急处置能力建设，确保项目周边电磁环境、声环境、水环境等指标满足国家标准要求。</w:t>
      </w:r>
    </w:p>
    <w:p>
      <w:pPr>
        <w:pageBreakBefore w:val="0"/>
        <w:wordWrap/>
        <w:topLinePunct w:val="0"/>
        <w:bidi w:val="0"/>
        <w:snapToGrid/>
        <w:spacing w:line="240" w:lineRule="auto"/>
        <w:rPr>
          <w:rFonts w:eastAsia="方正仿宋_GB2312" w:cs="Times New Roman"/>
        </w:rPr>
      </w:pPr>
      <w:r>
        <w:rPr>
          <w:rFonts w:hint="eastAsia" w:eastAsia="方正仿宋_GB2312" w:cs="Times New Roman"/>
        </w:rPr>
        <w:t>本规划的实施对康巴什区的环境影响合理可控，可以促进康巴什区能源转型，实现城市与环境协调发展。</w:t>
      </w:r>
    </w:p>
    <w:sectPr>
      <w:pgSz w:w="11906" w:h="16838"/>
      <w:pgMar w:top="2098" w:right="1474" w:bottom="1984" w:left="1587" w:header="850" w:footer="1417" w:gutter="0"/>
      <w:pgBorders>
        <w:top w:val="none" w:sz="0" w:space="0"/>
        <w:left w:val="none" w:sz="0" w:space="0"/>
        <w:bottom w:val="none" w:sz="0" w:space="0"/>
        <w:right w:val="none" w:sz="0" w:space="0"/>
      </w:pgBorders>
      <w:pgNumType w:fmt="decimal"/>
      <w:cols w:space="0" w:num="1"/>
      <w:rtlGutter w:val="0"/>
      <w:docGrid w:type="linesAndChars" w:linePitch="607" w:charSpace="-1059"/>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51">
      <wne:acd wne:acdName="acd1"/>
    </wne:keymap>
    <wne:keymap wne:kcmPrimary="0257">
      <wne:acd wne:acdName="acd2"/>
    </wne:keymap>
  </wne:keymaps>
  <wne:acds>
    <wne:acd wne:argValue="AQAAAAAA" wne:acdName="acd0" wne:fciIndexBasedOn="0065"/>
    <wne:acd wne:argValue="AgD+VmiI" wne:acdName="acd1" wne:fciIndexBasedOn="0065"/>
    <wne:acd wne:argValue="AgBoiDxohVFXW1NPLQC3XvRdwE4="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90"/>
      </w:pPr>
      <w:r>
        <w:separator/>
      </w:r>
    </w:p>
  </w:endnote>
  <w:endnote w:type="continuationSeparator" w:id="1">
    <w:p>
      <w:pPr>
        <w:ind w:firstLine="59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rebuchet M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小标宋_GBK">
    <w:panose1 w:val="02000000000000000000"/>
    <w:charset w:val="86"/>
    <w:family w:val="auto"/>
    <w:pitch w:val="default"/>
    <w:sig w:usb0="00000001" w:usb1="08000000" w:usb2="00000000" w:usb3="00000000" w:csb0="00040000" w:csb1="00000000"/>
  </w:font>
  <w:font w:name="方正楷体_GB2312">
    <w:altName w:val="方正楷体_GBK"/>
    <w:panose1 w:val="02000000000000000000"/>
    <w:charset w:val="86"/>
    <w:family w:val="auto"/>
    <w:pitch w:val="default"/>
    <w:sig w:usb0="00000000" w:usb1="00000000" w:usb2="00000012" w:usb3="00000000" w:csb0="00040001" w:csb1="00000000"/>
  </w:font>
  <w:font w:name="方正楷体_GBK">
    <w:panose1 w:val="02000000000000000000"/>
    <w:charset w:val="86"/>
    <w:family w:val="script"/>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Arial Black">
    <w:panose1 w:val="020B0A04020102020204"/>
    <w:charset w:val="00"/>
    <w:family w:val="auto"/>
    <w:pitch w:val="default"/>
    <w:sig w:usb0="00000287" w:usb1="00000000" w:usb2="00000000" w:usb3="00000000" w:csb0="2000009F" w:csb1="DFD7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rebuchet MS">
    <w:panose1 w:val="020B0603020202020204"/>
    <w:charset w:val="00"/>
    <w:family w:val="auto"/>
    <w:pitch w:val="default"/>
    <w:sig w:usb0="00000287" w:usb1="00000000" w:usb2="00000000" w:usb3="00000000" w:csb0="2000009F" w:csb1="00000000"/>
  </w:font>
  <w:font w:name="方正宋体S-超大字符集">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ind w:firstLine="0" w:firstLineChars="0"/>
      <w:jc w:val="center"/>
      <w:textAlignment w:val="baseline"/>
      <w:rPr>
        <w:rFonts w:eastAsia="Times New Roman" w:cs="Times New Roman"/>
        <w:snapToGrid w:val="0"/>
        <w:color w:val="000000"/>
        <w:kern w:val="0"/>
        <w:sz w:val="24"/>
        <w:lang w:eastAsia="en-US"/>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ind w:firstLine="0" w:firstLineChars="0"/>
      <w:jc w:val="center"/>
      <w:textAlignment w:val="baseline"/>
      <w:rPr>
        <w:rFonts w:eastAsia="Times New Roman" w:cs="Times New Roman"/>
        <w:snapToGrid w:val="0"/>
        <w:color w:val="000000"/>
        <w:kern w:val="0"/>
        <w:sz w:val="24"/>
        <w:lang w:eastAsia="en-US"/>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87375" cy="243840"/>
              <wp:effectExtent l="0" t="0" r="0" b="0"/>
              <wp:wrapNone/>
              <wp:docPr id="28" name="文本框 28"/>
              <wp:cNvGraphicFramePr/>
              <a:graphic xmlns:a="http://schemas.openxmlformats.org/drawingml/2006/main">
                <a:graphicData uri="http://schemas.microsoft.com/office/word/2010/wordprocessingShape">
                  <wps:wsp>
                    <wps:cNvSpPr txBox="true"/>
                    <wps:spPr>
                      <a:xfrm>
                        <a:off x="0" y="0"/>
                        <a:ext cx="587375" cy="243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jc w:val="center"/>
                            <w:rPr>
                              <w:rFonts w:ascii="仿宋_GB2312" w:hAnsi="仿宋_GB2312" w:cs="仿宋_GB2312"/>
                              <w:sz w:val="24"/>
                              <w:szCs w:val="36"/>
                            </w:rPr>
                          </w:pPr>
                          <w:r>
                            <w:rPr>
                              <w:rFonts w:ascii="仿宋_GB2312" w:hAnsi="仿宋_GB2312" w:cs="仿宋_GB2312"/>
                              <w:sz w:val="24"/>
                              <w:szCs w:val="36"/>
                            </w:rPr>
                            <w:t xml:space="preserve">— </w:t>
                          </w:r>
                          <w:r>
                            <w:rPr>
                              <w:rFonts w:ascii="仿宋_GB2312" w:hAnsi="仿宋_GB2312" w:cs="仿宋_GB2312"/>
                              <w:sz w:val="24"/>
                              <w:szCs w:val="36"/>
                            </w:rPr>
                            <w:fldChar w:fldCharType="begin"/>
                          </w:r>
                          <w:r>
                            <w:rPr>
                              <w:rFonts w:ascii="仿宋_GB2312" w:hAnsi="仿宋_GB2312" w:cs="仿宋_GB2312"/>
                              <w:sz w:val="24"/>
                              <w:szCs w:val="36"/>
                            </w:rPr>
                            <w:instrText xml:space="preserve"> PAGE  \* MERGEFORMAT </w:instrText>
                          </w:r>
                          <w:r>
                            <w:rPr>
                              <w:rFonts w:ascii="仿宋_GB2312" w:hAnsi="仿宋_GB2312" w:cs="仿宋_GB2312"/>
                              <w:sz w:val="24"/>
                              <w:szCs w:val="36"/>
                            </w:rPr>
                            <w:fldChar w:fldCharType="separate"/>
                          </w:r>
                          <w:r>
                            <w:rPr>
                              <w:rFonts w:ascii="仿宋_GB2312" w:hAnsi="仿宋_GB2312" w:cs="仿宋_GB2312"/>
                              <w:sz w:val="24"/>
                              <w:szCs w:val="36"/>
                            </w:rPr>
                            <w:t>27</w:t>
                          </w:r>
                          <w:r>
                            <w:rPr>
                              <w:rFonts w:ascii="仿宋_GB2312" w:hAnsi="仿宋_GB2312" w:cs="仿宋_GB2312"/>
                              <w:sz w:val="24"/>
                              <w:szCs w:val="36"/>
                            </w:rPr>
                            <w:fldChar w:fldCharType="end"/>
                          </w:r>
                          <w:r>
                            <w:rPr>
                              <w:rFonts w:ascii="仿宋_GB2312" w:hAnsi="仿宋_GB2312" w:cs="仿宋_GB2312"/>
                              <w:sz w:val="24"/>
                              <w:szCs w:val="36"/>
                            </w:rPr>
                            <w:t xml:space="preserve"> —</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0pt;height:19.2pt;width:46.25pt;mso-position-horizontal:outside;mso-position-horizontal-relative:margin;z-index:251661312;mso-width-relative:page;mso-height-relative:page;" filled="f" stroked="f" coordsize="21600,21600" o:gfxdata="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SQBOX0wAAAAMBAAAPAAAAAAAAAAEAIAAAADgAAABkcnMvZG93bnJldi54bWxQSwEC&#10;FAAUAAAACACHTuJA/0S/ohwCAAAbBAAADgAAAAAAAAABACAAAAA4AQAAZHJzL2Uyb0RvYy54bWxQ&#10;SwUGAAAAAAYABgBZAQAAxgUAAAAA&#10;">
              <v:fill on="f" focussize="0,0"/>
              <v:stroke on="f" weight="0.5pt"/>
              <v:imagedata o:title=""/>
              <o:lock v:ext="edit" aspectratio="f"/>
              <v:textbox inset="0mm,0mm,0mm,0mm">
                <w:txbxContent>
                  <w:p>
                    <w:pPr>
                      <w:pStyle w:val="10"/>
                      <w:ind w:firstLine="0" w:firstLineChars="0"/>
                      <w:jc w:val="center"/>
                      <w:rPr>
                        <w:rFonts w:ascii="仿宋_GB2312" w:hAnsi="仿宋_GB2312" w:cs="仿宋_GB2312"/>
                        <w:sz w:val="24"/>
                        <w:szCs w:val="36"/>
                      </w:rPr>
                    </w:pPr>
                    <w:r>
                      <w:rPr>
                        <w:rFonts w:ascii="仿宋_GB2312" w:hAnsi="仿宋_GB2312" w:cs="仿宋_GB2312"/>
                        <w:sz w:val="24"/>
                        <w:szCs w:val="36"/>
                      </w:rPr>
                      <w:t xml:space="preserve">— </w:t>
                    </w:r>
                    <w:r>
                      <w:rPr>
                        <w:rFonts w:ascii="仿宋_GB2312" w:hAnsi="仿宋_GB2312" w:cs="仿宋_GB2312"/>
                        <w:sz w:val="24"/>
                        <w:szCs w:val="36"/>
                      </w:rPr>
                      <w:fldChar w:fldCharType="begin"/>
                    </w:r>
                    <w:r>
                      <w:rPr>
                        <w:rFonts w:ascii="仿宋_GB2312" w:hAnsi="仿宋_GB2312" w:cs="仿宋_GB2312"/>
                        <w:sz w:val="24"/>
                        <w:szCs w:val="36"/>
                      </w:rPr>
                      <w:instrText xml:space="preserve"> PAGE  \* MERGEFORMAT </w:instrText>
                    </w:r>
                    <w:r>
                      <w:rPr>
                        <w:rFonts w:ascii="仿宋_GB2312" w:hAnsi="仿宋_GB2312" w:cs="仿宋_GB2312"/>
                        <w:sz w:val="24"/>
                        <w:szCs w:val="36"/>
                      </w:rPr>
                      <w:fldChar w:fldCharType="separate"/>
                    </w:r>
                    <w:r>
                      <w:rPr>
                        <w:rFonts w:ascii="仿宋_GB2312" w:hAnsi="仿宋_GB2312" w:cs="仿宋_GB2312"/>
                        <w:sz w:val="24"/>
                        <w:szCs w:val="36"/>
                      </w:rPr>
                      <w:t>27</w:t>
                    </w:r>
                    <w:r>
                      <w:rPr>
                        <w:rFonts w:ascii="仿宋_GB2312" w:hAnsi="仿宋_GB2312" w:cs="仿宋_GB2312"/>
                        <w:sz w:val="24"/>
                        <w:szCs w:val="36"/>
                      </w:rPr>
                      <w:fldChar w:fldCharType="end"/>
                    </w:r>
                    <w:r>
                      <w:rPr>
                        <w:rFonts w:ascii="仿宋_GB2312" w:hAnsi="仿宋_GB2312" w:cs="仿宋_GB2312"/>
                        <w:sz w:val="24"/>
                        <w:szCs w:val="36"/>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480"/>
                            <w:rPr>
                              <w:rFonts w:ascii="仿宋_GB2312" w:hAnsi="仿宋_GB2312" w:cs="仿宋_GB2312"/>
                              <w:sz w:val="24"/>
                              <w:szCs w:val="24"/>
                            </w:rPr>
                          </w:pPr>
                          <w:r>
                            <w:rPr>
                              <w:rFonts w:ascii="仿宋_GB2312" w:hAnsi="仿宋_GB2312" w:cs="仿宋_GB2312"/>
                              <w:sz w:val="24"/>
                              <w:szCs w:val="24"/>
                            </w:rPr>
                            <w:t xml:space="preserve">— </w:t>
                          </w:r>
                          <w:r>
                            <w:rPr>
                              <w:rFonts w:ascii="仿宋_GB2312" w:hAnsi="仿宋_GB2312" w:cs="仿宋_GB2312"/>
                              <w:sz w:val="24"/>
                              <w:szCs w:val="24"/>
                            </w:rPr>
                            <w:fldChar w:fldCharType="begin"/>
                          </w:r>
                          <w:r>
                            <w:rPr>
                              <w:rFonts w:ascii="仿宋_GB2312" w:hAnsi="仿宋_GB2312" w:cs="仿宋_GB2312"/>
                              <w:sz w:val="24"/>
                              <w:szCs w:val="24"/>
                            </w:rPr>
                            <w:instrText xml:space="preserve"> PAGE  \* MERGEFORMAT </w:instrText>
                          </w:r>
                          <w:r>
                            <w:rPr>
                              <w:rFonts w:ascii="仿宋_GB2312" w:hAnsi="仿宋_GB2312" w:cs="仿宋_GB2312"/>
                              <w:sz w:val="24"/>
                              <w:szCs w:val="24"/>
                            </w:rPr>
                            <w:fldChar w:fldCharType="separate"/>
                          </w:r>
                          <w:r>
                            <w:rPr>
                              <w:rFonts w:ascii="仿宋_GB2312" w:hAnsi="仿宋_GB2312" w:cs="仿宋_GB2312"/>
                              <w:sz w:val="24"/>
                              <w:szCs w:val="24"/>
                            </w:rPr>
                            <w:t>26</w:t>
                          </w:r>
                          <w:r>
                            <w:rPr>
                              <w:rFonts w:ascii="仿宋_GB2312" w:hAnsi="仿宋_GB2312" w:cs="仿宋_GB2312"/>
                              <w:sz w:val="24"/>
                              <w:szCs w:val="24"/>
                            </w:rPr>
                            <w:fldChar w:fldCharType="end"/>
                          </w:r>
                          <w:r>
                            <w:rPr>
                              <w:rFonts w:ascii="仿宋_GB2312" w:hAnsi="仿宋_GB2312" w:cs="仿宋_GB2312"/>
                              <w:sz w:val="24"/>
                              <w:szCs w:val="24"/>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P+zMFgIAABsEAAAOAAAAZHJz&#10;L2Uyb0RvYy54bWytU8uO0zAU3SPxD5b3NGkRo1I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HD/szBYCAAAbBAAADgAAAAAAAAABACAAAAA1AQAAZHJzL2Uyb0RvYy54bWxQSwUGAAAAAAYA&#10;BgBZAQAAvQUAAAAA&#10;">
              <v:fill on="f" focussize="0,0"/>
              <v:stroke on="f" weight="0.5pt"/>
              <v:imagedata o:title=""/>
              <o:lock v:ext="edit" aspectratio="f"/>
              <v:textbox inset="0mm,0mm,0mm,0mm" style="mso-fit-shape-to-text:t;">
                <w:txbxContent>
                  <w:p>
                    <w:pPr>
                      <w:pStyle w:val="10"/>
                      <w:ind w:firstLine="480"/>
                      <w:rPr>
                        <w:rFonts w:ascii="仿宋_GB2312" w:hAnsi="仿宋_GB2312" w:cs="仿宋_GB2312"/>
                        <w:sz w:val="24"/>
                        <w:szCs w:val="24"/>
                      </w:rPr>
                    </w:pPr>
                    <w:r>
                      <w:rPr>
                        <w:rFonts w:ascii="仿宋_GB2312" w:hAnsi="仿宋_GB2312" w:cs="仿宋_GB2312"/>
                        <w:sz w:val="24"/>
                        <w:szCs w:val="24"/>
                      </w:rPr>
                      <w:t xml:space="preserve">— </w:t>
                    </w:r>
                    <w:r>
                      <w:rPr>
                        <w:rFonts w:ascii="仿宋_GB2312" w:hAnsi="仿宋_GB2312" w:cs="仿宋_GB2312"/>
                        <w:sz w:val="24"/>
                        <w:szCs w:val="24"/>
                      </w:rPr>
                      <w:fldChar w:fldCharType="begin"/>
                    </w:r>
                    <w:r>
                      <w:rPr>
                        <w:rFonts w:ascii="仿宋_GB2312" w:hAnsi="仿宋_GB2312" w:cs="仿宋_GB2312"/>
                        <w:sz w:val="24"/>
                        <w:szCs w:val="24"/>
                      </w:rPr>
                      <w:instrText xml:space="preserve"> PAGE  \* MERGEFORMAT </w:instrText>
                    </w:r>
                    <w:r>
                      <w:rPr>
                        <w:rFonts w:ascii="仿宋_GB2312" w:hAnsi="仿宋_GB2312" w:cs="仿宋_GB2312"/>
                        <w:sz w:val="24"/>
                        <w:szCs w:val="24"/>
                      </w:rPr>
                      <w:fldChar w:fldCharType="separate"/>
                    </w:r>
                    <w:r>
                      <w:rPr>
                        <w:rFonts w:ascii="仿宋_GB2312" w:hAnsi="仿宋_GB2312" w:cs="仿宋_GB2312"/>
                        <w:sz w:val="24"/>
                        <w:szCs w:val="24"/>
                      </w:rPr>
                      <w:t>26</w:t>
                    </w:r>
                    <w:r>
                      <w:rPr>
                        <w:rFonts w:ascii="仿宋_GB2312" w:hAnsi="仿宋_GB2312" w:cs="仿宋_GB2312"/>
                        <w:sz w:val="24"/>
                        <w:szCs w:val="24"/>
                      </w:rPr>
                      <w:fldChar w:fldCharType="end"/>
                    </w:r>
                    <w:r>
                      <w:rPr>
                        <w:rFonts w:ascii="仿宋_GB2312" w:hAnsi="仿宋_GB2312" w:cs="仿宋_GB2312"/>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ind w:firstLine="0" w:firstLineChars="0"/>
      <w:jc w:val="center"/>
      <w:textAlignment w:val="baseline"/>
      <w:rPr>
        <w:rFonts w:eastAsia="Times New Roman" w:cs="Times New Roman"/>
        <w:snapToGrid w:val="0"/>
        <w:color w:val="000000"/>
        <w:kern w:val="0"/>
        <w:sz w:val="24"/>
        <w:lang w:eastAsia="en-US"/>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51205" cy="26797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751205" cy="267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jc w:val="center"/>
                            <w:rPr>
                              <w:rFonts w:hint="eastAsia" w:asciiTheme="minorEastAsia" w:hAnsiTheme="minorEastAsia" w:eastAsiaTheme="minorEastAsia" w:cstheme="minorEastAsia"/>
                              <w:sz w:val="24"/>
                              <w:szCs w:val="36"/>
                            </w:rPr>
                          </w:pPr>
                          <w:r>
                            <w:rPr>
                              <w:rFonts w:hint="eastAsia" w:asciiTheme="minorEastAsia" w:hAnsiTheme="minorEastAsia" w:eastAsiaTheme="minorEastAsia" w:cstheme="minorEastAsia"/>
                              <w:sz w:val="24"/>
                              <w:szCs w:val="36"/>
                            </w:rPr>
                            <w:t xml:space="preserve">— </w:t>
                          </w:r>
                          <w:r>
                            <w:rPr>
                              <w:rFonts w:hint="eastAsia" w:asciiTheme="minorEastAsia" w:hAnsiTheme="minorEastAsia" w:eastAsiaTheme="minorEastAsia" w:cstheme="minorEastAsia"/>
                              <w:sz w:val="24"/>
                              <w:szCs w:val="36"/>
                            </w:rPr>
                            <w:fldChar w:fldCharType="begin"/>
                          </w:r>
                          <w:r>
                            <w:rPr>
                              <w:rFonts w:hint="eastAsia" w:asciiTheme="minorEastAsia" w:hAnsiTheme="minorEastAsia" w:eastAsiaTheme="minorEastAsia" w:cstheme="minorEastAsia"/>
                              <w:sz w:val="24"/>
                              <w:szCs w:val="36"/>
                            </w:rPr>
                            <w:instrText xml:space="preserve"> PAGE  \* MERGEFORMAT </w:instrText>
                          </w:r>
                          <w:r>
                            <w:rPr>
                              <w:rFonts w:hint="eastAsia" w:asciiTheme="minorEastAsia" w:hAnsiTheme="minorEastAsia" w:eastAsiaTheme="minorEastAsia" w:cstheme="minorEastAsia"/>
                              <w:sz w:val="24"/>
                              <w:szCs w:val="36"/>
                            </w:rPr>
                            <w:fldChar w:fldCharType="separate"/>
                          </w:r>
                          <w:r>
                            <w:rPr>
                              <w:rFonts w:hint="eastAsia" w:asciiTheme="minorEastAsia" w:hAnsiTheme="minorEastAsia" w:eastAsiaTheme="minorEastAsia" w:cstheme="minorEastAsia"/>
                              <w:sz w:val="24"/>
                              <w:szCs w:val="36"/>
                            </w:rPr>
                            <w:t>1</w:t>
                          </w:r>
                          <w:r>
                            <w:rPr>
                              <w:rFonts w:hint="eastAsia" w:asciiTheme="minorEastAsia" w:hAnsiTheme="minorEastAsia" w:eastAsiaTheme="minorEastAsia" w:cstheme="minorEastAsia"/>
                              <w:sz w:val="24"/>
                              <w:szCs w:val="36"/>
                            </w:rPr>
                            <w:fldChar w:fldCharType="end"/>
                          </w:r>
                          <w:r>
                            <w:rPr>
                              <w:rFonts w:hint="eastAsia" w:asciiTheme="minorEastAsia" w:hAnsiTheme="minorEastAsia" w:eastAsiaTheme="minorEastAsia" w:cstheme="minorEastAsia"/>
                              <w:sz w:val="24"/>
                              <w:szCs w:val="36"/>
                            </w:rPr>
                            <w:t xml:space="preserve"> —</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0pt;height:21.1pt;width:59.15pt;mso-position-horizontal:outside;mso-position-horizontal-relative:margin;z-index:251659264;mso-width-relative:page;mso-height-relative:page;" filled="f" stroked="f" coordsize="21600,21600" o:gfxdata="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dKoQK9QAAAAEAQAADwAAAAAAAAABACAAAAA4AAAAZHJzL2Rvd25yZXYueG1sUEsB&#10;AhQAFAAAAAgAh07iQJquhjIcAgAAGQQAAA4AAAAAAAAAAQAgAAAAOQEAAGRycy9lMm9Eb2MueG1s&#10;UEsFBgAAAAAGAAYAWQEAAMcFAAAAAA==&#10;">
              <v:fill on="f" focussize="0,0"/>
              <v:stroke on="f" weight="0.5pt"/>
              <v:imagedata o:title=""/>
              <o:lock v:ext="edit" aspectratio="f"/>
              <v:textbox inset="0mm,0mm,0mm,0mm">
                <w:txbxContent>
                  <w:p>
                    <w:pPr>
                      <w:pStyle w:val="10"/>
                      <w:ind w:firstLine="0" w:firstLineChars="0"/>
                      <w:jc w:val="center"/>
                      <w:rPr>
                        <w:rFonts w:hint="eastAsia" w:asciiTheme="minorEastAsia" w:hAnsiTheme="minorEastAsia" w:eastAsiaTheme="minorEastAsia" w:cstheme="minorEastAsia"/>
                        <w:sz w:val="24"/>
                        <w:szCs w:val="36"/>
                      </w:rPr>
                    </w:pPr>
                    <w:r>
                      <w:rPr>
                        <w:rFonts w:hint="eastAsia" w:asciiTheme="minorEastAsia" w:hAnsiTheme="minorEastAsia" w:eastAsiaTheme="minorEastAsia" w:cstheme="minorEastAsia"/>
                        <w:sz w:val="24"/>
                        <w:szCs w:val="36"/>
                      </w:rPr>
                      <w:t xml:space="preserve">— </w:t>
                    </w:r>
                    <w:r>
                      <w:rPr>
                        <w:rFonts w:hint="eastAsia" w:asciiTheme="minorEastAsia" w:hAnsiTheme="minorEastAsia" w:eastAsiaTheme="minorEastAsia" w:cstheme="minorEastAsia"/>
                        <w:sz w:val="24"/>
                        <w:szCs w:val="36"/>
                      </w:rPr>
                      <w:fldChar w:fldCharType="begin"/>
                    </w:r>
                    <w:r>
                      <w:rPr>
                        <w:rFonts w:hint="eastAsia" w:asciiTheme="minorEastAsia" w:hAnsiTheme="minorEastAsia" w:eastAsiaTheme="minorEastAsia" w:cstheme="minorEastAsia"/>
                        <w:sz w:val="24"/>
                        <w:szCs w:val="36"/>
                      </w:rPr>
                      <w:instrText xml:space="preserve"> PAGE  \* MERGEFORMAT </w:instrText>
                    </w:r>
                    <w:r>
                      <w:rPr>
                        <w:rFonts w:hint="eastAsia" w:asciiTheme="minorEastAsia" w:hAnsiTheme="minorEastAsia" w:eastAsiaTheme="minorEastAsia" w:cstheme="minorEastAsia"/>
                        <w:sz w:val="24"/>
                        <w:szCs w:val="36"/>
                      </w:rPr>
                      <w:fldChar w:fldCharType="separate"/>
                    </w:r>
                    <w:r>
                      <w:rPr>
                        <w:rFonts w:hint="eastAsia" w:asciiTheme="minorEastAsia" w:hAnsiTheme="minorEastAsia" w:eastAsiaTheme="minorEastAsia" w:cstheme="minorEastAsia"/>
                        <w:sz w:val="24"/>
                        <w:szCs w:val="36"/>
                      </w:rPr>
                      <w:t>1</w:t>
                    </w:r>
                    <w:r>
                      <w:rPr>
                        <w:rFonts w:hint="eastAsia" w:asciiTheme="minorEastAsia" w:hAnsiTheme="minorEastAsia" w:eastAsiaTheme="minorEastAsia" w:cstheme="minorEastAsia"/>
                        <w:sz w:val="24"/>
                        <w:szCs w:val="36"/>
                      </w:rPr>
                      <w:fldChar w:fldCharType="end"/>
                    </w:r>
                    <w:r>
                      <w:rPr>
                        <w:rFonts w:hint="eastAsia" w:asciiTheme="minorEastAsia" w:hAnsiTheme="minorEastAsia" w:eastAsiaTheme="minorEastAsia" w:cstheme="minorEastAsia"/>
                        <w:sz w:val="24"/>
                        <w:szCs w:val="36"/>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1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ind w:firstLine="0" w:firstLineChars="0"/>
      <w:jc w:val="center"/>
      <w:textAlignment w:val="baseline"/>
      <w:rPr>
        <w:rFonts w:eastAsia="Times New Roman" w:cs="Times New Roman"/>
        <w:snapToGrid w:val="0"/>
        <w:color w:val="000000"/>
        <w:kern w:val="0"/>
        <w:sz w:val="24"/>
        <w:lang w:eastAsia="en-US"/>
      </w:rPr>
    </w:pPr>
    <w:r>
      <w:rPr>
        <w:sz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587375" cy="243840"/>
              <wp:effectExtent l="0" t="0" r="0" b="0"/>
              <wp:wrapNone/>
              <wp:docPr id="30" name="文本框 30"/>
              <wp:cNvGraphicFramePr/>
              <a:graphic xmlns:a="http://schemas.openxmlformats.org/drawingml/2006/main">
                <a:graphicData uri="http://schemas.microsoft.com/office/word/2010/wordprocessingShape">
                  <wps:wsp>
                    <wps:cNvSpPr txBox="true"/>
                    <wps:spPr>
                      <a:xfrm>
                        <a:off x="0" y="0"/>
                        <a:ext cx="587375" cy="243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0pt;height:19.2pt;width:46.25pt;mso-position-horizontal:outside;mso-position-horizontal-relative:margin;z-index:251663360;mso-width-relative:page;mso-height-relative:page;" filled="f" stroked="f" coordsize="21600,21600" o:gfxdata="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JJAE5fTAAAAAwEAAA8AAAAAAAAAAQAgAAAAOAAAAGRycy9kb3ducmV2LnhtbFBLAQIU&#10;ABQAAAAIAIdO4kBEgQm1GwIAABsEAAAOAAAAAAAAAAEAIAAAADgBAABkcnMvZTJvRG9jLnhtbFBL&#10;BQYAAAAABgAGAFkBAADFBQAAAAA=&#10;">
              <v:fill on="f" focussize="0,0"/>
              <v:stroke on="f" weight="0.5pt"/>
              <v:imagedata o:title=""/>
              <o:lock v:ext="edit" aspectratio="f"/>
              <v:textbox inset="0mm,0mm,0mm,0mm">
                <w:txbxContent>
                  <w:p>
                    <w:pPr>
                      <w:pStyle w:val="10"/>
                      <w:ind w:firstLine="0" w:firstLineChars="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hp/3ARYCAAAbBAAADgAAAAAAAAABACAAAAA1AQAAZHJzL2Uyb0RvYy54bWxQSwUGAAAAAAYA&#10;BgBZAQAAvQUAAAAA&#10;">
              <v:fill on="f" focussize="0,0"/>
              <v:stroke on="f" weight="0.5pt"/>
              <v:imagedata o:title=""/>
              <o:lock v:ext="edit" aspectratio="f"/>
              <v:textbox inset="0mm,0mm,0mm,0mm" style="mso-fit-shape-to-text:t;">
                <w:txbxContent>
                  <w:p>
                    <w:pPr>
                      <w:pStyle w:val="10"/>
                      <w:ind w:firstLine="0" w:firstLineChars="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ind w:firstLine="0" w:firstLineChars="0"/>
      <w:jc w:val="center"/>
      <w:textAlignment w:val="baseline"/>
      <w:rPr>
        <w:rFonts w:eastAsia="Times New Roman" w:cs="Times New Roman"/>
        <w:snapToGrid w:val="0"/>
        <w:color w:val="000000"/>
        <w:kern w:val="0"/>
        <w:sz w:val="24"/>
        <w:lang w:eastAsia="en-US"/>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87375" cy="594360"/>
              <wp:effectExtent l="0" t="0" r="0" b="0"/>
              <wp:wrapNone/>
              <wp:docPr id="22" name="文本框 22"/>
              <wp:cNvGraphicFramePr/>
              <a:graphic xmlns:a="http://schemas.openxmlformats.org/drawingml/2006/main">
                <a:graphicData uri="http://schemas.microsoft.com/office/word/2010/wordprocessingShape">
                  <wps:wsp>
                    <wps:cNvSpPr txBox="true"/>
                    <wps:spPr>
                      <a:xfrm>
                        <a:off x="0" y="0"/>
                        <a:ext cx="587375" cy="5943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jc w:val="center"/>
                            <w:rPr>
                              <w:rFonts w:ascii="仿宋_GB2312" w:hAnsi="仿宋_GB2312" w:cs="仿宋_GB2312"/>
                              <w:sz w:val="24"/>
                              <w:szCs w:val="36"/>
                            </w:rPr>
                          </w:pPr>
                          <w:r>
                            <w:rPr>
                              <w:rFonts w:ascii="仿宋_GB2312" w:hAnsi="仿宋_GB2312" w:cs="仿宋_GB2312"/>
                              <w:sz w:val="24"/>
                              <w:szCs w:val="36"/>
                            </w:rPr>
                            <w:t xml:space="preserve">— </w:t>
                          </w:r>
                          <w:r>
                            <w:rPr>
                              <w:rFonts w:ascii="仿宋_GB2312" w:hAnsi="仿宋_GB2312" w:cs="仿宋_GB2312"/>
                              <w:sz w:val="24"/>
                              <w:szCs w:val="36"/>
                            </w:rPr>
                            <w:fldChar w:fldCharType="begin"/>
                          </w:r>
                          <w:r>
                            <w:rPr>
                              <w:rFonts w:ascii="仿宋_GB2312" w:hAnsi="仿宋_GB2312" w:cs="仿宋_GB2312"/>
                              <w:sz w:val="24"/>
                              <w:szCs w:val="36"/>
                            </w:rPr>
                            <w:instrText xml:space="preserve"> PAGE  \* MERGEFORMAT </w:instrText>
                          </w:r>
                          <w:r>
                            <w:rPr>
                              <w:rFonts w:ascii="仿宋_GB2312" w:hAnsi="仿宋_GB2312" w:cs="仿宋_GB2312"/>
                              <w:sz w:val="24"/>
                              <w:szCs w:val="36"/>
                            </w:rPr>
                            <w:fldChar w:fldCharType="separate"/>
                          </w:r>
                          <w:r>
                            <w:rPr>
                              <w:rFonts w:ascii="仿宋_GB2312" w:hAnsi="仿宋_GB2312" w:cs="仿宋_GB2312"/>
                              <w:sz w:val="24"/>
                              <w:szCs w:val="36"/>
                            </w:rPr>
                            <w:t>25</w:t>
                          </w:r>
                          <w:r>
                            <w:rPr>
                              <w:rFonts w:ascii="仿宋_GB2312" w:hAnsi="仿宋_GB2312" w:cs="仿宋_GB2312"/>
                              <w:sz w:val="24"/>
                              <w:szCs w:val="36"/>
                            </w:rPr>
                            <w:fldChar w:fldCharType="end"/>
                          </w:r>
                          <w:r>
                            <w:rPr>
                              <w:rFonts w:ascii="仿宋_GB2312" w:hAnsi="仿宋_GB2312" w:cs="仿宋_GB2312"/>
                              <w:sz w:val="24"/>
                              <w:szCs w:val="36"/>
                            </w:rPr>
                            <w:t xml:space="preserve"> —</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0pt;height:46.8pt;width:46.25pt;mso-position-horizontal:outside;mso-position-horizontal-relative:margin;z-index:251660288;mso-width-relative:page;mso-height-relative:page;" filled="f" stroked="f" coordsize="21600,21600" o:gfxdata="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ENXjENMAAAADAQAADwAAAAAAAAABACAAAAA4AAAAZHJzL2Rvd25yZXYueG1sUEsB&#10;AhQAFAAAAAgAh07iQGWVJJ8dAgAAGwQAAA4AAAAAAAAAAQAgAAAAOAEAAGRycy9lMm9Eb2MueG1s&#10;UEsFBgAAAAAGAAYAWQEAAMcFAAAAAA==&#10;">
              <v:fill on="f" focussize="0,0"/>
              <v:stroke on="f" weight="0.5pt"/>
              <v:imagedata o:title=""/>
              <o:lock v:ext="edit" aspectratio="f"/>
              <v:textbox inset="0mm,0mm,0mm,0mm">
                <w:txbxContent>
                  <w:p>
                    <w:pPr>
                      <w:pStyle w:val="10"/>
                      <w:ind w:firstLine="0" w:firstLineChars="0"/>
                      <w:jc w:val="center"/>
                      <w:rPr>
                        <w:rFonts w:ascii="仿宋_GB2312" w:hAnsi="仿宋_GB2312" w:cs="仿宋_GB2312"/>
                        <w:sz w:val="24"/>
                        <w:szCs w:val="36"/>
                      </w:rPr>
                    </w:pPr>
                    <w:r>
                      <w:rPr>
                        <w:rFonts w:ascii="仿宋_GB2312" w:hAnsi="仿宋_GB2312" w:cs="仿宋_GB2312"/>
                        <w:sz w:val="24"/>
                        <w:szCs w:val="36"/>
                      </w:rPr>
                      <w:t xml:space="preserve">— </w:t>
                    </w:r>
                    <w:r>
                      <w:rPr>
                        <w:rFonts w:ascii="仿宋_GB2312" w:hAnsi="仿宋_GB2312" w:cs="仿宋_GB2312"/>
                        <w:sz w:val="24"/>
                        <w:szCs w:val="36"/>
                      </w:rPr>
                      <w:fldChar w:fldCharType="begin"/>
                    </w:r>
                    <w:r>
                      <w:rPr>
                        <w:rFonts w:ascii="仿宋_GB2312" w:hAnsi="仿宋_GB2312" w:cs="仿宋_GB2312"/>
                        <w:sz w:val="24"/>
                        <w:szCs w:val="36"/>
                      </w:rPr>
                      <w:instrText xml:space="preserve"> PAGE  \* MERGEFORMAT </w:instrText>
                    </w:r>
                    <w:r>
                      <w:rPr>
                        <w:rFonts w:ascii="仿宋_GB2312" w:hAnsi="仿宋_GB2312" w:cs="仿宋_GB2312"/>
                        <w:sz w:val="24"/>
                        <w:szCs w:val="36"/>
                      </w:rPr>
                      <w:fldChar w:fldCharType="separate"/>
                    </w:r>
                    <w:r>
                      <w:rPr>
                        <w:rFonts w:ascii="仿宋_GB2312" w:hAnsi="仿宋_GB2312" w:cs="仿宋_GB2312"/>
                        <w:sz w:val="24"/>
                        <w:szCs w:val="36"/>
                      </w:rPr>
                      <w:t>25</w:t>
                    </w:r>
                    <w:r>
                      <w:rPr>
                        <w:rFonts w:ascii="仿宋_GB2312" w:hAnsi="仿宋_GB2312" w:cs="仿宋_GB2312"/>
                        <w:sz w:val="24"/>
                        <w:szCs w:val="36"/>
                      </w:rPr>
                      <w:fldChar w:fldCharType="end"/>
                    </w:r>
                    <w:r>
                      <w:rPr>
                        <w:rFonts w:ascii="仿宋_GB2312" w:hAnsi="仿宋_GB2312" w:cs="仿宋_GB2312"/>
                        <w:sz w:val="24"/>
                        <w:szCs w:val="36"/>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360"/>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B581FgIAABsEAAAOAAAAZHJz&#10;L2Uyb0RvYy54bWytU8uO0zAU3SPxD5b3NGkHRl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mKYxo5OX7+cvv04ff9M&#10;YANArQszxK0dImP32nYVjX4vBleAPY3eSa/TF0MRhADt4wVh0UXCYRxPJ9NpCReHb1BQonj63fkQ&#10;3wirSRIq6rHCjCw73Id4Dh1CUjVjV41SeY3KkLai11e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AefNRYCAAAbBAAADgAAAAAAAAABACAAAAA1AQAAZHJzL2Uyb0RvYy54bWxQSwUGAAAAAAYA&#10;BgBZAQAAvQUAAAAA&#10;">
              <v:fill on="f" focussize="0,0"/>
              <v:stroke on="f" weight="0.5pt"/>
              <v:imagedata o:title=""/>
              <o:lock v:ext="edit" aspectratio="f"/>
              <v:textbox inset="0mm,0mm,0mm,0mm" style="mso-fit-shape-to-text:t;">
                <w:txbxContent>
                  <w:p>
                    <w:pPr>
                      <w:pStyle w:val="10"/>
                      <w:ind w:firstLine="360"/>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90"/>
      </w:pPr>
      <w:r>
        <w:separator/>
      </w:r>
    </w:p>
  </w:footnote>
  <w:footnote w:type="continuationSeparator" w:id="1">
    <w:p>
      <w:pPr>
        <w:ind w:firstLine="59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9C02FC"/>
    <w:multiLevelType w:val="singleLevel"/>
    <w:tmpl w:val="929C02FC"/>
    <w:lvl w:ilvl="0" w:tentative="0">
      <w:start w:val="3"/>
      <w:numFmt w:val="decimal"/>
      <w:suff w:val="nothing"/>
      <w:lvlText w:val="%1、"/>
      <w:lvlJc w:val="left"/>
    </w:lvl>
  </w:abstractNum>
  <w:abstractNum w:abstractNumId="1">
    <w:nsid w:val="538ADEDA"/>
    <w:multiLevelType w:val="singleLevel"/>
    <w:tmpl w:val="538ADED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false"/>
  <w:bordersDoNotSurroundFooter w:val="false"/>
  <w:documentProtection w:enforcement="0"/>
  <w:defaultTabStop w:val="420"/>
  <w:evenAndOddHeaders w:val="true"/>
  <w:drawingGridHorizontalSpacing w:val="147"/>
  <w:drawingGridVerticalSpacing w:val="304"/>
  <w:displayHorizontalDrawingGridEvery w:val="2"/>
  <w:displayVerticalDrawingGridEvery w:val="2"/>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5NjUxYzdiYzgxMTYxOWQ5MTk0MGU4NDkzOWVmY2EifQ=="/>
  </w:docVars>
  <w:rsids>
    <w:rsidRoot w:val="19E845BF"/>
    <w:rsid w:val="000208E2"/>
    <w:rsid w:val="000363D3"/>
    <w:rsid w:val="000530A5"/>
    <w:rsid w:val="000668E1"/>
    <w:rsid w:val="000739AA"/>
    <w:rsid w:val="00090304"/>
    <w:rsid w:val="000C511D"/>
    <w:rsid w:val="000C5B93"/>
    <w:rsid w:val="000D48EA"/>
    <w:rsid w:val="000F206E"/>
    <w:rsid w:val="0017575A"/>
    <w:rsid w:val="00187F6D"/>
    <w:rsid w:val="001A7421"/>
    <w:rsid w:val="001C26B0"/>
    <w:rsid w:val="001F089A"/>
    <w:rsid w:val="001F2794"/>
    <w:rsid w:val="001F519C"/>
    <w:rsid w:val="00202F0B"/>
    <w:rsid w:val="00230BC3"/>
    <w:rsid w:val="0027147E"/>
    <w:rsid w:val="00281069"/>
    <w:rsid w:val="00284739"/>
    <w:rsid w:val="002D39F7"/>
    <w:rsid w:val="002F0C57"/>
    <w:rsid w:val="00307E0D"/>
    <w:rsid w:val="003819CB"/>
    <w:rsid w:val="004225BE"/>
    <w:rsid w:val="0042718F"/>
    <w:rsid w:val="00430D6C"/>
    <w:rsid w:val="00452BBC"/>
    <w:rsid w:val="00454657"/>
    <w:rsid w:val="00495491"/>
    <w:rsid w:val="004B4367"/>
    <w:rsid w:val="004F120B"/>
    <w:rsid w:val="004F1DF5"/>
    <w:rsid w:val="0050679A"/>
    <w:rsid w:val="0051005E"/>
    <w:rsid w:val="00521847"/>
    <w:rsid w:val="00525AA2"/>
    <w:rsid w:val="00552072"/>
    <w:rsid w:val="0055525E"/>
    <w:rsid w:val="00584466"/>
    <w:rsid w:val="005B3132"/>
    <w:rsid w:val="005D0D52"/>
    <w:rsid w:val="005D17A5"/>
    <w:rsid w:val="005E60F6"/>
    <w:rsid w:val="005F78C6"/>
    <w:rsid w:val="00687D43"/>
    <w:rsid w:val="00696EB2"/>
    <w:rsid w:val="006A4E24"/>
    <w:rsid w:val="006A5866"/>
    <w:rsid w:val="006E358C"/>
    <w:rsid w:val="006E6527"/>
    <w:rsid w:val="00705D3C"/>
    <w:rsid w:val="00741CC3"/>
    <w:rsid w:val="00752CBA"/>
    <w:rsid w:val="007843DB"/>
    <w:rsid w:val="00786D93"/>
    <w:rsid w:val="0080445D"/>
    <w:rsid w:val="008220C0"/>
    <w:rsid w:val="00845711"/>
    <w:rsid w:val="00864DAE"/>
    <w:rsid w:val="008803AE"/>
    <w:rsid w:val="0089750C"/>
    <w:rsid w:val="008C0853"/>
    <w:rsid w:val="008F4966"/>
    <w:rsid w:val="009312B6"/>
    <w:rsid w:val="009341D0"/>
    <w:rsid w:val="00992F29"/>
    <w:rsid w:val="009A2761"/>
    <w:rsid w:val="009D4A9E"/>
    <w:rsid w:val="00A12E7A"/>
    <w:rsid w:val="00A31F1B"/>
    <w:rsid w:val="00AF4A92"/>
    <w:rsid w:val="00B3597C"/>
    <w:rsid w:val="00B86EF4"/>
    <w:rsid w:val="00BD415F"/>
    <w:rsid w:val="00C05B96"/>
    <w:rsid w:val="00C21E07"/>
    <w:rsid w:val="00C328F1"/>
    <w:rsid w:val="00C85C3B"/>
    <w:rsid w:val="00C956FD"/>
    <w:rsid w:val="00C97F73"/>
    <w:rsid w:val="00CA25EF"/>
    <w:rsid w:val="00CC260E"/>
    <w:rsid w:val="00CE179E"/>
    <w:rsid w:val="00CF6FB5"/>
    <w:rsid w:val="00D124CE"/>
    <w:rsid w:val="00D45E0D"/>
    <w:rsid w:val="00D45F06"/>
    <w:rsid w:val="00D746E1"/>
    <w:rsid w:val="00D96129"/>
    <w:rsid w:val="00E21276"/>
    <w:rsid w:val="00E34F41"/>
    <w:rsid w:val="00E82EAD"/>
    <w:rsid w:val="00E929FC"/>
    <w:rsid w:val="00EA4DE6"/>
    <w:rsid w:val="00EB658F"/>
    <w:rsid w:val="00EC1056"/>
    <w:rsid w:val="00EC4EEB"/>
    <w:rsid w:val="00ED2ACE"/>
    <w:rsid w:val="00F00EED"/>
    <w:rsid w:val="00F032E8"/>
    <w:rsid w:val="00F31360"/>
    <w:rsid w:val="00F31D75"/>
    <w:rsid w:val="00F33EEC"/>
    <w:rsid w:val="00F8042C"/>
    <w:rsid w:val="00F97326"/>
    <w:rsid w:val="00FA0751"/>
    <w:rsid w:val="00FC404A"/>
    <w:rsid w:val="00FE3021"/>
    <w:rsid w:val="00FF4918"/>
    <w:rsid w:val="00FF5168"/>
    <w:rsid w:val="0113750B"/>
    <w:rsid w:val="01170F11"/>
    <w:rsid w:val="01322983"/>
    <w:rsid w:val="01345E86"/>
    <w:rsid w:val="014F4893"/>
    <w:rsid w:val="01541FBE"/>
    <w:rsid w:val="01A81F1A"/>
    <w:rsid w:val="01AC7D42"/>
    <w:rsid w:val="01C278FE"/>
    <w:rsid w:val="01F4772A"/>
    <w:rsid w:val="02952E1B"/>
    <w:rsid w:val="02C77D57"/>
    <w:rsid w:val="02E32A26"/>
    <w:rsid w:val="03085116"/>
    <w:rsid w:val="03595341"/>
    <w:rsid w:val="03685798"/>
    <w:rsid w:val="03A52A4E"/>
    <w:rsid w:val="03E35AEF"/>
    <w:rsid w:val="047B1554"/>
    <w:rsid w:val="04914307"/>
    <w:rsid w:val="04B70785"/>
    <w:rsid w:val="04ED064B"/>
    <w:rsid w:val="053D3919"/>
    <w:rsid w:val="054B56DF"/>
    <w:rsid w:val="054D5AAF"/>
    <w:rsid w:val="05E27A84"/>
    <w:rsid w:val="063620AD"/>
    <w:rsid w:val="0654426F"/>
    <w:rsid w:val="06567772"/>
    <w:rsid w:val="06CC603E"/>
    <w:rsid w:val="071F71BB"/>
    <w:rsid w:val="07762B7A"/>
    <w:rsid w:val="07957962"/>
    <w:rsid w:val="079600FE"/>
    <w:rsid w:val="079A76B8"/>
    <w:rsid w:val="07D25D65"/>
    <w:rsid w:val="081E2961"/>
    <w:rsid w:val="08822685"/>
    <w:rsid w:val="08C068E7"/>
    <w:rsid w:val="091D7025"/>
    <w:rsid w:val="092A0515"/>
    <w:rsid w:val="095B457F"/>
    <w:rsid w:val="09EC6054"/>
    <w:rsid w:val="0AA27152"/>
    <w:rsid w:val="0AB14A4F"/>
    <w:rsid w:val="0AE71698"/>
    <w:rsid w:val="0AF41CF4"/>
    <w:rsid w:val="0B5F1B77"/>
    <w:rsid w:val="0BDF05C2"/>
    <w:rsid w:val="0C2D4C6D"/>
    <w:rsid w:val="0CA02447"/>
    <w:rsid w:val="0CC84203"/>
    <w:rsid w:val="0D0D7645"/>
    <w:rsid w:val="0D15545B"/>
    <w:rsid w:val="0D4C7ED9"/>
    <w:rsid w:val="0D6671EC"/>
    <w:rsid w:val="0D6C3835"/>
    <w:rsid w:val="0D7E58AD"/>
    <w:rsid w:val="0D7F02AE"/>
    <w:rsid w:val="0D8B77C4"/>
    <w:rsid w:val="0DB642AC"/>
    <w:rsid w:val="0DC42165"/>
    <w:rsid w:val="0DE325EB"/>
    <w:rsid w:val="0DF26CD2"/>
    <w:rsid w:val="0DF42B38"/>
    <w:rsid w:val="0E6F20D1"/>
    <w:rsid w:val="0E720573"/>
    <w:rsid w:val="0E795ACD"/>
    <w:rsid w:val="0E924011"/>
    <w:rsid w:val="0F0767AD"/>
    <w:rsid w:val="0F201964"/>
    <w:rsid w:val="0F5F3EF3"/>
    <w:rsid w:val="0F8F1193"/>
    <w:rsid w:val="1012756E"/>
    <w:rsid w:val="102065CD"/>
    <w:rsid w:val="10390BE8"/>
    <w:rsid w:val="105772C0"/>
    <w:rsid w:val="1065378B"/>
    <w:rsid w:val="107C119C"/>
    <w:rsid w:val="109F30DE"/>
    <w:rsid w:val="10CD1330"/>
    <w:rsid w:val="10D726AD"/>
    <w:rsid w:val="11082CC5"/>
    <w:rsid w:val="11414D1C"/>
    <w:rsid w:val="114958B1"/>
    <w:rsid w:val="11C20769"/>
    <w:rsid w:val="123E24E6"/>
    <w:rsid w:val="12A76ED9"/>
    <w:rsid w:val="12B17AB7"/>
    <w:rsid w:val="12CC7AF2"/>
    <w:rsid w:val="13183E81"/>
    <w:rsid w:val="13244572"/>
    <w:rsid w:val="13257202"/>
    <w:rsid w:val="13267549"/>
    <w:rsid w:val="13484B32"/>
    <w:rsid w:val="135E44C2"/>
    <w:rsid w:val="138244BE"/>
    <w:rsid w:val="13B363E0"/>
    <w:rsid w:val="13BA2D28"/>
    <w:rsid w:val="13DA3D37"/>
    <w:rsid w:val="13E82422"/>
    <w:rsid w:val="13F13611"/>
    <w:rsid w:val="13F641B2"/>
    <w:rsid w:val="1410457B"/>
    <w:rsid w:val="143E2478"/>
    <w:rsid w:val="14534C64"/>
    <w:rsid w:val="145E6E6F"/>
    <w:rsid w:val="1461070D"/>
    <w:rsid w:val="147B114A"/>
    <w:rsid w:val="14C4044E"/>
    <w:rsid w:val="15051734"/>
    <w:rsid w:val="152B21C4"/>
    <w:rsid w:val="152D4AAA"/>
    <w:rsid w:val="154020D1"/>
    <w:rsid w:val="15D16B13"/>
    <w:rsid w:val="16685D83"/>
    <w:rsid w:val="16B9038D"/>
    <w:rsid w:val="16F65238"/>
    <w:rsid w:val="17404A9E"/>
    <w:rsid w:val="17771D30"/>
    <w:rsid w:val="17A10E21"/>
    <w:rsid w:val="17E56F60"/>
    <w:rsid w:val="17EC50AA"/>
    <w:rsid w:val="18095344"/>
    <w:rsid w:val="18104A8B"/>
    <w:rsid w:val="18A84268"/>
    <w:rsid w:val="192E0E31"/>
    <w:rsid w:val="194447E6"/>
    <w:rsid w:val="19DE71F5"/>
    <w:rsid w:val="19E845BF"/>
    <w:rsid w:val="1A1E6C27"/>
    <w:rsid w:val="1A235EC4"/>
    <w:rsid w:val="1A240213"/>
    <w:rsid w:val="1A2C3873"/>
    <w:rsid w:val="1A6360E2"/>
    <w:rsid w:val="1AAA61F8"/>
    <w:rsid w:val="1AE8532A"/>
    <w:rsid w:val="1AE95D60"/>
    <w:rsid w:val="1AF5354A"/>
    <w:rsid w:val="1B0B3181"/>
    <w:rsid w:val="1B62129D"/>
    <w:rsid w:val="1B6A6174"/>
    <w:rsid w:val="1BCB49AC"/>
    <w:rsid w:val="1C646FED"/>
    <w:rsid w:val="1C8F75CE"/>
    <w:rsid w:val="1D2B3667"/>
    <w:rsid w:val="1D37025D"/>
    <w:rsid w:val="1D8437F8"/>
    <w:rsid w:val="1E3B73D2"/>
    <w:rsid w:val="1E7352C5"/>
    <w:rsid w:val="1E8538C5"/>
    <w:rsid w:val="1ECE699F"/>
    <w:rsid w:val="1F4D1FBA"/>
    <w:rsid w:val="1F5350F7"/>
    <w:rsid w:val="1F681861"/>
    <w:rsid w:val="20051698"/>
    <w:rsid w:val="202D6593"/>
    <w:rsid w:val="20360CA0"/>
    <w:rsid w:val="20BB2F53"/>
    <w:rsid w:val="20D52267"/>
    <w:rsid w:val="20FA1CCE"/>
    <w:rsid w:val="210F3D49"/>
    <w:rsid w:val="21246D4B"/>
    <w:rsid w:val="21391E60"/>
    <w:rsid w:val="21454223"/>
    <w:rsid w:val="21661111"/>
    <w:rsid w:val="217A5B68"/>
    <w:rsid w:val="21873C87"/>
    <w:rsid w:val="21CE4EB1"/>
    <w:rsid w:val="21E005D0"/>
    <w:rsid w:val="220D5A31"/>
    <w:rsid w:val="223109A8"/>
    <w:rsid w:val="2265110A"/>
    <w:rsid w:val="22992965"/>
    <w:rsid w:val="22AB7021"/>
    <w:rsid w:val="230D6591"/>
    <w:rsid w:val="233F0BA9"/>
    <w:rsid w:val="23701EA7"/>
    <w:rsid w:val="239740EF"/>
    <w:rsid w:val="23CB5BA3"/>
    <w:rsid w:val="241A1EC3"/>
    <w:rsid w:val="24412907"/>
    <w:rsid w:val="24780862"/>
    <w:rsid w:val="24EA3E07"/>
    <w:rsid w:val="25764F02"/>
    <w:rsid w:val="257A4DA8"/>
    <w:rsid w:val="25A16475"/>
    <w:rsid w:val="25DF4931"/>
    <w:rsid w:val="261B75E1"/>
    <w:rsid w:val="26210078"/>
    <w:rsid w:val="26284769"/>
    <w:rsid w:val="263B7010"/>
    <w:rsid w:val="26D0702D"/>
    <w:rsid w:val="26DB48CD"/>
    <w:rsid w:val="26F740F9"/>
    <w:rsid w:val="27A12394"/>
    <w:rsid w:val="28893937"/>
    <w:rsid w:val="28A605BD"/>
    <w:rsid w:val="28C20383"/>
    <w:rsid w:val="297E7214"/>
    <w:rsid w:val="2987256D"/>
    <w:rsid w:val="29C00AAE"/>
    <w:rsid w:val="29C56BF1"/>
    <w:rsid w:val="29DB2BB8"/>
    <w:rsid w:val="29DF7CB3"/>
    <w:rsid w:val="2A9A4659"/>
    <w:rsid w:val="2AE05406"/>
    <w:rsid w:val="2B4E2C5C"/>
    <w:rsid w:val="2B636650"/>
    <w:rsid w:val="2B7663F5"/>
    <w:rsid w:val="2B9E191F"/>
    <w:rsid w:val="2BD10984"/>
    <w:rsid w:val="2BE7425F"/>
    <w:rsid w:val="2C2373B0"/>
    <w:rsid w:val="2C2801FE"/>
    <w:rsid w:val="2C644C3D"/>
    <w:rsid w:val="2C775033"/>
    <w:rsid w:val="2CB77C44"/>
    <w:rsid w:val="2CFE48F4"/>
    <w:rsid w:val="2D1C2FCC"/>
    <w:rsid w:val="2D533E75"/>
    <w:rsid w:val="2D680B8A"/>
    <w:rsid w:val="2DC25921"/>
    <w:rsid w:val="2DCA53AC"/>
    <w:rsid w:val="2E5D3721"/>
    <w:rsid w:val="2E88718E"/>
    <w:rsid w:val="2EA3508F"/>
    <w:rsid w:val="2ED026DB"/>
    <w:rsid w:val="2EDB6318"/>
    <w:rsid w:val="2EE900C8"/>
    <w:rsid w:val="2F0B6A77"/>
    <w:rsid w:val="2F58713C"/>
    <w:rsid w:val="2F975005"/>
    <w:rsid w:val="2FA01030"/>
    <w:rsid w:val="2FDC10FB"/>
    <w:rsid w:val="2FEC4ED7"/>
    <w:rsid w:val="304D05A1"/>
    <w:rsid w:val="30662EDC"/>
    <w:rsid w:val="30B113A2"/>
    <w:rsid w:val="3106021B"/>
    <w:rsid w:val="3137443C"/>
    <w:rsid w:val="31376F10"/>
    <w:rsid w:val="31A96F11"/>
    <w:rsid w:val="31E91FB0"/>
    <w:rsid w:val="327360B0"/>
    <w:rsid w:val="32951856"/>
    <w:rsid w:val="32D85BFA"/>
    <w:rsid w:val="32F94C33"/>
    <w:rsid w:val="33AB42C3"/>
    <w:rsid w:val="33AE2FE5"/>
    <w:rsid w:val="33ED121E"/>
    <w:rsid w:val="34386CBA"/>
    <w:rsid w:val="34654932"/>
    <w:rsid w:val="348A5DA6"/>
    <w:rsid w:val="349C5DC6"/>
    <w:rsid w:val="34CE54F3"/>
    <w:rsid w:val="35470E02"/>
    <w:rsid w:val="3559374E"/>
    <w:rsid w:val="357532E4"/>
    <w:rsid w:val="357F67EE"/>
    <w:rsid w:val="359D5EDD"/>
    <w:rsid w:val="35C82567"/>
    <w:rsid w:val="364F5AA0"/>
    <w:rsid w:val="36DD0453"/>
    <w:rsid w:val="36FC2055"/>
    <w:rsid w:val="3702134C"/>
    <w:rsid w:val="371371EE"/>
    <w:rsid w:val="372B2789"/>
    <w:rsid w:val="373B6744"/>
    <w:rsid w:val="375B2943"/>
    <w:rsid w:val="376B32F9"/>
    <w:rsid w:val="37877318"/>
    <w:rsid w:val="37A360D2"/>
    <w:rsid w:val="37AB3FC3"/>
    <w:rsid w:val="37B90E7A"/>
    <w:rsid w:val="381A45AC"/>
    <w:rsid w:val="386D639F"/>
    <w:rsid w:val="387A0BC4"/>
    <w:rsid w:val="398C14D9"/>
    <w:rsid w:val="39A74821"/>
    <w:rsid w:val="3A5D4951"/>
    <w:rsid w:val="3AA12D62"/>
    <w:rsid w:val="3BB05953"/>
    <w:rsid w:val="3BF746F2"/>
    <w:rsid w:val="3C377B0A"/>
    <w:rsid w:val="3C410359"/>
    <w:rsid w:val="3C780106"/>
    <w:rsid w:val="3C907D69"/>
    <w:rsid w:val="3CE30B70"/>
    <w:rsid w:val="3D1F2CF5"/>
    <w:rsid w:val="3D3B307D"/>
    <w:rsid w:val="3D8E75CE"/>
    <w:rsid w:val="3DC75867"/>
    <w:rsid w:val="3DE445E0"/>
    <w:rsid w:val="3DF24054"/>
    <w:rsid w:val="3DFD4754"/>
    <w:rsid w:val="3EAD7F28"/>
    <w:rsid w:val="3EFE3365"/>
    <w:rsid w:val="3F214472"/>
    <w:rsid w:val="3F23468E"/>
    <w:rsid w:val="3F3073B8"/>
    <w:rsid w:val="3F763DCF"/>
    <w:rsid w:val="3F7A3AC2"/>
    <w:rsid w:val="3FCE2739"/>
    <w:rsid w:val="3FD309CC"/>
    <w:rsid w:val="402A5051"/>
    <w:rsid w:val="40714F85"/>
    <w:rsid w:val="40803861"/>
    <w:rsid w:val="40A05660"/>
    <w:rsid w:val="410127AD"/>
    <w:rsid w:val="41586871"/>
    <w:rsid w:val="41B56206"/>
    <w:rsid w:val="420454DD"/>
    <w:rsid w:val="42332EA8"/>
    <w:rsid w:val="42D00689"/>
    <w:rsid w:val="43A3453E"/>
    <w:rsid w:val="44507CD3"/>
    <w:rsid w:val="447A1B98"/>
    <w:rsid w:val="44DF3D8B"/>
    <w:rsid w:val="44F55F2E"/>
    <w:rsid w:val="4525759F"/>
    <w:rsid w:val="453D6487"/>
    <w:rsid w:val="45972207"/>
    <w:rsid w:val="4599778D"/>
    <w:rsid w:val="459C4852"/>
    <w:rsid w:val="45AD6A5F"/>
    <w:rsid w:val="46317EB5"/>
    <w:rsid w:val="46521A6E"/>
    <w:rsid w:val="468F024E"/>
    <w:rsid w:val="46D52CF0"/>
    <w:rsid w:val="46F21DA3"/>
    <w:rsid w:val="4703102D"/>
    <w:rsid w:val="47160645"/>
    <w:rsid w:val="474A246F"/>
    <w:rsid w:val="475A0C1C"/>
    <w:rsid w:val="477261B2"/>
    <w:rsid w:val="47EA75BC"/>
    <w:rsid w:val="47EF335F"/>
    <w:rsid w:val="48017E7F"/>
    <w:rsid w:val="4819662E"/>
    <w:rsid w:val="482A5A71"/>
    <w:rsid w:val="482C2CFE"/>
    <w:rsid w:val="48377244"/>
    <w:rsid w:val="490C3453"/>
    <w:rsid w:val="492A0B3A"/>
    <w:rsid w:val="493B38CB"/>
    <w:rsid w:val="495335C6"/>
    <w:rsid w:val="499566E9"/>
    <w:rsid w:val="49A82F0A"/>
    <w:rsid w:val="49AF35EF"/>
    <w:rsid w:val="49BE170B"/>
    <w:rsid w:val="49EF1EDA"/>
    <w:rsid w:val="4A111EA9"/>
    <w:rsid w:val="4A241E76"/>
    <w:rsid w:val="4A2C7F9A"/>
    <w:rsid w:val="4A6C0C97"/>
    <w:rsid w:val="4A8D525B"/>
    <w:rsid w:val="4B275459"/>
    <w:rsid w:val="4BDB17F8"/>
    <w:rsid w:val="4C036058"/>
    <w:rsid w:val="4C251041"/>
    <w:rsid w:val="4C81531A"/>
    <w:rsid w:val="4CAA019C"/>
    <w:rsid w:val="4CE566B4"/>
    <w:rsid w:val="4D0D1EA9"/>
    <w:rsid w:val="4D2F65AE"/>
    <w:rsid w:val="4D7C71A3"/>
    <w:rsid w:val="4D8E361A"/>
    <w:rsid w:val="4DC065E4"/>
    <w:rsid w:val="4E93713A"/>
    <w:rsid w:val="4F4C1097"/>
    <w:rsid w:val="4F7D74A2"/>
    <w:rsid w:val="4F7E2911"/>
    <w:rsid w:val="4F8922EB"/>
    <w:rsid w:val="4FD41318"/>
    <w:rsid w:val="4FED07B1"/>
    <w:rsid w:val="501E0C85"/>
    <w:rsid w:val="5029741E"/>
    <w:rsid w:val="50704A07"/>
    <w:rsid w:val="507408A5"/>
    <w:rsid w:val="50BE73D4"/>
    <w:rsid w:val="50ED7854"/>
    <w:rsid w:val="50F81776"/>
    <w:rsid w:val="511B3176"/>
    <w:rsid w:val="51317043"/>
    <w:rsid w:val="515B37E5"/>
    <w:rsid w:val="51725CD6"/>
    <w:rsid w:val="51AD69A7"/>
    <w:rsid w:val="51D75C3A"/>
    <w:rsid w:val="51DA6E3C"/>
    <w:rsid w:val="51DD247A"/>
    <w:rsid w:val="5217023B"/>
    <w:rsid w:val="523D116B"/>
    <w:rsid w:val="525B20A6"/>
    <w:rsid w:val="527B7DD1"/>
    <w:rsid w:val="52B03D1D"/>
    <w:rsid w:val="52BB4D6D"/>
    <w:rsid w:val="52D33616"/>
    <w:rsid w:val="53462E45"/>
    <w:rsid w:val="534F12BA"/>
    <w:rsid w:val="53667057"/>
    <w:rsid w:val="53F57F4F"/>
    <w:rsid w:val="53FC7156"/>
    <w:rsid w:val="540B32CF"/>
    <w:rsid w:val="54190C85"/>
    <w:rsid w:val="54495057"/>
    <w:rsid w:val="54566E06"/>
    <w:rsid w:val="54667B16"/>
    <w:rsid w:val="54837F84"/>
    <w:rsid w:val="548A7B7A"/>
    <w:rsid w:val="54AA7B4B"/>
    <w:rsid w:val="54BA370A"/>
    <w:rsid w:val="54F70E74"/>
    <w:rsid w:val="5556750C"/>
    <w:rsid w:val="555B0786"/>
    <w:rsid w:val="557D3DCF"/>
    <w:rsid w:val="558477DD"/>
    <w:rsid w:val="55B53F29"/>
    <w:rsid w:val="55BA03B1"/>
    <w:rsid w:val="561C4BD2"/>
    <w:rsid w:val="562763BA"/>
    <w:rsid w:val="56964306"/>
    <w:rsid w:val="56CA420E"/>
    <w:rsid w:val="57353838"/>
    <w:rsid w:val="57566F57"/>
    <w:rsid w:val="58240E03"/>
    <w:rsid w:val="58754A86"/>
    <w:rsid w:val="58A315BC"/>
    <w:rsid w:val="58AE6C63"/>
    <w:rsid w:val="58B71FF6"/>
    <w:rsid w:val="58DA0585"/>
    <w:rsid w:val="59126513"/>
    <w:rsid w:val="593D15AA"/>
    <w:rsid w:val="59B07FB1"/>
    <w:rsid w:val="5A584D94"/>
    <w:rsid w:val="5AEA6A34"/>
    <w:rsid w:val="5AF24790"/>
    <w:rsid w:val="5B1038C0"/>
    <w:rsid w:val="5B435A44"/>
    <w:rsid w:val="5B670750"/>
    <w:rsid w:val="5B6F1A7E"/>
    <w:rsid w:val="5BC62396"/>
    <w:rsid w:val="5BE523F7"/>
    <w:rsid w:val="5D094A6B"/>
    <w:rsid w:val="5D303DA6"/>
    <w:rsid w:val="5D327BBC"/>
    <w:rsid w:val="5D4D621E"/>
    <w:rsid w:val="5D5071A3"/>
    <w:rsid w:val="5D7A3273"/>
    <w:rsid w:val="5DD020C5"/>
    <w:rsid w:val="5E063EF5"/>
    <w:rsid w:val="5E072973"/>
    <w:rsid w:val="5E417850"/>
    <w:rsid w:val="5E4C523B"/>
    <w:rsid w:val="5E812D98"/>
    <w:rsid w:val="5F044E26"/>
    <w:rsid w:val="5F155949"/>
    <w:rsid w:val="5F274BAB"/>
    <w:rsid w:val="5F2B0CE6"/>
    <w:rsid w:val="5FD96BCD"/>
    <w:rsid w:val="5FE137DD"/>
    <w:rsid w:val="603A247B"/>
    <w:rsid w:val="606C1599"/>
    <w:rsid w:val="60886DD2"/>
    <w:rsid w:val="60AA3E6F"/>
    <w:rsid w:val="60B66CB8"/>
    <w:rsid w:val="60CB2763"/>
    <w:rsid w:val="60D657EB"/>
    <w:rsid w:val="611C5F5F"/>
    <w:rsid w:val="614668E5"/>
    <w:rsid w:val="615C5E6A"/>
    <w:rsid w:val="61AC7DCD"/>
    <w:rsid w:val="61AF3E33"/>
    <w:rsid w:val="61FE26C5"/>
    <w:rsid w:val="62390CB6"/>
    <w:rsid w:val="623B30C1"/>
    <w:rsid w:val="628D4323"/>
    <w:rsid w:val="632F4ED2"/>
    <w:rsid w:val="63ED3EFD"/>
    <w:rsid w:val="63FE5A0F"/>
    <w:rsid w:val="64267CB1"/>
    <w:rsid w:val="643B7DBF"/>
    <w:rsid w:val="645A2C90"/>
    <w:rsid w:val="646033D5"/>
    <w:rsid w:val="64814AC2"/>
    <w:rsid w:val="64BA10A7"/>
    <w:rsid w:val="6511265D"/>
    <w:rsid w:val="652A2B44"/>
    <w:rsid w:val="657E5CDA"/>
    <w:rsid w:val="65827169"/>
    <w:rsid w:val="65AB624B"/>
    <w:rsid w:val="65C92F03"/>
    <w:rsid w:val="669C69A3"/>
    <w:rsid w:val="66C33328"/>
    <w:rsid w:val="67D04F6F"/>
    <w:rsid w:val="67E13E17"/>
    <w:rsid w:val="680B32BF"/>
    <w:rsid w:val="683D2DF7"/>
    <w:rsid w:val="68831C28"/>
    <w:rsid w:val="68A04E37"/>
    <w:rsid w:val="68DC0114"/>
    <w:rsid w:val="69124CA8"/>
    <w:rsid w:val="6917697D"/>
    <w:rsid w:val="6931512E"/>
    <w:rsid w:val="697D624E"/>
    <w:rsid w:val="69944010"/>
    <w:rsid w:val="699E5A5F"/>
    <w:rsid w:val="69AE2C22"/>
    <w:rsid w:val="69D424D5"/>
    <w:rsid w:val="6A727724"/>
    <w:rsid w:val="6A7D0E05"/>
    <w:rsid w:val="6AC22533"/>
    <w:rsid w:val="6AD31E30"/>
    <w:rsid w:val="6B090729"/>
    <w:rsid w:val="6B1677C8"/>
    <w:rsid w:val="6B551871"/>
    <w:rsid w:val="6B66539E"/>
    <w:rsid w:val="6B6E412F"/>
    <w:rsid w:val="6B9C7C98"/>
    <w:rsid w:val="6BA53BB1"/>
    <w:rsid w:val="6C130BDB"/>
    <w:rsid w:val="6C21614A"/>
    <w:rsid w:val="6CAF092F"/>
    <w:rsid w:val="6CCE79D9"/>
    <w:rsid w:val="6D016666"/>
    <w:rsid w:val="6D197459"/>
    <w:rsid w:val="6D2172DA"/>
    <w:rsid w:val="6D346242"/>
    <w:rsid w:val="6D402C3B"/>
    <w:rsid w:val="6E3D6323"/>
    <w:rsid w:val="6E6B2034"/>
    <w:rsid w:val="6EDF0268"/>
    <w:rsid w:val="6EEE586F"/>
    <w:rsid w:val="6F3A3986"/>
    <w:rsid w:val="6F911376"/>
    <w:rsid w:val="6FF06C92"/>
    <w:rsid w:val="6FFC7510"/>
    <w:rsid w:val="700C165D"/>
    <w:rsid w:val="700C3CDF"/>
    <w:rsid w:val="706C7BE2"/>
    <w:rsid w:val="7082711C"/>
    <w:rsid w:val="709A00CB"/>
    <w:rsid w:val="709F5073"/>
    <w:rsid w:val="70B07280"/>
    <w:rsid w:val="712F289B"/>
    <w:rsid w:val="71621D65"/>
    <w:rsid w:val="718C6759"/>
    <w:rsid w:val="720640DE"/>
    <w:rsid w:val="721F41A5"/>
    <w:rsid w:val="72942CBE"/>
    <w:rsid w:val="72E827D6"/>
    <w:rsid w:val="73337131"/>
    <w:rsid w:val="739C09DF"/>
    <w:rsid w:val="74420F34"/>
    <w:rsid w:val="74634609"/>
    <w:rsid w:val="7484619F"/>
    <w:rsid w:val="74D516B9"/>
    <w:rsid w:val="74F53273"/>
    <w:rsid w:val="75093403"/>
    <w:rsid w:val="75837A17"/>
    <w:rsid w:val="75976C60"/>
    <w:rsid w:val="75A629FF"/>
    <w:rsid w:val="75B410CE"/>
    <w:rsid w:val="75EE3FB9"/>
    <w:rsid w:val="762D3121"/>
    <w:rsid w:val="769A6A08"/>
    <w:rsid w:val="76CA4E14"/>
    <w:rsid w:val="76EA40E5"/>
    <w:rsid w:val="773A43A6"/>
    <w:rsid w:val="779437BB"/>
    <w:rsid w:val="77951E62"/>
    <w:rsid w:val="779821C1"/>
    <w:rsid w:val="779942B7"/>
    <w:rsid w:val="7818598B"/>
    <w:rsid w:val="78213568"/>
    <w:rsid w:val="782B0837"/>
    <w:rsid w:val="78994A9D"/>
    <w:rsid w:val="79317E37"/>
    <w:rsid w:val="79B2086A"/>
    <w:rsid w:val="79FD4A60"/>
    <w:rsid w:val="7A2860D9"/>
    <w:rsid w:val="7A46546C"/>
    <w:rsid w:val="7A5672B5"/>
    <w:rsid w:val="7AB5465D"/>
    <w:rsid w:val="7AED1D3E"/>
    <w:rsid w:val="7AFC2853"/>
    <w:rsid w:val="7B0B3302"/>
    <w:rsid w:val="7B1824C2"/>
    <w:rsid w:val="7B334F2B"/>
    <w:rsid w:val="7B446F42"/>
    <w:rsid w:val="7B5F5404"/>
    <w:rsid w:val="7B8E744C"/>
    <w:rsid w:val="7BA66BCB"/>
    <w:rsid w:val="7C286EE2"/>
    <w:rsid w:val="7C425B83"/>
    <w:rsid w:val="7C640B20"/>
    <w:rsid w:val="7CC61E79"/>
    <w:rsid w:val="7D2F3A6C"/>
    <w:rsid w:val="7D983576"/>
    <w:rsid w:val="7DF64C65"/>
    <w:rsid w:val="7E002EC9"/>
    <w:rsid w:val="7E0B5A63"/>
    <w:rsid w:val="7E1B25DC"/>
    <w:rsid w:val="7E547594"/>
    <w:rsid w:val="7E7B5877"/>
    <w:rsid w:val="7E8A55B4"/>
    <w:rsid w:val="7EED4FEF"/>
    <w:rsid w:val="7F115EF1"/>
    <w:rsid w:val="7F2552DD"/>
    <w:rsid w:val="7F55391D"/>
    <w:rsid w:val="7F8B38CC"/>
    <w:rsid w:val="7FC527AC"/>
    <w:rsid w:val="7FCF6FF7"/>
    <w:rsid w:val="7FFE5E09"/>
    <w:rsid w:val="FD7D2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0" w:firstLineChars="200"/>
      <w:jc w:val="both"/>
    </w:pPr>
    <w:rPr>
      <w:rFonts w:ascii="Times New Roman" w:hAnsi="Times New Roman" w:eastAsia="仿宋_GB2312" w:cs="宋体"/>
      <w:kern w:val="2"/>
      <w:sz w:val="30"/>
      <w:szCs w:val="22"/>
      <w:lang w:val="en-US" w:eastAsia="zh-CN" w:bidi="ar-SA"/>
    </w:rPr>
  </w:style>
  <w:style w:type="paragraph" w:styleId="2">
    <w:name w:val="heading 1"/>
    <w:basedOn w:val="1"/>
    <w:next w:val="1"/>
    <w:qFormat/>
    <w:uiPriority w:val="0"/>
    <w:pPr>
      <w:keepNext/>
      <w:keepLines/>
      <w:spacing w:before="340" w:after="90"/>
      <w:ind w:firstLine="0" w:firstLineChars="0"/>
      <w:outlineLvl w:val="0"/>
    </w:pPr>
    <w:rPr>
      <w:rFonts w:eastAsia="黑体"/>
      <w:kern w:val="44"/>
    </w:rPr>
  </w:style>
  <w:style w:type="paragraph" w:styleId="3">
    <w:name w:val="heading 2"/>
    <w:basedOn w:val="1"/>
    <w:next w:val="1"/>
    <w:unhideWhenUsed/>
    <w:qFormat/>
    <w:uiPriority w:val="0"/>
    <w:pPr>
      <w:keepNext/>
      <w:snapToGrid w:val="0"/>
      <w:spacing w:line="600" w:lineRule="exact"/>
      <w:ind w:firstLine="640" w:firstLineChars="200"/>
      <w:outlineLvl w:val="1"/>
    </w:pPr>
    <w:rPr>
      <w:rFonts w:ascii="楷体_GB2312" w:hAnsi="楷体_GB2312" w:eastAsia="楷体_GB2312" w:cs="楷体_GB2312"/>
      <w:bCs/>
      <w:kern w:val="0"/>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5"/>
    <w:qFormat/>
    <w:uiPriority w:val="0"/>
    <w:pPr>
      <w:ind w:firstLine="420" w:firstLineChars="0"/>
    </w:pPr>
    <w:rPr>
      <w:rFonts w:eastAsia="宋体"/>
      <w:kern w:val="0"/>
      <w:sz w:val="20"/>
      <w:szCs w:val="21"/>
    </w:rPr>
  </w:style>
  <w:style w:type="paragraph" w:styleId="5">
    <w:name w:val="annotation text"/>
    <w:basedOn w:val="1"/>
    <w:link w:val="20"/>
    <w:qFormat/>
    <w:uiPriority w:val="0"/>
    <w:pPr>
      <w:jc w:val="left"/>
    </w:pPr>
  </w:style>
  <w:style w:type="paragraph" w:styleId="6">
    <w:name w:val="Body Text"/>
    <w:basedOn w:val="1"/>
    <w:link w:val="26"/>
    <w:unhideWhenUsed/>
    <w:qFormat/>
    <w:uiPriority w:val="99"/>
    <w:pPr>
      <w:spacing w:after="120"/>
      <w:ind w:firstLine="0" w:firstLineChars="0"/>
    </w:pPr>
    <w:rPr>
      <w:rFonts w:ascii="Calibri" w:hAnsi="Calibri" w:eastAsia="宋体"/>
      <w:sz w:val="21"/>
    </w:rPr>
  </w:style>
  <w:style w:type="paragraph" w:styleId="7">
    <w:name w:val="Body Text Indent"/>
    <w:basedOn w:val="1"/>
    <w:next w:val="8"/>
    <w:qFormat/>
    <w:uiPriority w:val="0"/>
    <w:pPr>
      <w:ind w:right="1281" w:firstLine="570"/>
    </w:pPr>
    <w:rPr>
      <w:sz w:val="28"/>
    </w:rPr>
  </w:style>
  <w:style w:type="paragraph" w:styleId="8">
    <w:name w:val="Body Text First Indent 2"/>
    <w:basedOn w:val="7"/>
    <w:next w:val="1"/>
    <w:qFormat/>
    <w:uiPriority w:val="0"/>
    <w:pPr>
      <w:adjustRightInd w:val="0"/>
      <w:spacing w:after="120" w:line="312" w:lineRule="atLeast"/>
      <w:ind w:left="420" w:leftChars="200" w:right="0" w:firstLine="420"/>
      <w:textAlignment w:val="baseline"/>
    </w:pPr>
    <w:rPr>
      <w:kern w:val="0"/>
      <w:sz w:val="21"/>
    </w:rPr>
  </w:style>
  <w:style w:type="paragraph" w:styleId="9">
    <w:name w:val="Balloon Text"/>
    <w:basedOn w:val="1"/>
    <w:link w:val="22"/>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pPr>
      <w:tabs>
        <w:tab w:val="right" w:leader="dot" w:pos="8306"/>
      </w:tabs>
      <w:ind w:firstLine="0" w:firstLineChars="0"/>
    </w:pPr>
    <w:rPr>
      <w:rFonts w:eastAsia="微软雅黑" w:cs="微软雅黑"/>
      <w:snapToGrid w:val="0"/>
      <w:spacing w:val="-2"/>
      <w:kern w:val="0"/>
      <w:szCs w:val="28"/>
    </w:rPr>
  </w:style>
  <w:style w:type="paragraph" w:styleId="13">
    <w:name w:val="Subtitle"/>
    <w:basedOn w:val="1"/>
    <w:next w:val="1"/>
    <w:link w:val="32"/>
    <w:qFormat/>
    <w:uiPriority w:val="0"/>
    <w:pPr>
      <w:spacing w:before="240" w:after="60" w:line="312" w:lineRule="atLeast"/>
      <w:jc w:val="center"/>
      <w:outlineLvl w:val="1"/>
    </w:pPr>
    <w:rPr>
      <w:rFonts w:asciiTheme="minorHAnsi" w:hAnsiTheme="minorHAnsi" w:eastAsiaTheme="minorEastAsia"/>
      <w:b/>
      <w:bCs/>
      <w:kern w:val="28"/>
      <w:szCs w:val="32"/>
    </w:rPr>
  </w:style>
  <w:style w:type="paragraph" w:styleId="14">
    <w:name w:val="toc 2"/>
    <w:basedOn w:val="1"/>
    <w:next w:val="1"/>
    <w:qFormat/>
    <w:uiPriority w:val="0"/>
    <w:rPr>
      <w:rFonts w:eastAsia="楷体"/>
      <w:sz w:val="3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5"/>
    <w:next w:val="5"/>
    <w:link w:val="21"/>
    <w:qFormat/>
    <w:uiPriority w:val="0"/>
    <w:rPr>
      <w:b/>
      <w:bCs/>
    </w:rPr>
  </w:style>
  <w:style w:type="character" w:styleId="19">
    <w:name w:val="annotation reference"/>
    <w:basedOn w:val="18"/>
    <w:qFormat/>
    <w:uiPriority w:val="0"/>
    <w:rPr>
      <w:sz w:val="21"/>
      <w:szCs w:val="21"/>
    </w:rPr>
  </w:style>
  <w:style w:type="character" w:customStyle="1" w:styleId="20">
    <w:name w:val="批注文字 字符"/>
    <w:basedOn w:val="18"/>
    <w:link w:val="5"/>
    <w:qFormat/>
    <w:uiPriority w:val="0"/>
    <w:rPr>
      <w:rFonts w:ascii="Times New Roman" w:hAnsi="Times New Roman" w:eastAsia="仿宋_GB2312"/>
      <w:kern w:val="2"/>
      <w:sz w:val="28"/>
      <w:szCs w:val="24"/>
    </w:rPr>
  </w:style>
  <w:style w:type="character" w:customStyle="1" w:styleId="21">
    <w:name w:val="批注主题 字符"/>
    <w:basedOn w:val="20"/>
    <w:link w:val="16"/>
    <w:qFormat/>
    <w:uiPriority w:val="0"/>
    <w:rPr>
      <w:rFonts w:ascii="Times New Roman" w:hAnsi="Times New Roman" w:eastAsia="仿宋_GB2312"/>
      <w:b/>
      <w:bCs/>
      <w:kern w:val="2"/>
      <w:sz w:val="28"/>
      <w:szCs w:val="24"/>
    </w:rPr>
  </w:style>
  <w:style w:type="character" w:customStyle="1" w:styleId="22">
    <w:name w:val="批注框文本 字符"/>
    <w:basedOn w:val="18"/>
    <w:link w:val="9"/>
    <w:qFormat/>
    <w:uiPriority w:val="0"/>
    <w:rPr>
      <w:rFonts w:ascii="Times New Roman" w:hAnsi="Times New Roman" w:eastAsia="仿宋_GB2312"/>
      <w:kern w:val="2"/>
      <w:sz w:val="18"/>
      <w:szCs w:val="18"/>
    </w:rPr>
  </w:style>
  <w:style w:type="paragraph" w:customStyle="1" w:styleId="23">
    <w:name w:val="正文2"/>
    <w:link w:val="24"/>
    <w:qFormat/>
    <w:uiPriority w:val="0"/>
    <w:pPr>
      <w:spacing w:line="360" w:lineRule="auto"/>
      <w:ind w:firstLine="200" w:firstLineChars="200"/>
      <w:jc w:val="both"/>
    </w:pPr>
    <w:rPr>
      <w:rFonts w:ascii="Times New Roman" w:hAnsi="Times New Roman" w:eastAsia="仿宋_GB2312" w:cs="宋体"/>
      <w:sz w:val="28"/>
      <w:szCs w:val="24"/>
      <w:lang w:val="en-US" w:eastAsia="zh-CN" w:bidi="ar-SA"/>
    </w:rPr>
  </w:style>
  <w:style w:type="character" w:customStyle="1" w:styleId="24">
    <w:name w:val="正文2 Char"/>
    <w:link w:val="23"/>
    <w:qFormat/>
    <w:uiPriority w:val="0"/>
    <w:rPr>
      <w:rFonts w:ascii="Times New Roman" w:hAnsi="Times New Roman" w:eastAsia="仿宋_GB2312" w:cs="宋体"/>
      <w:sz w:val="28"/>
      <w:szCs w:val="24"/>
    </w:rPr>
  </w:style>
  <w:style w:type="character" w:customStyle="1" w:styleId="25">
    <w:name w:val="正文缩进 字符"/>
    <w:link w:val="4"/>
    <w:qFormat/>
    <w:uiPriority w:val="0"/>
    <w:rPr>
      <w:rFonts w:ascii="Times New Roman" w:hAnsi="Times New Roman" w:eastAsia="宋体" w:cs="宋体"/>
      <w:szCs w:val="21"/>
    </w:rPr>
  </w:style>
  <w:style w:type="character" w:customStyle="1" w:styleId="26">
    <w:name w:val="正文文本 字符"/>
    <w:basedOn w:val="18"/>
    <w:link w:val="6"/>
    <w:qFormat/>
    <w:uiPriority w:val="99"/>
    <w:rPr>
      <w:rFonts w:ascii="Calibri" w:hAnsi="Calibri" w:eastAsia="宋体" w:cs="宋体"/>
      <w:kern w:val="2"/>
      <w:sz w:val="21"/>
      <w:szCs w:val="22"/>
    </w:rPr>
  </w:style>
  <w:style w:type="paragraph" w:customStyle="1" w:styleId="27">
    <w:name w:val="图表"/>
    <w:next w:val="1"/>
    <w:link w:val="30"/>
    <w:qFormat/>
    <w:uiPriority w:val="0"/>
    <w:pPr>
      <w:jc w:val="center"/>
    </w:pPr>
    <w:rPr>
      <w:rFonts w:ascii="Times New Roman" w:hAnsi="Times New Roman" w:eastAsia="黑体" w:cstheme="minorBidi"/>
      <w:kern w:val="2"/>
      <w:sz w:val="24"/>
      <w:szCs w:val="24"/>
      <w:lang w:val="en-US" w:eastAsia="zh-CN" w:bidi="ar-SA"/>
    </w:rPr>
  </w:style>
  <w:style w:type="paragraph" w:customStyle="1" w:styleId="28">
    <w:name w:val="二级标题（一）"/>
    <w:basedOn w:val="1"/>
    <w:link w:val="31"/>
    <w:qFormat/>
    <w:uiPriority w:val="0"/>
    <w:pPr>
      <w:tabs>
        <w:tab w:val="left" w:pos="2694"/>
      </w:tabs>
      <w:outlineLvl w:val="1"/>
    </w:pPr>
    <w:rPr>
      <w:rFonts w:ascii="楷体" w:hAnsi="楷体" w:eastAsia="楷体"/>
    </w:rPr>
  </w:style>
  <w:style w:type="character" w:customStyle="1" w:styleId="29">
    <w:name w:val="正文 字符"/>
    <w:qFormat/>
    <w:uiPriority w:val="0"/>
    <w:rPr>
      <w:rFonts w:ascii="Times New Roman" w:hAnsi="Times New Roman" w:eastAsia="仿宋" w:cs="宋体"/>
      <w:kern w:val="2"/>
      <w:sz w:val="32"/>
      <w:szCs w:val="22"/>
      <w:highlight w:val="none"/>
      <w:lang w:val="en-US" w:eastAsia="zh-CN" w:bidi="ar-SA"/>
    </w:rPr>
  </w:style>
  <w:style w:type="character" w:customStyle="1" w:styleId="30">
    <w:name w:val="图表 字符"/>
    <w:basedOn w:val="29"/>
    <w:link w:val="27"/>
    <w:qFormat/>
    <w:uiPriority w:val="0"/>
    <w:rPr>
      <w:rFonts w:ascii="Times New Roman" w:hAnsi="Times New Roman" w:eastAsia="黑体" w:cs="宋体"/>
      <w:kern w:val="2"/>
      <w:sz w:val="24"/>
      <w:szCs w:val="24"/>
      <w:highlight w:val="none"/>
      <w:lang w:val="en-US" w:eastAsia="zh-CN" w:bidi="ar-SA"/>
    </w:rPr>
  </w:style>
  <w:style w:type="character" w:customStyle="1" w:styleId="31">
    <w:name w:val="二级标题（一） 字符"/>
    <w:basedOn w:val="18"/>
    <w:link w:val="28"/>
    <w:qFormat/>
    <w:uiPriority w:val="0"/>
    <w:rPr>
      <w:rFonts w:ascii="楷体" w:hAnsi="楷体" w:eastAsia="楷体" w:cs="宋体"/>
      <w:kern w:val="2"/>
      <w:sz w:val="32"/>
      <w:szCs w:val="22"/>
    </w:rPr>
  </w:style>
  <w:style w:type="character" w:customStyle="1" w:styleId="32">
    <w:name w:val="副标题 字符"/>
    <w:basedOn w:val="18"/>
    <w:link w:val="13"/>
    <w:qFormat/>
    <w:uiPriority w:val="0"/>
    <w:rPr>
      <w:b/>
      <w:bCs/>
      <w:kern w:val="28"/>
      <w:sz w:val="32"/>
      <w:szCs w:val="32"/>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6">
    <w:name w:val="修订1"/>
    <w:hidden/>
    <w:unhideWhenUsed/>
    <w:qFormat/>
    <w:uiPriority w:val="99"/>
    <w:rPr>
      <w:rFonts w:ascii="Times New Roman" w:hAnsi="Times New Roman" w:eastAsia="仿宋" w:cs="宋体"/>
      <w:kern w:val="2"/>
      <w:sz w:val="32"/>
      <w:szCs w:val="22"/>
      <w:lang w:val="en-US" w:eastAsia="zh-CN" w:bidi="ar-SA"/>
    </w:rPr>
  </w:style>
  <w:style w:type="paragraph" w:customStyle="1" w:styleId="37">
    <w:name w:val="正文文字"/>
    <w:basedOn w:val="1"/>
    <w:qFormat/>
    <w:uiPriority w:val="0"/>
    <w:pPr>
      <w:ind w:firstLine="600"/>
    </w:pPr>
    <w:rPr>
      <w:rFonts w:cs="Times New Roman"/>
      <w:sz w:val="30"/>
      <w:szCs w:val="24"/>
    </w:rPr>
  </w:style>
  <w:style w:type="character" w:customStyle="1" w:styleId="38">
    <w:name w:val="font11"/>
    <w:basedOn w:val="18"/>
    <w:qFormat/>
    <w:uiPriority w:val="0"/>
    <w:rPr>
      <w:rFonts w:hint="eastAsia" w:ascii="仿宋" w:hAnsi="仿宋" w:eastAsia="仿宋" w:cs="仿宋"/>
      <w:color w:val="000000"/>
      <w:sz w:val="20"/>
      <w:szCs w:val="20"/>
      <w:u w:val="none"/>
    </w:rPr>
  </w:style>
  <w:style w:type="paragraph" w:customStyle="1" w:styleId="39">
    <w:name w:val="表格内字体-康巴什"/>
    <w:basedOn w:val="1"/>
    <w:qFormat/>
    <w:uiPriority w:val="0"/>
    <w:pPr>
      <w:snapToGrid w:val="0"/>
      <w:ind w:firstLine="0" w:firstLineChars="0"/>
      <w:jc w:val="center"/>
    </w:pPr>
    <w:rPr>
      <w:rFonts w:hint="eastAsia" w:eastAsia="宋体"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8" Type="http://schemas.openxmlformats.org/officeDocument/2006/relationships/fontTable" Target="fontTable.xml"/><Relationship Id="rId47" Type="http://schemas.microsoft.com/office/2006/relationships/keyMapCustomizations" Target="customizations.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25.png"/><Relationship Id="rId43" Type="http://schemas.openxmlformats.org/officeDocument/2006/relationships/image" Target="media/image24.png"/><Relationship Id="rId42" Type="http://schemas.openxmlformats.org/officeDocument/2006/relationships/image" Target="media/image23.png"/><Relationship Id="rId41" Type="http://schemas.openxmlformats.org/officeDocument/2006/relationships/image" Target="media/image22.png"/><Relationship Id="rId40" Type="http://schemas.openxmlformats.org/officeDocument/2006/relationships/image" Target="media/image21.png"/><Relationship Id="rId4" Type="http://schemas.openxmlformats.org/officeDocument/2006/relationships/endnotes" Target="endnotes.xml"/><Relationship Id="rId39" Type="http://schemas.openxmlformats.org/officeDocument/2006/relationships/image" Target="media/image20.png"/><Relationship Id="rId38" Type="http://schemas.openxmlformats.org/officeDocument/2006/relationships/image" Target="media/image19.png"/><Relationship Id="rId37" Type="http://schemas.openxmlformats.org/officeDocument/2006/relationships/image" Target="media/image18.png"/><Relationship Id="rId36" Type="http://schemas.openxmlformats.org/officeDocument/2006/relationships/image" Target="media/image17.png"/><Relationship Id="rId35" Type="http://schemas.openxmlformats.org/officeDocument/2006/relationships/image" Target="media/image16.png"/><Relationship Id="rId34" Type="http://schemas.openxmlformats.org/officeDocument/2006/relationships/image" Target="media/image15.png"/><Relationship Id="rId33" Type="http://schemas.openxmlformats.org/officeDocument/2006/relationships/image" Target="media/image14.png"/><Relationship Id="rId32" Type="http://schemas.openxmlformats.org/officeDocument/2006/relationships/image" Target="media/image13.png"/><Relationship Id="rId31" Type="http://schemas.openxmlformats.org/officeDocument/2006/relationships/image" Target="media/image12.png"/><Relationship Id="rId30" Type="http://schemas.openxmlformats.org/officeDocument/2006/relationships/image" Target="media/image11.png"/><Relationship Id="rId3" Type="http://schemas.openxmlformats.org/officeDocument/2006/relationships/footnotes" Target="footnotes.xml"/><Relationship Id="rId29" Type="http://schemas.openxmlformats.org/officeDocument/2006/relationships/image" Target="media/image10.png"/><Relationship Id="rId28" Type="http://schemas.openxmlformats.org/officeDocument/2006/relationships/image" Target="media/image9.png"/><Relationship Id="rId27" Type="http://schemas.openxmlformats.org/officeDocument/2006/relationships/chart" Target="charts/chart1.xml"/><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true"/>
    <c:plotArea>
      <c:layout/>
      <c:scatterChart>
        <c:scatterStyle val="smoothMarker"/>
        <c:varyColors val="false"/>
        <c:ser>
          <c:idx val="0"/>
          <c:order val="0"/>
          <c:tx>
            <c:strRef>
              <c:f>[工作簿1]Sheet1!$A$2</c:f>
              <c:strCache>
                <c:ptCount val="1"/>
                <c:pt idx="0">
                  <c:v>辐射量</c:v>
                </c:pt>
              </c:strCache>
            </c:strRef>
          </c:tx>
          <c:spPr>
            <a:ln w="19050" cap="rnd">
              <a:solidFill>
                <a:srgbClr val="4472C4"/>
              </a:solidFill>
              <a:round/>
            </a:ln>
            <a:effectLst/>
          </c:spPr>
          <c:marker>
            <c:symbol val="circle"/>
            <c:size val="5"/>
            <c:spPr>
              <a:solidFill>
                <a:srgbClr val="4472C4"/>
              </a:solidFill>
              <a:ln w="9525">
                <a:solidFill>
                  <a:srgbClr val="4472C4"/>
                </a:solidFill>
              </a:ln>
              <a:effectLst/>
            </c:spPr>
          </c:marker>
          <c:dLbls>
            <c:delete val="true"/>
          </c:dLbls>
          <c:xVal>
            <c:numRef>
              <c:f>[工作簿1]Sheet1!$B$1:$M$1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[工作簿1]Sheet1!$B$2:$M$2</c:f>
              <c:numCache>
                <c:formatCode>General</c:formatCode>
                <c:ptCount val="12"/>
                <c:pt idx="0">
                  <c:v>280</c:v>
                </c:pt>
                <c:pt idx="1">
                  <c:v>353</c:v>
                </c:pt>
                <c:pt idx="2">
                  <c:v>523</c:v>
                </c:pt>
                <c:pt idx="3">
                  <c:v>596</c:v>
                </c:pt>
                <c:pt idx="4">
                  <c:v>666</c:v>
                </c:pt>
                <c:pt idx="5">
                  <c:v>641</c:v>
                </c:pt>
                <c:pt idx="6">
                  <c:v>631</c:v>
                </c:pt>
                <c:pt idx="7">
                  <c:v>599</c:v>
                </c:pt>
                <c:pt idx="8">
                  <c:v>501</c:v>
                </c:pt>
                <c:pt idx="9">
                  <c:v>398</c:v>
                </c:pt>
                <c:pt idx="10">
                  <c:v>264</c:v>
                </c:pt>
                <c:pt idx="11">
                  <c:v>238</c:v>
                </c:pt>
              </c:numCache>
            </c:numRef>
          </c:yVal>
          <c:smooth val="true"/>
        </c:ser>
        <c:dLbls>
          <c:showLegendKey val="false"/>
          <c:showVal val="false"/>
          <c:showCatName val="false"/>
          <c:showSerName val="false"/>
          <c:showPercent val="false"/>
          <c:showBubbleSize val="false"/>
        </c:dLbls>
        <c:axId val="459047106"/>
        <c:axId val="247469377"/>
      </c:scatterChart>
      <c:valAx>
        <c:axId val="459047106"/>
        <c:scaling>
          <c:orientation val="minMax"/>
          <c:max val="12"/>
        </c:scaling>
        <c:delete val="false"/>
        <c:axPos val="b"/>
        <c:majorGridlines>
          <c:spPr>
            <a:ln w="9525" cap="flat" cmpd="sng" algn="ctr">
              <a:solidFill>
                <a:sysClr val="windowText" lastClr="000000">
                  <a:lumMod val="15000"/>
                  <a:lumOff val="85000"/>
                </a:sysClr>
              </a:solidFill>
              <a:round/>
            </a:ln>
            <a:effectLst/>
          </c:spPr>
        </c:majorGridlines>
        <c:numFmt formatCode="General" sourceLinked="true"/>
        <c:majorTickMark val="out"/>
        <c:minorTickMark val="none"/>
        <c:tickLblPos val="nextTo"/>
        <c:spPr>
          <a:noFill/>
          <a:ln w="9525" cap="flat" cmpd="sng" algn="ctr">
            <a:solidFill>
              <a:sysClr val="windowText" lastClr="000000">
                <a:lumMod val="25000"/>
                <a:lumOff val="75000"/>
              </a:sysClr>
            </a:solidFill>
            <a:round/>
          </a:ln>
          <a:effectLst/>
        </c:spPr>
        <c:txPr>
          <a:bodyPr rot="-60000000" spcFirstLastPara="0" vertOverflow="ellipsis" vert="horz" wrap="square" anchor="ctr" anchorCtr="true"/>
          <a:lstStyle/>
          <a:p>
            <a:pPr>
              <a:defRPr lang="zh-CN" sz="900" b="0" i="0" u="none" strike="noStrike" kern="1200" baseline="0">
                <a:solidFill>
                  <a:sysClr val="windowText" lastClr="000000">
                    <a:lumMod val="65000"/>
                    <a:lumOff val="35000"/>
                  </a:sysClr>
                </a:solidFill>
                <a:latin typeface="+mn-lt"/>
                <a:ea typeface="+mn-ea"/>
                <a:cs typeface="+mn-cs"/>
              </a:defRPr>
            </a:pPr>
          </a:p>
        </c:txPr>
        <c:crossAx val="247469377"/>
        <c:crosses val="autoZero"/>
        <c:crossBetween val="midCat"/>
      </c:valAx>
      <c:valAx>
        <c:axId val="247469377"/>
        <c:scaling>
          <c:orientation val="minMax"/>
        </c:scaling>
        <c:delete val="false"/>
        <c:axPos val="l"/>
        <c:majorGridlines>
          <c:spPr>
            <a:ln w="9525" cap="flat" cmpd="sng" algn="ctr">
              <a:solidFill>
                <a:sysClr val="windowText" lastClr="000000">
                  <a:lumMod val="15000"/>
                  <a:lumOff val="85000"/>
                </a:sysClr>
              </a:solidFill>
              <a:round/>
            </a:ln>
            <a:effectLst/>
          </c:spPr>
        </c:majorGridlines>
        <c:numFmt formatCode="General" sourceLinked="true"/>
        <c:majorTickMark val="out"/>
        <c:minorTickMark val="none"/>
        <c:tickLblPos val="nextTo"/>
        <c:spPr>
          <a:noFill/>
          <a:ln w="9525" cap="flat" cmpd="sng" algn="ctr">
            <a:solidFill>
              <a:sysClr val="windowText" lastClr="000000">
                <a:lumMod val="25000"/>
                <a:lumOff val="75000"/>
              </a:sysClr>
            </a:solidFill>
            <a:round/>
          </a:ln>
          <a:effectLst/>
        </c:spPr>
        <c:txPr>
          <a:bodyPr rot="-60000000" spcFirstLastPara="0" vertOverflow="ellipsis" vert="horz" wrap="square" anchor="ctr" anchorCtr="true"/>
          <a:lstStyle/>
          <a:p>
            <a:pPr>
              <a:defRPr lang="zh-CN" sz="900" b="0" i="0" u="none" strike="noStrike" kern="1200" baseline="0">
                <a:solidFill>
                  <a:sysClr val="windowText" lastClr="000000">
                    <a:lumMod val="65000"/>
                    <a:lumOff val="35000"/>
                  </a:sysClr>
                </a:solidFill>
                <a:latin typeface="+mn-lt"/>
                <a:ea typeface="+mn-ea"/>
                <a:cs typeface="+mn-cs"/>
              </a:defRPr>
            </a:pPr>
          </a:p>
        </c:txPr>
        <c:crossAx val="459047106"/>
        <c:crossesAt val="0"/>
        <c:crossBetween val="midCat"/>
      </c:valAx>
      <c:spPr>
        <a:noFill/>
        <a:ln>
          <a:noFill/>
        </a:ln>
        <a:effectLst/>
      </c:spPr>
    </c:plotArea>
    <c:plotVisOnly val="true"/>
    <c:dispBlanksAs val="gap"/>
    <c:showDLblsOverMax val="false"/>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25000"/>
            <a:lumOff val="7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ysClr val="windowText" lastClr="000000"/>
    </cs:fontRef>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19050"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spPr>
      <a:ln w="9525" cap="flat" cmpd="sng" algn="ctr">
        <a:solidFill>
          <a:sysClr val="windowText" lastClr="000000">
            <a:lumMod val="25000"/>
            <a:lumOff val="75000"/>
          </a:sysClr>
        </a:solidFill>
        <a:round/>
      </a:ln>
    </cs:spPr>
    <cs:defRPr sz="900" kern="1200"/>
  </cs:valueAxis>
  <cs:wall>
    <cs:lnRef idx="0"/>
    <cs:fillRef idx="0"/>
    <cs:effectRef idx="0"/>
    <cs:fontRef idx="minor">
      <a:sysClr val="windowText" lastClr="000000"/>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22017</Words>
  <Characters>24637</Characters>
  <Lines>218</Lines>
  <Paragraphs>61</Paragraphs>
  <TotalTime>11</TotalTime>
  <ScaleCrop>false</ScaleCrop>
  <LinksUpToDate>false</LinksUpToDate>
  <CharactersWithSpaces>28737</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2024-11-03T19:26:00Z</dcterms:created>
  <dc:creator>朱子钊</dc:creator>
  <cp:lastModifiedBy>user</cp:lastModifiedBy>
  <cp:lastPrinted>2025-01-17T14:36:00Z</cp:lastPrinted>
  <dcterms:modified xsi:type="dcterms:W3CDTF">2025-01-20T15:59:28Z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8CEB607A3EF24AA9879270756B9A5C7C_13</vt:lpwstr>
  </property>
  <property fmtid="{D5CDD505-2E9C-101B-9397-08002B2CF9AE}" pid="4" name="KSOTemplateDocerSaveRecord">
    <vt:lpwstr>eyJoZGlkIjoiMDA5NjUxYzdiYzgxMTYxOWQ5MTk0MGU4NDkzOWVmY2EiLCJ1c2VySWQiOiI0NzEwNTMwNTIifQ==</vt:lpwstr>
  </property>
</Properties>
</file>