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5B10A" w14:textId="77777777" w:rsidR="00EC2C51" w:rsidRDefault="00EC2C51">
      <w:pPr>
        <w:pStyle w:val="HTML1"/>
        <w:widowControl/>
        <w:jc w:val="center"/>
        <w:rPr>
          <w:rFonts w:ascii="方正小标宋_GBK" w:eastAsia="方正小标宋_GBK" w:hAnsi="方正小标宋_GBK" w:cs="方正小标宋_GBK" w:hint="default"/>
          <w:color w:val="000000"/>
          <w:sz w:val="36"/>
          <w:szCs w:val="36"/>
        </w:rPr>
      </w:pPr>
    </w:p>
    <w:p w14:paraId="7CC5BBC0" w14:textId="77777777" w:rsidR="00EC2C51" w:rsidRDefault="00EC2C51">
      <w:pPr>
        <w:pStyle w:val="HTML1"/>
        <w:widowControl/>
        <w:jc w:val="center"/>
        <w:rPr>
          <w:rFonts w:ascii="方正小标宋_GBK" w:eastAsia="方正小标宋_GBK" w:hAnsi="方正小标宋_GBK" w:cs="方正小标宋_GBK" w:hint="default"/>
          <w:color w:val="000000"/>
          <w:sz w:val="36"/>
          <w:szCs w:val="36"/>
        </w:rPr>
      </w:pPr>
    </w:p>
    <w:p w14:paraId="48C09CFA" w14:textId="77777777" w:rsidR="00EC2C51" w:rsidRDefault="00EC2C51">
      <w:pPr>
        <w:pStyle w:val="HTML1"/>
        <w:widowControl/>
        <w:jc w:val="center"/>
        <w:rPr>
          <w:rFonts w:ascii="方正小标宋_GBK" w:eastAsia="方正小标宋_GBK" w:hAnsi="方正小标宋_GBK" w:cs="方正小标宋_GBK" w:hint="default"/>
          <w:color w:val="000000"/>
          <w:sz w:val="36"/>
          <w:szCs w:val="36"/>
        </w:rPr>
      </w:pPr>
    </w:p>
    <w:p w14:paraId="2052EFC6" w14:textId="77777777" w:rsidR="00EC2C51" w:rsidRDefault="00A971AA">
      <w:pPr>
        <w:spacing w:before="202" w:line="281" w:lineRule="auto"/>
        <w:ind w:right="-64"/>
        <w:jc w:val="center"/>
        <w:outlineLvl w:val="0"/>
        <w:rPr>
          <w:rFonts w:ascii="微软雅黑" w:eastAsia="微软雅黑" w:hAnsi="微软雅黑" w:cs="微软雅黑"/>
          <w:spacing w:val="11"/>
          <w:sz w:val="47"/>
          <w:szCs w:val="47"/>
        </w:rPr>
      </w:pPr>
      <w:bookmarkStart w:id="0" w:name="_Toc16885"/>
      <w:r>
        <w:rPr>
          <w:rFonts w:ascii="微软雅黑" w:eastAsia="微软雅黑" w:hAnsi="微软雅黑" w:cs="微软雅黑" w:hint="eastAsia"/>
          <w:spacing w:val="11"/>
          <w:sz w:val="47"/>
          <w:szCs w:val="47"/>
        </w:rPr>
        <w:t>康巴什</w:t>
      </w:r>
      <w:r>
        <w:rPr>
          <w:rFonts w:ascii="微软雅黑" w:eastAsia="微软雅黑" w:hAnsi="微软雅黑" w:cs="微软雅黑"/>
          <w:spacing w:val="11"/>
          <w:sz w:val="47"/>
          <w:szCs w:val="47"/>
        </w:rPr>
        <w:t>区</w:t>
      </w:r>
      <w:r>
        <w:rPr>
          <w:rFonts w:ascii="Times New Roman" w:eastAsia="Times New Roman" w:hAnsi="Times New Roman" w:cs="Times New Roman"/>
          <w:b/>
          <w:bCs/>
          <w:spacing w:val="9"/>
          <w:sz w:val="47"/>
          <w:szCs w:val="47"/>
        </w:rPr>
        <w:t>“</w:t>
      </w:r>
      <w:r>
        <w:rPr>
          <w:rFonts w:ascii="微软雅黑" w:eastAsia="微软雅黑" w:hAnsi="微软雅黑" w:cs="微软雅黑"/>
          <w:spacing w:val="9"/>
          <w:sz w:val="47"/>
          <w:szCs w:val="47"/>
        </w:rPr>
        <w:t>十四五</w:t>
      </w:r>
      <w:r>
        <w:rPr>
          <w:rFonts w:ascii="Times New Roman" w:eastAsia="Times New Roman" w:hAnsi="Times New Roman" w:cs="Times New Roman"/>
          <w:b/>
          <w:bCs/>
          <w:spacing w:val="9"/>
          <w:sz w:val="47"/>
          <w:szCs w:val="47"/>
        </w:rPr>
        <w:t>”</w:t>
      </w:r>
      <w:r>
        <w:rPr>
          <w:rFonts w:ascii="微软雅黑" w:eastAsia="微软雅黑" w:hAnsi="微软雅黑" w:cs="微软雅黑" w:hint="eastAsia"/>
          <w:spacing w:val="11"/>
          <w:sz w:val="47"/>
          <w:szCs w:val="47"/>
        </w:rPr>
        <w:t>应急管理事业</w:t>
      </w:r>
    </w:p>
    <w:p w14:paraId="28C54750" w14:textId="77777777" w:rsidR="00EC2C51" w:rsidRDefault="00A971AA">
      <w:pPr>
        <w:spacing w:before="202" w:line="281" w:lineRule="auto"/>
        <w:ind w:right="-64"/>
        <w:jc w:val="center"/>
        <w:outlineLvl w:val="0"/>
        <w:rPr>
          <w:rFonts w:ascii="微软雅黑" w:eastAsia="微软雅黑" w:hAnsi="微软雅黑" w:cs="微软雅黑"/>
          <w:spacing w:val="11"/>
          <w:sz w:val="47"/>
          <w:szCs w:val="47"/>
        </w:rPr>
      </w:pPr>
      <w:r>
        <w:rPr>
          <w:rFonts w:ascii="微软雅黑" w:eastAsia="微软雅黑" w:hAnsi="微软雅黑" w:cs="微软雅黑" w:hint="eastAsia"/>
          <w:spacing w:val="11"/>
          <w:sz w:val="47"/>
          <w:szCs w:val="47"/>
        </w:rPr>
        <w:t>发展规划</w:t>
      </w:r>
      <w:bookmarkEnd w:id="0"/>
    </w:p>
    <w:p w14:paraId="334D8D5F" w14:textId="77777777" w:rsidR="00EC2C51" w:rsidRDefault="00EC2C51">
      <w:pPr>
        <w:pStyle w:val="21"/>
      </w:pPr>
    </w:p>
    <w:p w14:paraId="41355006" w14:textId="77777777" w:rsidR="00EC2C51" w:rsidRDefault="00A971AA">
      <w:pPr>
        <w:tabs>
          <w:tab w:val="left" w:pos="2521"/>
        </w:tabs>
        <w:spacing w:before="1" w:line="211" w:lineRule="auto"/>
        <w:jc w:val="center"/>
        <w:rPr>
          <w:rFonts w:ascii="微软雅黑" w:eastAsia="微软雅黑" w:hAnsi="微软雅黑" w:cs="微软雅黑"/>
          <w:sz w:val="35"/>
          <w:szCs w:val="35"/>
        </w:rPr>
      </w:pPr>
      <w:r>
        <w:rPr>
          <w:rFonts w:ascii="微软雅黑" w:eastAsia="微软雅黑" w:hAnsi="微软雅黑" w:cs="微软雅黑"/>
          <w:spacing w:val="10"/>
          <w:sz w:val="35"/>
          <w:szCs w:val="35"/>
        </w:rPr>
        <w:t>(</w:t>
      </w:r>
      <w:r>
        <w:rPr>
          <w:rFonts w:ascii="Times New Roman" w:eastAsia="Times New Roman" w:hAnsi="Times New Roman" w:cs="Times New Roman"/>
          <w:spacing w:val="5"/>
          <w:sz w:val="35"/>
          <w:szCs w:val="35"/>
        </w:rPr>
        <w:t>202</w:t>
      </w:r>
      <w:r>
        <w:rPr>
          <w:rFonts w:ascii="Times New Roman" w:hAnsi="Times New Roman" w:cs="Times New Roman" w:hint="eastAsia"/>
          <w:spacing w:val="5"/>
          <w:sz w:val="35"/>
          <w:szCs w:val="35"/>
        </w:rPr>
        <w:t>1</w:t>
      </w:r>
      <w:r>
        <w:rPr>
          <w:rFonts w:ascii="微软雅黑" w:eastAsia="微软雅黑" w:hAnsi="微软雅黑" w:cs="微软雅黑"/>
          <w:spacing w:val="5"/>
          <w:sz w:val="35"/>
          <w:szCs w:val="35"/>
        </w:rPr>
        <w:t>年——</w:t>
      </w:r>
      <w:r>
        <w:rPr>
          <w:rFonts w:ascii="Times New Roman" w:eastAsia="Times New Roman" w:hAnsi="Times New Roman" w:cs="Times New Roman"/>
          <w:spacing w:val="5"/>
          <w:sz w:val="35"/>
          <w:szCs w:val="35"/>
        </w:rPr>
        <w:t>2025</w:t>
      </w:r>
      <w:r>
        <w:rPr>
          <w:rFonts w:ascii="微软雅黑" w:eastAsia="微软雅黑" w:hAnsi="微软雅黑" w:cs="微软雅黑"/>
          <w:spacing w:val="5"/>
          <w:sz w:val="35"/>
          <w:szCs w:val="35"/>
        </w:rPr>
        <w:t>年)</w:t>
      </w:r>
    </w:p>
    <w:p w14:paraId="354BE034" w14:textId="77777777" w:rsidR="00EC2C51" w:rsidRDefault="00EC2C51">
      <w:pPr>
        <w:pStyle w:val="HTML1"/>
        <w:widowControl/>
        <w:jc w:val="center"/>
        <w:rPr>
          <w:rFonts w:ascii="方正小标宋_GBK" w:eastAsia="方正小标宋_GBK" w:hAnsi="方正小标宋_GBK" w:cs="方正小标宋_GBK" w:hint="default"/>
          <w:color w:val="000000"/>
          <w:sz w:val="36"/>
          <w:szCs w:val="36"/>
        </w:rPr>
      </w:pPr>
    </w:p>
    <w:p w14:paraId="3AE5058E" w14:textId="77777777" w:rsidR="00EC2C51" w:rsidRDefault="00EC2C51">
      <w:pPr>
        <w:pStyle w:val="HTML1"/>
        <w:widowControl/>
        <w:jc w:val="center"/>
        <w:rPr>
          <w:rFonts w:ascii="方正小标宋_GBK" w:eastAsia="方正小标宋_GBK" w:hAnsi="方正小标宋_GBK" w:cs="方正小标宋_GBK" w:hint="default"/>
          <w:color w:val="000000"/>
          <w:sz w:val="36"/>
          <w:szCs w:val="36"/>
        </w:rPr>
      </w:pPr>
    </w:p>
    <w:p w14:paraId="7F12EA2E" w14:textId="77777777" w:rsidR="00EC2C51" w:rsidRDefault="00EC2C51">
      <w:pPr>
        <w:pStyle w:val="HTML1"/>
        <w:widowControl/>
        <w:jc w:val="center"/>
        <w:rPr>
          <w:rFonts w:ascii="方正小标宋_GBK" w:eastAsia="方正小标宋_GBK" w:hAnsi="方正小标宋_GBK" w:cs="方正小标宋_GBK" w:hint="default"/>
          <w:color w:val="000000"/>
          <w:sz w:val="36"/>
          <w:szCs w:val="36"/>
        </w:rPr>
      </w:pPr>
    </w:p>
    <w:p w14:paraId="13AEDF80" w14:textId="77777777" w:rsidR="00EC2C51" w:rsidRDefault="00EC2C51">
      <w:pPr>
        <w:pStyle w:val="HTML1"/>
        <w:widowControl/>
        <w:jc w:val="center"/>
        <w:rPr>
          <w:rFonts w:ascii="方正小标宋_GBK" w:eastAsia="方正小标宋_GBK" w:hAnsi="方正小标宋_GBK" w:cs="方正小标宋_GBK" w:hint="default"/>
          <w:color w:val="000000"/>
          <w:sz w:val="36"/>
          <w:szCs w:val="36"/>
        </w:rPr>
      </w:pPr>
    </w:p>
    <w:p w14:paraId="36C0DD7C" w14:textId="77777777" w:rsidR="00EC2C51" w:rsidRDefault="00EC2C51">
      <w:pPr>
        <w:pStyle w:val="HTML1"/>
        <w:widowControl/>
        <w:jc w:val="center"/>
        <w:rPr>
          <w:rFonts w:ascii="方正小标宋_GBK" w:eastAsia="方正小标宋_GBK" w:hAnsi="方正小标宋_GBK" w:cs="方正小标宋_GBK" w:hint="default"/>
          <w:color w:val="000000"/>
          <w:sz w:val="36"/>
          <w:szCs w:val="36"/>
        </w:rPr>
      </w:pPr>
    </w:p>
    <w:p w14:paraId="1FFDA96D" w14:textId="77777777" w:rsidR="00EC2C51" w:rsidRDefault="00EC2C51">
      <w:pPr>
        <w:pStyle w:val="HTML1"/>
        <w:widowControl/>
        <w:jc w:val="center"/>
        <w:rPr>
          <w:rFonts w:ascii="方正小标宋_GBK" w:eastAsia="方正小标宋_GBK" w:hAnsi="方正小标宋_GBK" w:cs="方正小标宋_GBK" w:hint="default"/>
          <w:color w:val="000000"/>
          <w:sz w:val="36"/>
          <w:szCs w:val="36"/>
        </w:rPr>
      </w:pPr>
    </w:p>
    <w:p w14:paraId="61598A18" w14:textId="77777777" w:rsidR="00EC2C51" w:rsidRDefault="00EC2C51">
      <w:pPr>
        <w:pStyle w:val="HTML1"/>
        <w:widowControl/>
        <w:jc w:val="center"/>
        <w:rPr>
          <w:rFonts w:ascii="方正小标宋_GBK" w:eastAsia="方正小标宋_GBK" w:hAnsi="方正小标宋_GBK" w:cs="方正小标宋_GBK" w:hint="default"/>
          <w:color w:val="000000"/>
          <w:sz w:val="36"/>
          <w:szCs w:val="36"/>
        </w:rPr>
      </w:pPr>
    </w:p>
    <w:p w14:paraId="4313B035" w14:textId="77777777" w:rsidR="00EC2C51" w:rsidRDefault="00EC2C51">
      <w:pPr>
        <w:pStyle w:val="HTML1"/>
        <w:widowControl/>
        <w:jc w:val="center"/>
        <w:rPr>
          <w:rFonts w:ascii="方正小标宋_GBK" w:eastAsia="方正小标宋_GBK" w:hAnsi="方正小标宋_GBK" w:cs="方正小标宋_GBK" w:hint="default"/>
          <w:color w:val="000000"/>
          <w:sz w:val="36"/>
          <w:szCs w:val="36"/>
        </w:rPr>
      </w:pPr>
    </w:p>
    <w:p w14:paraId="655BB3E6" w14:textId="77777777" w:rsidR="00EC2C51" w:rsidRDefault="00EC2C51">
      <w:pPr>
        <w:pStyle w:val="HTML1"/>
        <w:widowControl/>
        <w:jc w:val="center"/>
        <w:rPr>
          <w:rFonts w:ascii="方正小标宋_GBK" w:eastAsia="方正小标宋_GBK" w:hAnsi="方正小标宋_GBK" w:cs="方正小标宋_GBK" w:hint="default"/>
          <w:color w:val="000000"/>
          <w:sz w:val="36"/>
          <w:szCs w:val="36"/>
        </w:rPr>
      </w:pPr>
    </w:p>
    <w:p w14:paraId="0A1165CF" w14:textId="77777777" w:rsidR="00EC2C51" w:rsidRDefault="00EC2C51">
      <w:pPr>
        <w:pStyle w:val="HTML1"/>
        <w:widowControl/>
        <w:jc w:val="center"/>
        <w:rPr>
          <w:rFonts w:ascii="方正小标宋_GBK" w:eastAsia="方正小标宋_GBK" w:hAnsi="方正小标宋_GBK" w:cs="方正小标宋_GBK" w:hint="default"/>
          <w:color w:val="000000"/>
          <w:sz w:val="36"/>
          <w:szCs w:val="36"/>
        </w:rPr>
      </w:pPr>
    </w:p>
    <w:p w14:paraId="587B7536" w14:textId="77777777" w:rsidR="00EC2C51" w:rsidRDefault="00EC2C51">
      <w:pPr>
        <w:pStyle w:val="HTML1"/>
        <w:widowControl/>
        <w:jc w:val="center"/>
        <w:rPr>
          <w:rFonts w:ascii="方正小标宋_GBK" w:eastAsia="方正小标宋_GBK" w:hAnsi="方正小标宋_GBK" w:cs="方正小标宋_GBK" w:hint="default"/>
          <w:color w:val="000000"/>
          <w:sz w:val="36"/>
          <w:szCs w:val="36"/>
        </w:rPr>
      </w:pPr>
    </w:p>
    <w:p w14:paraId="134C8F9B" w14:textId="77777777" w:rsidR="00EC2C51" w:rsidRDefault="00EC2C51">
      <w:pPr>
        <w:pStyle w:val="HTML1"/>
        <w:widowControl/>
        <w:jc w:val="center"/>
        <w:rPr>
          <w:rFonts w:ascii="方正小标宋_GBK" w:eastAsia="方正小标宋_GBK" w:hAnsi="方正小标宋_GBK" w:cs="方正小标宋_GBK" w:hint="default"/>
          <w:color w:val="000000"/>
          <w:sz w:val="36"/>
          <w:szCs w:val="36"/>
        </w:rPr>
      </w:pPr>
    </w:p>
    <w:p w14:paraId="7B2DF1DD" w14:textId="77777777" w:rsidR="00EC2C51" w:rsidRDefault="00EC2C51">
      <w:pPr>
        <w:pStyle w:val="HTML1"/>
        <w:widowControl/>
        <w:jc w:val="both"/>
        <w:rPr>
          <w:rFonts w:ascii="方正小标宋_GBK" w:eastAsia="方正小标宋_GBK" w:hAnsi="方正小标宋_GBK" w:cs="方正小标宋_GBK" w:hint="default"/>
          <w:color w:val="000000"/>
          <w:sz w:val="36"/>
          <w:szCs w:val="36"/>
        </w:rPr>
      </w:pPr>
    </w:p>
    <w:p w14:paraId="2CA4B335" w14:textId="77777777" w:rsidR="00EC2C51" w:rsidRDefault="00A971AA">
      <w:pPr>
        <w:jc w:val="center"/>
        <w:rPr>
          <w:sz w:val="28"/>
          <w:szCs w:val="28"/>
        </w:rPr>
      </w:pPr>
      <w:r>
        <w:rPr>
          <w:rFonts w:ascii="宋体" w:hAnsi="宋体"/>
          <w:sz w:val="28"/>
          <w:szCs w:val="28"/>
        </w:rPr>
        <w:lastRenderedPageBreak/>
        <w:t>目录</w:t>
      </w:r>
    </w:p>
    <w:p w14:paraId="457BBEE9" w14:textId="77777777" w:rsidR="00EC2C51" w:rsidRDefault="00A971AA">
      <w:pPr>
        <w:pStyle w:val="WPSOffice1"/>
        <w:tabs>
          <w:tab w:val="right" w:leader="dot" w:pos="8306"/>
        </w:tabs>
        <w:rPr>
          <w:sz w:val="28"/>
          <w:szCs w:val="28"/>
        </w:rPr>
      </w:pPr>
      <w:r>
        <w:rPr>
          <w:rFonts w:eastAsia="Times New Roman" w:hint="eastAsia"/>
          <w:sz w:val="28"/>
          <w:szCs w:val="28"/>
        </w:rPr>
        <w:fldChar w:fldCharType="begin"/>
      </w:r>
      <w:r>
        <w:rPr>
          <w:rFonts w:eastAsia="Times New Roman"/>
          <w:sz w:val="28"/>
          <w:szCs w:val="28"/>
        </w:rPr>
        <w:instrText xml:space="preserve">TOC \o "1-3" \h \u </w:instrText>
      </w:r>
      <w:r>
        <w:rPr>
          <w:rFonts w:eastAsia="Times New Roman" w:hint="eastAsia"/>
          <w:sz w:val="28"/>
          <w:szCs w:val="28"/>
        </w:rPr>
        <w:fldChar w:fldCharType="separate"/>
      </w:r>
      <w:hyperlink w:anchor="_Toc24246" w:history="1">
        <w:r>
          <w:rPr>
            <w:rFonts w:ascii="黑体" w:eastAsia="黑体" w:hAnsi="黑体" w:cs="黑体"/>
            <w:spacing w:val="11"/>
            <w:sz w:val="28"/>
            <w:szCs w:val="28"/>
          </w:rPr>
          <w:t>前</w:t>
        </w:r>
        <w:r>
          <w:rPr>
            <w:rFonts w:ascii="黑体" w:eastAsia="黑体" w:hAnsi="黑体" w:cs="黑体"/>
            <w:spacing w:val="9"/>
            <w:sz w:val="28"/>
            <w:szCs w:val="28"/>
          </w:rPr>
          <w:t xml:space="preserve"> 言</w:t>
        </w:r>
        <w:r>
          <w:rPr>
            <w:sz w:val="28"/>
            <w:szCs w:val="28"/>
          </w:rPr>
          <w:tab/>
        </w:r>
        <w:r>
          <w:rPr>
            <w:sz w:val="28"/>
            <w:szCs w:val="28"/>
          </w:rPr>
          <w:fldChar w:fldCharType="begin"/>
        </w:r>
        <w:r>
          <w:rPr>
            <w:sz w:val="28"/>
            <w:szCs w:val="28"/>
          </w:rPr>
          <w:instrText xml:space="preserve"> PAGEREF _Toc24246 \h </w:instrText>
        </w:r>
        <w:r>
          <w:rPr>
            <w:sz w:val="28"/>
            <w:szCs w:val="28"/>
          </w:rPr>
        </w:r>
        <w:r>
          <w:rPr>
            <w:sz w:val="28"/>
            <w:szCs w:val="28"/>
          </w:rPr>
          <w:fldChar w:fldCharType="separate"/>
        </w:r>
        <w:r>
          <w:rPr>
            <w:sz w:val="28"/>
            <w:szCs w:val="28"/>
          </w:rPr>
          <w:t>1</w:t>
        </w:r>
        <w:r>
          <w:rPr>
            <w:sz w:val="28"/>
            <w:szCs w:val="28"/>
          </w:rPr>
          <w:fldChar w:fldCharType="end"/>
        </w:r>
      </w:hyperlink>
    </w:p>
    <w:p w14:paraId="3757D580" w14:textId="77777777" w:rsidR="00EC2C51" w:rsidRDefault="00DF06DA">
      <w:pPr>
        <w:pStyle w:val="WPSOffice1"/>
        <w:tabs>
          <w:tab w:val="right" w:leader="dot" w:pos="8306"/>
        </w:tabs>
        <w:rPr>
          <w:sz w:val="28"/>
          <w:szCs w:val="28"/>
        </w:rPr>
      </w:pPr>
      <w:hyperlink w:anchor="_Toc11767" w:history="1">
        <w:r w:rsidR="00A971AA">
          <w:rPr>
            <w:rFonts w:ascii="方正小标宋_GBK" w:eastAsia="方正小标宋_GBK" w:hAnsi="方正小标宋_GBK" w:cs="方正小标宋_GBK" w:hint="eastAsia"/>
            <w:sz w:val="28"/>
            <w:szCs w:val="28"/>
          </w:rPr>
          <w:t xml:space="preserve">第一篇 </w:t>
        </w:r>
        <w:r w:rsidR="00A971AA">
          <w:rPr>
            <w:rFonts w:ascii="方正小标宋_GBK" w:eastAsia="方正小标宋_GBK" w:hAnsi="方正小标宋_GBK" w:cs="方正小标宋_GBK"/>
            <w:sz w:val="28"/>
            <w:szCs w:val="28"/>
          </w:rPr>
          <w:t>综合应急管理体系建设</w:t>
        </w:r>
        <w:r w:rsidR="00A971AA">
          <w:rPr>
            <w:sz w:val="28"/>
            <w:szCs w:val="28"/>
          </w:rPr>
          <w:tab/>
        </w:r>
        <w:r w:rsidR="00A971AA">
          <w:rPr>
            <w:sz w:val="28"/>
            <w:szCs w:val="28"/>
          </w:rPr>
          <w:fldChar w:fldCharType="begin"/>
        </w:r>
        <w:r w:rsidR="00A971AA">
          <w:rPr>
            <w:sz w:val="28"/>
            <w:szCs w:val="28"/>
          </w:rPr>
          <w:instrText xml:space="preserve"> PAGEREF _Toc11767 \h </w:instrText>
        </w:r>
        <w:r w:rsidR="00A971AA">
          <w:rPr>
            <w:sz w:val="28"/>
            <w:szCs w:val="28"/>
          </w:rPr>
        </w:r>
        <w:r w:rsidR="00A971AA">
          <w:rPr>
            <w:sz w:val="28"/>
            <w:szCs w:val="28"/>
          </w:rPr>
          <w:fldChar w:fldCharType="separate"/>
        </w:r>
        <w:r w:rsidR="00A971AA">
          <w:rPr>
            <w:sz w:val="28"/>
            <w:szCs w:val="28"/>
          </w:rPr>
          <w:t>2</w:t>
        </w:r>
        <w:r w:rsidR="00A971AA">
          <w:rPr>
            <w:sz w:val="28"/>
            <w:szCs w:val="28"/>
          </w:rPr>
          <w:fldChar w:fldCharType="end"/>
        </w:r>
      </w:hyperlink>
    </w:p>
    <w:p w14:paraId="3FA655B5" w14:textId="77777777" w:rsidR="00EC2C51" w:rsidRDefault="00DF06DA">
      <w:pPr>
        <w:pStyle w:val="WPSOffice1"/>
        <w:tabs>
          <w:tab w:val="right" w:leader="dot" w:pos="8306"/>
        </w:tabs>
        <w:rPr>
          <w:sz w:val="28"/>
          <w:szCs w:val="28"/>
        </w:rPr>
      </w:pPr>
      <w:hyperlink w:anchor="_Toc5781" w:history="1">
        <w:r w:rsidR="00A971AA">
          <w:rPr>
            <w:rFonts w:ascii="黑体" w:eastAsia="黑体" w:hAnsi="宋体" w:cs="黑体"/>
            <w:sz w:val="28"/>
            <w:szCs w:val="28"/>
          </w:rPr>
          <w:t>一、现状及挑战</w:t>
        </w:r>
        <w:r w:rsidR="00A971AA">
          <w:rPr>
            <w:sz w:val="28"/>
            <w:szCs w:val="28"/>
          </w:rPr>
          <w:tab/>
        </w:r>
        <w:r w:rsidR="00A971AA">
          <w:rPr>
            <w:sz w:val="28"/>
            <w:szCs w:val="28"/>
          </w:rPr>
          <w:fldChar w:fldCharType="begin"/>
        </w:r>
        <w:r w:rsidR="00A971AA">
          <w:rPr>
            <w:sz w:val="28"/>
            <w:szCs w:val="28"/>
          </w:rPr>
          <w:instrText xml:space="preserve"> PAGEREF _Toc5781 \h </w:instrText>
        </w:r>
        <w:r w:rsidR="00A971AA">
          <w:rPr>
            <w:sz w:val="28"/>
            <w:szCs w:val="28"/>
          </w:rPr>
        </w:r>
        <w:r w:rsidR="00A971AA">
          <w:rPr>
            <w:sz w:val="28"/>
            <w:szCs w:val="28"/>
          </w:rPr>
          <w:fldChar w:fldCharType="separate"/>
        </w:r>
        <w:r w:rsidR="00A971AA">
          <w:rPr>
            <w:sz w:val="28"/>
            <w:szCs w:val="28"/>
          </w:rPr>
          <w:t>2</w:t>
        </w:r>
        <w:r w:rsidR="00A971AA">
          <w:rPr>
            <w:sz w:val="28"/>
            <w:szCs w:val="28"/>
          </w:rPr>
          <w:fldChar w:fldCharType="end"/>
        </w:r>
      </w:hyperlink>
    </w:p>
    <w:p w14:paraId="6B32E229" w14:textId="77777777" w:rsidR="00EC2C51" w:rsidRDefault="00DF06DA">
      <w:pPr>
        <w:pStyle w:val="WPSOffice1"/>
        <w:tabs>
          <w:tab w:val="right" w:leader="dot" w:pos="8306"/>
        </w:tabs>
        <w:rPr>
          <w:sz w:val="28"/>
          <w:szCs w:val="28"/>
        </w:rPr>
      </w:pPr>
      <w:hyperlink w:anchor="_Toc8014" w:history="1">
        <w:r w:rsidR="00A971AA">
          <w:rPr>
            <w:rFonts w:ascii="黑体" w:eastAsia="黑体" w:hAnsi="宋体" w:cs="黑体"/>
            <w:sz w:val="28"/>
            <w:szCs w:val="28"/>
          </w:rPr>
          <w:t>二、指导思想、原则及目标</w:t>
        </w:r>
        <w:r w:rsidR="00A971AA">
          <w:rPr>
            <w:sz w:val="28"/>
            <w:szCs w:val="28"/>
          </w:rPr>
          <w:tab/>
        </w:r>
        <w:r w:rsidR="00A971AA">
          <w:rPr>
            <w:sz w:val="28"/>
            <w:szCs w:val="28"/>
          </w:rPr>
          <w:fldChar w:fldCharType="begin"/>
        </w:r>
        <w:r w:rsidR="00A971AA">
          <w:rPr>
            <w:sz w:val="28"/>
            <w:szCs w:val="28"/>
          </w:rPr>
          <w:instrText xml:space="preserve"> PAGEREF _Toc8014 \h </w:instrText>
        </w:r>
        <w:r w:rsidR="00A971AA">
          <w:rPr>
            <w:sz w:val="28"/>
            <w:szCs w:val="28"/>
          </w:rPr>
        </w:r>
        <w:r w:rsidR="00A971AA">
          <w:rPr>
            <w:sz w:val="28"/>
            <w:szCs w:val="28"/>
          </w:rPr>
          <w:fldChar w:fldCharType="separate"/>
        </w:r>
        <w:r w:rsidR="00A971AA">
          <w:rPr>
            <w:sz w:val="28"/>
            <w:szCs w:val="28"/>
          </w:rPr>
          <w:t>11</w:t>
        </w:r>
        <w:r w:rsidR="00A971AA">
          <w:rPr>
            <w:sz w:val="28"/>
            <w:szCs w:val="28"/>
          </w:rPr>
          <w:fldChar w:fldCharType="end"/>
        </w:r>
      </w:hyperlink>
    </w:p>
    <w:p w14:paraId="1A1B1DD5" w14:textId="77777777" w:rsidR="00EC2C51" w:rsidRDefault="00DF06DA">
      <w:pPr>
        <w:pStyle w:val="WPSOffice1"/>
        <w:tabs>
          <w:tab w:val="right" w:leader="dot" w:pos="8306"/>
        </w:tabs>
        <w:rPr>
          <w:sz w:val="28"/>
          <w:szCs w:val="28"/>
        </w:rPr>
      </w:pPr>
      <w:hyperlink w:anchor="_Toc9607" w:history="1">
        <w:r w:rsidR="00A971AA">
          <w:rPr>
            <w:rFonts w:ascii="黑体" w:eastAsia="黑体" w:hAnsi="宋体" w:cs="黑体"/>
            <w:sz w:val="28"/>
            <w:szCs w:val="28"/>
          </w:rPr>
          <w:t>三、主要建设任务</w:t>
        </w:r>
        <w:r w:rsidR="00A971AA">
          <w:rPr>
            <w:sz w:val="28"/>
            <w:szCs w:val="28"/>
          </w:rPr>
          <w:tab/>
        </w:r>
        <w:r w:rsidR="00A971AA">
          <w:rPr>
            <w:sz w:val="28"/>
            <w:szCs w:val="28"/>
          </w:rPr>
          <w:fldChar w:fldCharType="begin"/>
        </w:r>
        <w:r w:rsidR="00A971AA">
          <w:rPr>
            <w:sz w:val="28"/>
            <w:szCs w:val="28"/>
          </w:rPr>
          <w:instrText xml:space="preserve"> PAGEREF _Toc9607 \h </w:instrText>
        </w:r>
        <w:r w:rsidR="00A971AA">
          <w:rPr>
            <w:sz w:val="28"/>
            <w:szCs w:val="28"/>
          </w:rPr>
        </w:r>
        <w:r w:rsidR="00A971AA">
          <w:rPr>
            <w:sz w:val="28"/>
            <w:szCs w:val="28"/>
          </w:rPr>
          <w:fldChar w:fldCharType="separate"/>
        </w:r>
        <w:r w:rsidR="00A971AA">
          <w:rPr>
            <w:sz w:val="28"/>
            <w:szCs w:val="28"/>
          </w:rPr>
          <w:t>14</w:t>
        </w:r>
        <w:r w:rsidR="00A971AA">
          <w:rPr>
            <w:sz w:val="28"/>
            <w:szCs w:val="28"/>
          </w:rPr>
          <w:fldChar w:fldCharType="end"/>
        </w:r>
      </w:hyperlink>
    </w:p>
    <w:p w14:paraId="1D542D40" w14:textId="77777777" w:rsidR="00EC2C51" w:rsidRDefault="00DF06DA">
      <w:pPr>
        <w:pStyle w:val="WPSOffice1"/>
        <w:tabs>
          <w:tab w:val="right" w:leader="dot" w:pos="8306"/>
        </w:tabs>
        <w:rPr>
          <w:sz w:val="28"/>
          <w:szCs w:val="28"/>
        </w:rPr>
      </w:pPr>
      <w:hyperlink w:anchor="_Toc17351" w:history="1">
        <w:r w:rsidR="00A971AA">
          <w:rPr>
            <w:rFonts w:ascii="黑体" w:eastAsia="黑体" w:hAnsi="宋体" w:cs="黑体"/>
            <w:sz w:val="28"/>
            <w:szCs w:val="28"/>
          </w:rPr>
          <w:t>四、重点建设项目</w:t>
        </w:r>
        <w:r w:rsidR="00A971AA">
          <w:rPr>
            <w:sz w:val="28"/>
            <w:szCs w:val="28"/>
          </w:rPr>
          <w:tab/>
        </w:r>
        <w:r w:rsidR="00A971AA">
          <w:rPr>
            <w:sz w:val="28"/>
            <w:szCs w:val="28"/>
          </w:rPr>
          <w:fldChar w:fldCharType="begin"/>
        </w:r>
        <w:r w:rsidR="00A971AA">
          <w:rPr>
            <w:sz w:val="28"/>
            <w:szCs w:val="28"/>
          </w:rPr>
          <w:instrText xml:space="preserve"> PAGEREF _Toc17351 \h </w:instrText>
        </w:r>
        <w:r w:rsidR="00A971AA">
          <w:rPr>
            <w:sz w:val="28"/>
            <w:szCs w:val="28"/>
          </w:rPr>
        </w:r>
        <w:r w:rsidR="00A971AA">
          <w:rPr>
            <w:sz w:val="28"/>
            <w:szCs w:val="28"/>
          </w:rPr>
          <w:fldChar w:fldCharType="separate"/>
        </w:r>
        <w:r w:rsidR="00A971AA">
          <w:rPr>
            <w:sz w:val="28"/>
            <w:szCs w:val="28"/>
          </w:rPr>
          <w:t>28</w:t>
        </w:r>
        <w:r w:rsidR="00A971AA">
          <w:rPr>
            <w:sz w:val="28"/>
            <w:szCs w:val="28"/>
          </w:rPr>
          <w:fldChar w:fldCharType="end"/>
        </w:r>
      </w:hyperlink>
    </w:p>
    <w:p w14:paraId="4158C4EB" w14:textId="77777777" w:rsidR="00EC2C51" w:rsidRDefault="00DF06DA">
      <w:pPr>
        <w:pStyle w:val="WPSOffice1"/>
        <w:tabs>
          <w:tab w:val="right" w:leader="dot" w:pos="8306"/>
        </w:tabs>
        <w:rPr>
          <w:sz w:val="28"/>
          <w:szCs w:val="28"/>
        </w:rPr>
      </w:pPr>
      <w:hyperlink w:anchor="_Toc16188" w:history="1">
        <w:r w:rsidR="00A971AA">
          <w:rPr>
            <w:rFonts w:ascii="黑体" w:eastAsia="黑体" w:hAnsi="宋体" w:cs="黑体"/>
            <w:sz w:val="28"/>
            <w:szCs w:val="28"/>
          </w:rPr>
          <w:t>五、保障措施</w:t>
        </w:r>
        <w:r w:rsidR="00A971AA">
          <w:rPr>
            <w:sz w:val="28"/>
            <w:szCs w:val="28"/>
          </w:rPr>
          <w:tab/>
        </w:r>
        <w:r w:rsidR="00A971AA">
          <w:rPr>
            <w:sz w:val="28"/>
            <w:szCs w:val="28"/>
          </w:rPr>
          <w:fldChar w:fldCharType="begin"/>
        </w:r>
        <w:r w:rsidR="00A971AA">
          <w:rPr>
            <w:sz w:val="28"/>
            <w:szCs w:val="28"/>
          </w:rPr>
          <w:instrText xml:space="preserve"> PAGEREF _Toc16188 \h </w:instrText>
        </w:r>
        <w:r w:rsidR="00A971AA">
          <w:rPr>
            <w:sz w:val="28"/>
            <w:szCs w:val="28"/>
          </w:rPr>
        </w:r>
        <w:r w:rsidR="00A971AA">
          <w:rPr>
            <w:sz w:val="28"/>
            <w:szCs w:val="28"/>
          </w:rPr>
          <w:fldChar w:fldCharType="separate"/>
        </w:r>
        <w:r w:rsidR="00A971AA">
          <w:rPr>
            <w:sz w:val="28"/>
            <w:szCs w:val="28"/>
          </w:rPr>
          <w:t>35</w:t>
        </w:r>
        <w:r w:rsidR="00A971AA">
          <w:rPr>
            <w:sz w:val="28"/>
            <w:szCs w:val="28"/>
          </w:rPr>
          <w:fldChar w:fldCharType="end"/>
        </w:r>
      </w:hyperlink>
    </w:p>
    <w:p w14:paraId="05874EF4" w14:textId="77777777" w:rsidR="00EC2C51" w:rsidRDefault="00DF06DA">
      <w:pPr>
        <w:pStyle w:val="WPSOffice1"/>
        <w:tabs>
          <w:tab w:val="right" w:leader="dot" w:pos="8306"/>
        </w:tabs>
        <w:rPr>
          <w:sz w:val="28"/>
          <w:szCs w:val="28"/>
        </w:rPr>
      </w:pPr>
      <w:hyperlink w:anchor="_Toc26386" w:history="1">
        <w:r w:rsidR="00A971AA">
          <w:rPr>
            <w:rFonts w:ascii="方正小标宋_GBK" w:eastAsia="方正小标宋_GBK" w:hAnsi="方正小标宋_GBK" w:cs="方正小标宋_GBK"/>
            <w:sz w:val="28"/>
            <w:szCs w:val="28"/>
          </w:rPr>
          <w:t>第二</w:t>
        </w:r>
        <w:r w:rsidR="00A971AA">
          <w:rPr>
            <w:rFonts w:ascii="方正小标宋_GBK" w:eastAsia="方正小标宋_GBK" w:hAnsi="方正小标宋_GBK" w:cs="方正小标宋_GBK" w:hint="eastAsia"/>
            <w:sz w:val="28"/>
            <w:szCs w:val="28"/>
          </w:rPr>
          <w:t xml:space="preserve">篇 </w:t>
        </w:r>
        <w:r w:rsidR="00A971AA">
          <w:rPr>
            <w:rFonts w:ascii="方正小标宋_GBK" w:eastAsia="方正小标宋_GBK" w:hAnsi="方正小标宋_GBK" w:cs="方正小标宋_GBK"/>
            <w:sz w:val="28"/>
            <w:szCs w:val="28"/>
          </w:rPr>
          <w:t>安全生产“十四五”规划</w:t>
        </w:r>
        <w:r w:rsidR="00A971AA">
          <w:rPr>
            <w:sz w:val="28"/>
            <w:szCs w:val="28"/>
          </w:rPr>
          <w:tab/>
        </w:r>
        <w:r w:rsidR="00A971AA">
          <w:rPr>
            <w:sz w:val="28"/>
            <w:szCs w:val="28"/>
          </w:rPr>
          <w:fldChar w:fldCharType="begin"/>
        </w:r>
        <w:r w:rsidR="00A971AA">
          <w:rPr>
            <w:sz w:val="28"/>
            <w:szCs w:val="28"/>
          </w:rPr>
          <w:instrText xml:space="preserve"> PAGEREF _Toc26386 \h </w:instrText>
        </w:r>
        <w:r w:rsidR="00A971AA">
          <w:rPr>
            <w:sz w:val="28"/>
            <w:szCs w:val="28"/>
          </w:rPr>
        </w:r>
        <w:r w:rsidR="00A971AA">
          <w:rPr>
            <w:sz w:val="28"/>
            <w:szCs w:val="28"/>
          </w:rPr>
          <w:fldChar w:fldCharType="separate"/>
        </w:r>
        <w:r w:rsidR="00A971AA">
          <w:rPr>
            <w:sz w:val="28"/>
            <w:szCs w:val="28"/>
          </w:rPr>
          <w:t>38</w:t>
        </w:r>
        <w:r w:rsidR="00A971AA">
          <w:rPr>
            <w:sz w:val="28"/>
            <w:szCs w:val="28"/>
          </w:rPr>
          <w:fldChar w:fldCharType="end"/>
        </w:r>
      </w:hyperlink>
    </w:p>
    <w:p w14:paraId="32ECA97A" w14:textId="77777777" w:rsidR="00EC2C51" w:rsidRDefault="00DF06DA">
      <w:pPr>
        <w:pStyle w:val="WPSOffice1"/>
        <w:tabs>
          <w:tab w:val="right" w:leader="dot" w:pos="8306"/>
        </w:tabs>
        <w:rPr>
          <w:sz w:val="28"/>
          <w:szCs w:val="28"/>
        </w:rPr>
      </w:pPr>
      <w:hyperlink w:anchor="_Toc27429" w:history="1">
        <w:r w:rsidR="00A971AA">
          <w:rPr>
            <w:rFonts w:ascii="黑体" w:eastAsia="黑体" w:hAnsi="宋体" w:cs="黑体"/>
            <w:sz w:val="28"/>
            <w:szCs w:val="28"/>
          </w:rPr>
          <w:t>一、现状与形势</w:t>
        </w:r>
        <w:r w:rsidR="00A971AA">
          <w:rPr>
            <w:sz w:val="28"/>
            <w:szCs w:val="28"/>
          </w:rPr>
          <w:tab/>
        </w:r>
        <w:r w:rsidR="00A971AA">
          <w:rPr>
            <w:sz w:val="28"/>
            <w:szCs w:val="28"/>
          </w:rPr>
          <w:fldChar w:fldCharType="begin"/>
        </w:r>
        <w:r w:rsidR="00A971AA">
          <w:rPr>
            <w:sz w:val="28"/>
            <w:szCs w:val="28"/>
          </w:rPr>
          <w:instrText xml:space="preserve"> PAGEREF _Toc27429 \h </w:instrText>
        </w:r>
        <w:r w:rsidR="00A971AA">
          <w:rPr>
            <w:sz w:val="28"/>
            <w:szCs w:val="28"/>
          </w:rPr>
        </w:r>
        <w:r w:rsidR="00A971AA">
          <w:rPr>
            <w:sz w:val="28"/>
            <w:szCs w:val="28"/>
          </w:rPr>
          <w:fldChar w:fldCharType="separate"/>
        </w:r>
        <w:r w:rsidR="00A971AA">
          <w:rPr>
            <w:sz w:val="28"/>
            <w:szCs w:val="28"/>
          </w:rPr>
          <w:t>39</w:t>
        </w:r>
        <w:r w:rsidR="00A971AA">
          <w:rPr>
            <w:sz w:val="28"/>
            <w:szCs w:val="28"/>
          </w:rPr>
          <w:fldChar w:fldCharType="end"/>
        </w:r>
      </w:hyperlink>
    </w:p>
    <w:p w14:paraId="3C2E880F" w14:textId="77777777" w:rsidR="00EC2C51" w:rsidRDefault="00DF06DA">
      <w:pPr>
        <w:pStyle w:val="WPSOffice1"/>
        <w:tabs>
          <w:tab w:val="right" w:leader="dot" w:pos="8306"/>
        </w:tabs>
        <w:rPr>
          <w:sz w:val="28"/>
          <w:szCs w:val="28"/>
        </w:rPr>
      </w:pPr>
      <w:hyperlink w:anchor="_Toc9117" w:history="1">
        <w:r w:rsidR="00A971AA">
          <w:rPr>
            <w:rFonts w:ascii="黑体" w:eastAsia="黑体" w:hAnsi="宋体" w:cs="黑体"/>
            <w:sz w:val="28"/>
            <w:szCs w:val="28"/>
          </w:rPr>
          <w:t>二、指导思想、原则与目标</w:t>
        </w:r>
        <w:r w:rsidR="00A971AA">
          <w:rPr>
            <w:sz w:val="28"/>
            <w:szCs w:val="28"/>
          </w:rPr>
          <w:tab/>
        </w:r>
        <w:r w:rsidR="00A971AA">
          <w:rPr>
            <w:sz w:val="28"/>
            <w:szCs w:val="28"/>
          </w:rPr>
          <w:fldChar w:fldCharType="begin"/>
        </w:r>
        <w:r w:rsidR="00A971AA">
          <w:rPr>
            <w:sz w:val="28"/>
            <w:szCs w:val="28"/>
          </w:rPr>
          <w:instrText xml:space="preserve"> PAGEREF _Toc9117 \h </w:instrText>
        </w:r>
        <w:r w:rsidR="00A971AA">
          <w:rPr>
            <w:sz w:val="28"/>
            <w:szCs w:val="28"/>
          </w:rPr>
        </w:r>
        <w:r w:rsidR="00A971AA">
          <w:rPr>
            <w:sz w:val="28"/>
            <w:szCs w:val="28"/>
          </w:rPr>
          <w:fldChar w:fldCharType="separate"/>
        </w:r>
        <w:r w:rsidR="00A971AA">
          <w:rPr>
            <w:sz w:val="28"/>
            <w:szCs w:val="28"/>
          </w:rPr>
          <w:t>46</w:t>
        </w:r>
        <w:r w:rsidR="00A971AA">
          <w:rPr>
            <w:sz w:val="28"/>
            <w:szCs w:val="28"/>
          </w:rPr>
          <w:fldChar w:fldCharType="end"/>
        </w:r>
      </w:hyperlink>
    </w:p>
    <w:p w14:paraId="60268003" w14:textId="77777777" w:rsidR="00EC2C51" w:rsidRDefault="00DF06DA">
      <w:pPr>
        <w:pStyle w:val="WPSOffice1"/>
        <w:tabs>
          <w:tab w:val="right" w:leader="dot" w:pos="8306"/>
        </w:tabs>
        <w:rPr>
          <w:sz w:val="28"/>
          <w:szCs w:val="28"/>
        </w:rPr>
      </w:pPr>
      <w:hyperlink w:anchor="_Toc7405" w:history="1">
        <w:r w:rsidR="00A971AA">
          <w:rPr>
            <w:rFonts w:ascii="黑体" w:eastAsia="黑体" w:hAnsi="宋体" w:cs="黑体"/>
            <w:sz w:val="28"/>
            <w:szCs w:val="28"/>
          </w:rPr>
          <w:t>三、主要任务</w:t>
        </w:r>
        <w:r w:rsidR="00A971AA">
          <w:rPr>
            <w:sz w:val="28"/>
            <w:szCs w:val="28"/>
          </w:rPr>
          <w:tab/>
        </w:r>
        <w:r w:rsidR="00A971AA">
          <w:rPr>
            <w:sz w:val="28"/>
            <w:szCs w:val="28"/>
          </w:rPr>
          <w:fldChar w:fldCharType="begin"/>
        </w:r>
        <w:r w:rsidR="00A971AA">
          <w:rPr>
            <w:sz w:val="28"/>
            <w:szCs w:val="28"/>
          </w:rPr>
          <w:instrText xml:space="preserve"> PAGEREF _Toc7405 \h </w:instrText>
        </w:r>
        <w:r w:rsidR="00A971AA">
          <w:rPr>
            <w:sz w:val="28"/>
            <w:szCs w:val="28"/>
          </w:rPr>
        </w:r>
        <w:r w:rsidR="00A971AA">
          <w:rPr>
            <w:sz w:val="28"/>
            <w:szCs w:val="28"/>
          </w:rPr>
          <w:fldChar w:fldCharType="separate"/>
        </w:r>
        <w:r w:rsidR="00A971AA">
          <w:rPr>
            <w:sz w:val="28"/>
            <w:szCs w:val="28"/>
          </w:rPr>
          <w:t>50</w:t>
        </w:r>
        <w:r w:rsidR="00A971AA">
          <w:rPr>
            <w:sz w:val="28"/>
            <w:szCs w:val="28"/>
          </w:rPr>
          <w:fldChar w:fldCharType="end"/>
        </w:r>
      </w:hyperlink>
    </w:p>
    <w:p w14:paraId="4009E7C1" w14:textId="77777777" w:rsidR="00EC2C51" w:rsidRDefault="00DF06DA">
      <w:pPr>
        <w:pStyle w:val="WPSOffice1"/>
        <w:tabs>
          <w:tab w:val="right" w:leader="dot" w:pos="8306"/>
        </w:tabs>
        <w:rPr>
          <w:sz w:val="28"/>
          <w:szCs w:val="28"/>
        </w:rPr>
      </w:pPr>
      <w:hyperlink w:anchor="_Toc14466" w:history="1">
        <w:r w:rsidR="00A971AA">
          <w:rPr>
            <w:rFonts w:ascii="黑体" w:eastAsia="黑体" w:hAnsi="宋体" w:cs="黑体"/>
            <w:sz w:val="28"/>
            <w:szCs w:val="28"/>
          </w:rPr>
          <w:t>四、重点工程</w:t>
        </w:r>
        <w:r w:rsidR="00A971AA">
          <w:rPr>
            <w:sz w:val="28"/>
            <w:szCs w:val="28"/>
          </w:rPr>
          <w:tab/>
        </w:r>
        <w:r w:rsidR="00A971AA">
          <w:rPr>
            <w:sz w:val="28"/>
            <w:szCs w:val="28"/>
          </w:rPr>
          <w:fldChar w:fldCharType="begin"/>
        </w:r>
        <w:r w:rsidR="00A971AA">
          <w:rPr>
            <w:sz w:val="28"/>
            <w:szCs w:val="28"/>
          </w:rPr>
          <w:instrText xml:space="preserve"> PAGEREF _Toc14466 \h </w:instrText>
        </w:r>
        <w:r w:rsidR="00A971AA">
          <w:rPr>
            <w:sz w:val="28"/>
            <w:szCs w:val="28"/>
          </w:rPr>
        </w:r>
        <w:r w:rsidR="00A971AA">
          <w:rPr>
            <w:sz w:val="28"/>
            <w:szCs w:val="28"/>
          </w:rPr>
          <w:fldChar w:fldCharType="separate"/>
        </w:r>
        <w:r w:rsidR="00A971AA">
          <w:rPr>
            <w:sz w:val="28"/>
            <w:szCs w:val="28"/>
          </w:rPr>
          <w:t>65</w:t>
        </w:r>
        <w:r w:rsidR="00A971AA">
          <w:rPr>
            <w:sz w:val="28"/>
            <w:szCs w:val="28"/>
          </w:rPr>
          <w:fldChar w:fldCharType="end"/>
        </w:r>
      </w:hyperlink>
    </w:p>
    <w:p w14:paraId="570CA9D5" w14:textId="77777777" w:rsidR="00EC2C51" w:rsidRDefault="00DF06DA">
      <w:pPr>
        <w:pStyle w:val="WPSOffice1"/>
        <w:tabs>
          <w:tab w:val="right" w:leader="dot" w:pos="8306"/>
        </w:tabs>
        <w:rPr>
          <w:sz w:val="28"/>
          <w:szCs w:val="28"/>
        </w:rPr>
      </w:pPr>
      <w:hyperlink w:anchor="_Toc22588" w:history="1">
        <w:r w:rsidR="00A971AA">
          <w:rPr>
            <w:rFonts w:ascii="黑体" w:eastAsia="黑体" w:hAnsi="宋体" w:cs="黑体"/>
            <w:sz w:val="28"/>
            <w:szCs w:val="28"/>
          </w:rPr>
          <w:t>五、保障措施</w:t>
        </w:r>
        <w:r w:rsidR="00A971AA">
          <w:rPr>
            <w:sz w:val="28"/>
            <w:szCs w:val="28"/>
          </w:rPr>
          <w:tab/>
        </w:r>
        <w:r w:rsidR="00A971AA">
          <w:rPr>
            <w:sz w:val="28"/>
            <w:szCs w:val="28"/>
          </w:rPr>
          <w:fldChar w:fldCharType="begin"/>
        </w:r>
        <w:r w:rsidR="00A971AA">
          <w:rPr>
            <w:sz w:val="28"/>
            <w:szCs w:val="28"/>
          </w:rPr>
          <w:instrText xml:space="preserve"> PAGEREF _Toc22588 \h </w:instrText>
        </w:r>
        <w:r w:rsidR="00A971AA">
          <w:rPr>
            <w:sz w:val="28"/>
            <w:szCs w:val="28"/>
          </w:rPr>
        </w:r>
        <w:r w:rsidR="00A971AA">
          <w:rPr>
            <w:sz w:val="28"/>
            <w:szCs w:val="28"/>
          </w:rPr>
          <w:fldChar w:fldCharType="separate"/>
        </w:r>
        <w:r w:rsidR="00A971AA">
          <w:rPr>
            <w:sz w:val="28"/>
            <w:szCs w:val="28"/>
          </w:rPr>
          <w:t>68</w:t>
        </w:r>
        <w:r w:rsidR="00A971AA">
          <w:rPr>
            <w:sz w:val="28"/>
            <w:szCs w:val="28"/>
          </w:rPr>
          <w:fldChar w:fldCharType="end"/>
        </w:r>
      </w:hyperlink>
    </w:p>
    <w:p w14:paraId="1BDC3E9A" w14:textId="77777777" w:rsidR="00EC2C51" w:rsidRDefault="00DF06DA">
      <w:pPr>
        <w:pStyle w:val="WPSOffice1"/>
        <w:tabs>
          <w:tab w:val="right" w:leader="dot" w:pos="8306"/>
        </w:tabs>
        <w:rPr>
          <w:sz w:val="28"/>
          <w:szCs w:val="28"/>
        </w:rPr>
      </w:pPr>
      <w:hyperlink w:anchor="_Toc5288" w:history="1">
        <w:r w:rsidR="00A971AA">
          <w:rPr>
            <w:rFonts w:ascii="方正小标宋_GBK" w:eastAsia="方正小标宋_GBK" w:hAnsi="方正小标宋_GBK" w:cs="方正小标宋_GBK"/>
            <w:sz w:val="28"/>
            <w:szCs w:val="28"/>
          </w:rPr>
          <w:t>第三</w:t>
        </w:r>
        <w:r w:rsidR="00A971AA">
          <w:rPr>
            <w:rFonts w:ascii="方正小标宋_GBK" w:eastAsia="方正小标宋_GBK" w:hAnsi="方正小标宋_GBK" w:cs="方正小标宋_GBK" w:hint="eastAsia"/>
            <w:sz w:val="28"/>
            <w:szCs w:val="28"/>
          </w:rPr>
          <w:t xml:space="preserve">篇 </w:t>
        </w:r>
        <w:r w:rsidR="00A971AA">
          <w:rPr>
            <w:rFonts w:ascii="方正小标宋_GBK" w:eastAsia="方正小标宋_GBK" w:hAnsi="方正小标宋_GBK" w:cs="方正小标宋_GBK"/>
            <w:sz w:val="28"/>
            <w:szCs w:val="28"/>
          </w:rPr>
          <w:t>综合防灾减灾救灾</w:t>
        </w:r>
        <w:r w:rsidR="00A971AA">
          <w:rPr>
            <w:sz w:val="28"/>
            <w:szCs w:val="28"/>
          </w:rPr>
          <w:tab/>
        </w:r>
        <w:r w:rsidR="00A971AA">
          <w:rPr>
            <w:sz w:val="28"/>
            <w:szCs w:val="28"/>
          </w:rPr>
          <w:fldChar w:fldCharType="begin"/>
        </w:r>
        <w:r w:rsidR="00A971AA">
          <w:rPr>
            <w:sz w:val="28"/>
            <w:szCs w:val="28"/>
          </w:rPr>
          <w:instrText xml:space="preserve"> PAGEREF _Toc5288 \h </w:instrText>
        </w:r>
        <w:r w:rsidR="00A971AA">
          <w:rPr>
            <w:sz w:val="28"/>
            <w:szCs w:val="28"/>
          </w:rPr>
        </w:r>
        <w:r w:rsidR="00A971AA">
          <w:rPr>
            <w:sz w:val="28"/>
            <w:szCs w:val="28"/>
          </w:rPr>
          <w:fldChar w:fldCharType="separate"/>
        </w:r>
        <w:r w:rsidR="00A971AA">
          <w:rPr>
            <w:sz w:val="28"/>
            <w:szCs w:val="28"/>
          </w:rPr>
          <w:t>71</w:t>
        </w:r>
        <w:r w:rsidR="00A971AA">
          <w:rPr>
            <w:sz w:val="28"/>
            <w:szCs w:val="28"/>
          </w:rPr>
          <w:fldChar w:fldCharType="end"/>
        </w:r>
      </w:hyperlink>
    </w:p>
    <w:p w14:paraId="6B5A54D6" w14:textId="77777777" w:rsidR="00EC2C51" w:rsidRDefault="00DF06DA">
      <w:pPr>
        <w:pStyle w:val="WPSOffice1"/>
        <w:tabs>
          <w:tab w:val="right" w:leader="dot" w:pos="8306"/>
        </w:tabs>
        <w:rPr>
          <w:sz w:val="28"/>
          <w:szCs w:val="28"/>
        </w:rPr>
      </w:pPr>
      <w:hyperlink w:anchor="_Toc32684" w:history="1">
        <w:r w:rsidR="00A971AA">
          <w:rPr>
            <w:rFonts w:ascii="黑体" w:eastAsia="黑体" w:hAnsi="宋体" w:cs="黑体"/>
            <w:sz w:val="28"/>
            <w:szCs w:val="28"/>
          </w:rPr>
          <w:t>一、现状与形势</w:t>
        </w:r>
        <w:r w:rsidR="00A971AA">
          <w:rPr>
            <w:sz w:val="28"/>
            <w:szCs w:val="28"/>
          </w:rPr>
          <w:tab/>
        </w:r>
        <w:r w:rsidR="00A971AA">
          <w:rPr>
            <w:sz w:val="28"/>
            <w:szCs w:val="28"/>
          </w:rPr>
          <w:fldChar w:fldCharType="begin"/>
        </w:r>
        <w:r w:rsidR="00A971AA">
          <w:rPr>
            <w:sz w:val="28"/>
            <w:szCs w:val="28"/>
          </w:rPr>
          <w:instrText xml:space="preserve"> PAGEREF _Toc32684 \h </w:instrText>
        </w:r>
        <w:r w:rsidR="00A971AA">
          <w:rPr>
            <w:sz w:val="28"/>
            <w:szCs w:val="28"/>
          </w:rPr>
        </w:r>
        <w:r w:rsidR="00A971AA">
          <w:rPr>
            <w:sz w:val="28"/>
            <w:szCs w:val="28"/>
          </w:rPr>
          <w:fldChar w:fldCharType="separate"/>
        </w:r>
        <w:r w:rsidR="00A971AA">
          <w:rPr>
            <w:sz w:val="28"/>
            <w:szCs w:val="28"/>
          </w:rPr>
          <w:t>71</w:t>
        </w:r>
        <w:r w:rsidR="00A971AA">
          <w:rPr>
            <w:sz w:val="28"/>
            <w:szCs w:val="28"/>
          </w:rPr>
          <w:fldChar w:fldCharType="end"/>
        </w:r>
      </w:hyperlink>
    </w:p>
    <w:p w14:paraId="03758D1B" w14:textId="77777777" w:rsidR="00EC2C51" w:rsidRDefault="00DF06DA">
      <w:pPr>
        <w:pStyle w:val="WPSOffice1"/>
        <w:tabs>
          <w:tab w:val="right" w:leader="dot" w:pos="8306"/>
        </w:tabs>
        <w:rPr>
          <w:sz w:val="28"/>
          <w:szCs w:val="28"/>
        </w:rPr>
      </w:pPr>
      <w:hyperlink w:anchor="_Toc31866" w:history="1">
        <w:r w:rsidR="00A971AA">
          <w:rPr>
            <w:rFonts w:ascii="黑体" w:eastAsia="黑体" w:hAnsi="宋体" w:cs="黑体"/>
            <w:sz w:val="28"/>
            <w:szCs w:val="28"/>
          </w:rPr>
          <w:t>二、指导思想、原则与目标</w:t>
        </w:r>
        <w:r w:rsidR="00A971AA">
          <w:rPr>
            <w:sz w:val="28"/>
            <w:szCs w:val="28"/>
          </w:rPr>
          <w:tab/>
        </w:r>
        <w:r w:rsidR="00A971AA">
          <w:rPr>
            <w:sz w:val="28"/>
            <w:szCs w:val="28"/>
          </w:rPr>
          <w:fldChar w:fldCharType="begin"/>
        </w:r>
        <w:r w:rsidR="00A971AA">
          <w:rPr>
            <w:sz w:val="28"/>
            <w:szCs w:val="28"/>
          </w:rPr>
          <w:instrText xml:space="preserve"> PAGEREF _Toc31866 \h </w:instrText>
        </w:r>
        <w:r w:rsidR="00A971AA">
          <w:rPr>
            <w:sz w:val="28"/>
            <w:szCs w:val="28"/>
          </w:rPr>
        </w:r>
        <w:r w:rsidR="00A971AA">
          <w:rPr>
            <w:sz w:val="28"/>
            <w:szCs w:val="28"/>
          </w:rPr>
          <w:fldChar w:fldCharType="separate"/>
        </w:r>
        <w:r w:rsidR="00A971AA">
          <w:rPr>
            <w:sz w:val="28"/>
            <w:szCs w:val="28"/>
          </w:rPr>
          <w:t>76</w:t>
        </w:r>
        <w:r w:rsidR="00A971AA">
          <w:rPr>
            <w:sz w:val="28"/>
            <w:szCs w:val="28"/>
          </w:rPr>
          <w:fldChar w:fldCharType="end"/>
        </w:r>
      </w:hyperlink>
    </w:p>
    <w:p w14:paraId="4FB305EC" w14:textId="77777777" w:rsidR="00EC2C51" w:rsidRDefault="00DF06DA">
      <w:pPr>
        <w:pStyle w:val="WPSOffice1"/>
        <w:tabs>
          <w:tab w:val="right" w:leader="dot" w:pos="8306"/>
        </w:tabs>
        <w:rPr>
          <w:sz w:val="28"/>
          <w:szCs w:val="28"/>
        </w:rPr>
      </w:pPr>
      <w:hyperlink w:anchor="_Toc26047" w:history="1">
        <w:r w:rsidR="00A971AA">
          <w:rPr>
            <w:rFonts w:ascii="黑体" w:eastAsia="黑体" w:hAnsi="宋体" w:cs="黑体"/>
            <w:sz w:val="28"/>
            <w:szCs w:val="28"/>
          </w:rPr>
          <w:t>三、主要任务</w:t>
        </w:r>
        <w:r w:rsidR="00A971AA">
          <w:rPr>
            <w:sz w:val="28"/>
            <w:szCs w:val="28"/>
          </w:rPr>
          <w:tab/>
        </w:r>
        <w:r w:rsidR="00A971AA">
          <w:rPr>
            <w:sz w:val="28"/>
            <w:szCs w:val="28"/>
          </w:rPr>
          <w:fldChar w:fldCharType="begin"/>
        </w:r>
        <w:r w:rsidR="00A971AA">
          <w:rPr>
            <w:sz w:val="28"/>
            <w:szCs w:val="28"/>
          </w:rPr>
          <w:instrText xml:space="preserve"> PAGEREF _Toc26047 \h </w:instrText>
        </w:r>
        <w:r w:rsidR="00A971AA">
          <w:rPr>
            <w:sz w:val="28"/>
            <w:szCs w:val="28"/>
          </w:rPr>
        </w:r>
        <w:r w:rsidR="00A971AA">
          <w:rPr>
            <w:sz w:val="28"/>
            <w:szCs w:val="28"/>
          </w:rPr>
          <w:fldChar w:fldCharType="separate"/>
        </w:r>
        <w:r w:rsidR="00A971AA">
          <w:rPr>
            <w:sz w:val="28"/>
            <w:szCs w:val="28"/>
          </w:rPr>
          <w:t>79</w:t>
        </w:r>
        <w:r w:rsidR="00A971AA">
          <w:rPr>
            <w:sz w:val="28"/>
            <w:szCs w:val="28"/>
          </w:rPr>
          <w:fldChar w:fldCharType="end"/>
        </w:r>
      </w:hyperlink>
    </w:p>
    <w:p w14:paraId="21F702A8" w14:textId="77777777" w:rsidR="00EC2C51" w:rsidRDefault="00DF06DA">
      <w:pPr>
        <w:pStyle w:val="WPSOffice1"/>
        <w:tabs>
          <w:tab w:val="right" w:leader="dot" w:pos="8306"/>
        </w:tabs>
        <w:rPr>
          <w:sz w:val="28"/>
          <w:szCs w:val="28"/>
        </w:rPr>
      </w:pPr>
      <w:hyperlink w:anchor="_Toc3501" w:history="1">
        <w:r w:rsidR="00A971AA">
          <w:rPr>
            <w:rFonts w:ascii="黑体" w:eastAsia="黑体" w:hAnsi="宋体" w:cs="黑体"/>
            <w:sz w:val="28"/>
            <w:szCs w:val="28"/>
          </w:rPr>
          <w:t>四、重点工程</w:t>
        </w:r>
        <w:r w:rsidR="00A971AA">
          <w:rPr>
            <w:sz w:val="28"/>
            <w:szCs w:val="28"/>
          </w:rPr>
          <w:tab/>
        </w:r>
        <w:r w:rsidR="00A971AA">
          <w:rPr>
            <w:sz w:val="28"/>
            <w:szCs w:val="28"/>
          </w:rPr>
          <w:fldChar w:fldCharType="begin"/>
        </w:r>
        <w:r w:rsidR="00A971AA">
          <w:rPr>
            <w:sz w:val="28"/>
            <w:szCs w:val="28"/>
          </w:rPr>
          <w:instrText xml:space="preserve"> PAGEREF _Toc3501 \h </w:instrText>
        </w:r>
        <w:r w:rsidR="00A971AA">
          <w:rPr>
            <w:sz w:val="28"/>
            <w:szCs w:val="28"/>
          </w:rPr>
        </w:r>
        <w:r w:rsidR="00A971AA">
          <w:rPr>
            <w:sz w:val="28"/>
            <w:szCs w:val="28"/>
          </w:rPr>
          <w:fldChar w:fldCharType="separate"/>
        </w:r>
        <w:r w:rsidR="00A971AA">
          <w:rPr>
            <w:sz w:val="28"/>
            <w:szCs w:val="28"/>
          </w:rPr>
          <w:t>91</w:t>
        </w:r>
        <w:r w:rsidR="00A971AA">
          <w:rPr>
            <w:sz w:val="28"/>
            <w:szCs w:val="28"/>
          </w:rPr>
          <w:fldChar w:fldCharType="end"/>
        </w:r>
      </w:hyperlink>
    </w:p>
    <w:p w14:paraId="1C2DAB4B" w14:textId="77777777" w:rsidR="00EC2C51" w:rsidRDefault="00DF06DA">
      <w:pPr>
        <w:pStyle w:val="WPSOffice1"/>
        <w:tabs>
          <w:tab w:val="right" w:leader="dot" w:pos="8306"/>
        </w:tabs>
        <w:rPr>
          <w:sz w:val="28"/>
          <w:szCs w:val="28"/>
        </w:rPr>
      </w:pPr>
      <w:hyperlink w:anchor="_Toc27255" w:history="1">
        <w:r w:rsidR="00A971AA">
          <w:rPr>
            <w:rFonts w:ascii="黑体" w:eastAsia="黑体" w:hAnsi="宋体" w:cs="黑体"/>
            <w:sz w:val="28"/>
            <w:szCs w:val="28"/>
          </w:rPr>
          <w:t>五、保障措施</w:t>
        </w:r>
        <w:r w:rsidR="00A971AA">
          <w:rPr>
            <w:sz w:val="28"/>
            <w:szCs w:val="28"/>
          </w:rPr>
          <w:tab/>
        </w:r>
        <w:r w:rsidR="00A971AA">
          <w:rPr>
            <w:sz w:val="28"/>
            <w:szCs w:val="28"/>
          </w:rPr>
          <w:fldChar w:fldCharType="begin"/>
        </w:r>
        <w:r w:rsidR="00A971AA">
          <w:rPr>
            <w:sz w:val="28"/>
            <w:szCs w:val="28"/>
          </w:rPr>
          <w:instrText xml:space="preserve"> PAGEREF _Toc27255 \h </w:instrText>
        </w:r>
        <w:r w:rsidR="00A971AA">
          <w:rPr>
            <w:sz w:val="28"/>
            <w:szCs w:val="28"/>
          </w:rPr>
        </w:r>
        <w:r w:rsidR="00A971AA">
          <w:rPr>
            <w:sz w:val="28"/>
            <w:szCs w:val="28"/>
          </w:rPr>
          <w:fldChar w:fldCharType="separate"/>
        </w:r>
        <w:r w:rsidR="00A971AA">
          <w:rPr>
            <w:sz w:val="28"/>
            <w:szCs w:val="28"/>
          </w:rPr>
          <w:t>97</w:t>
        </w:r>
        <w:r w:rsidR="00A971AA">
          <w:rPr>
            <w:sz w:val="28"/>
            <w:szCs w:val="28"/>
          </w:rPr>
          <w:fldChar w:fldCharType="end"/>
        </w:r>
      </w:hyperlink>
    </w:p>
    <w:p w14:paraId="1F1121EF" w14:textId="77777777" w:rsidR="00EC2C51" w:rsidRDefault="00A971AA">
      <w:pPr>
        <w:pStyle w:val="HTML1"/>
        <w:widowControl/>
        <w:jc w:val="center"/>
        <w:rPr>
          <w:rFonts w:ascii="Times New Roman" w:eastAsia="Times New Roman" w:hAnsi="Times New Roman" w:cs="Times New Roman" w:hint="default"/>
          <w:sz w:val="28"/>
          <w:szCs w:val="28"/>
        </w:rPr>
      </w:pPr>
      <w:r>
        <w:rPr>
          <w:rFonts w:ascii="Times New Roman" w:eastAsia="Times New Roman" w:hAnsi="Times New Roman" w:cs="Times New Roman"/>
          <w:sz w:val="28"/>
          <w:szCs w:val="28"/>
        </w:rPr>
        <w:fldChar w:fldCharType="end"/>
      </w:r>
    </w:p>
    <w:p w14:paraId="6F4F7E73" w14:textId="77777777" w:rsidR="00EC2C51" w:rsidRDefault="00EC2C51">
      <w:pPr>
        <w:pStyle w:val="HTML1"/>
        <w:widowControl/>
        <w:jc w:val="both"/>
        <w:rPr>
          <w:rFonts w:hint="default"/>
        </w:rPr>
        <w:sectPr w:rsidR="00EC2C51">
          <w:footerReference w:type="default" r:id="rId8"/>
          <w:pgSz w:w="11906" w:h="16838"/>
          <w:pgMar w:top="1440" w:right="1800" w:bottom="1440" w:left="1800" w:header="851" w:footer="992" w:gutter="0"/>
          <w:cols w:space="720"/>
          <w:docGrid w:type="lines" w:linePitch="312"/>
        </w:sectPr>
      </w:pPr>
    </w:p>
    <w:p w14:paraId="57B2FD8F" w14:textId="77777777" w:rsidR="00EC2C51" w:rsidRDefault="00EC2C51">
      <w:pPr>
        <w:pStyle w:val="HTML1"/>
        <w:widowControl/>
        <w:jc w:val="both"/>
        <w:rPr>
          <w:rFonts w:ascii="方正小标宋_GBK" w:eastAsia="方正小标宋_GBK" w:hAnsi="方正小标宋_GBK" w:cs="方正小标宋_GBK" w:hint="default"/>
          <w:color w:val="000000"/>
          <w:sz w:val="36"/>
          <w:szCs w:val="36"/>
        </w:rPr>
      </w:pPr>
    </w:p>
    <w:p w14:paraId="08B6337D" w14:textId="77777777" w:rsidR="00EC2C51" w:rsidRDefault="00A971AA">
      <w:pPr>
        <w:spacing w:before="114" w:line="228" w:lineRule="auto"/>
        <w:ind w:left="4009"/>
        <w:outlineLvl w:val="0"/>
        <w:rPr>
          <w:rFonts w:ascii="黑体" w:eastAsia="黑体" w:hAnsi="黑体"/>
          <w:sz w:val="35"/>
          <w:szCs w:val="35"/>
        </w:rPr>
      </w:pPr>
      <w:bookmarkStart w:id="1" w:name="_Toc24246"/>
      <w:r>
        <w:rPr>
          <w:rFonts w:ascii="黑体" w:eastAsia="黑体" w:hAnsi="黑体"/>
          <w:spacing w:val="11"/>
          <w:sz w:val="35"/>
          <w:szCs w:val="35"/>
        </w:rPr>
        <w:t>前</w:t>
      </w:r>
      <w:r>
        <w:rPr>
          <w:rFonts w:ascii="黑体" w:eastAsia="黑体" w:hAnsi="黑体"/>
          <w:spacing w:val="9"/>
          <w:sz w:val="35"/>
          <w:szCs w:val="35"/>
        </w:rPr>
        <w:t xml:space="preserve"> 言</w:t>
      </w:r>
      <w:bookmarkEnd w:id="1"/>
    </w:p>
    <w:p w14:paraId="50E20266" w14:textId="77777777" w:rsidR="00EC2C51" w:rsidRDefault="00EC2C51">
      <w:pPr>
        <w:spacing w:line="270" w:lineRule="auto"/>
        <w:rPr>
          <w:rFonts w:ascii="Arial"/>
        </w:rPr>
      </w:pPr>
    </w:p>
    <w:p w14:paraId="0982E18B" w14:textId="77777777" w:rsidR="00EC2C51" w:rsidRDefault="00EC2C51">
      <w:pPr>
        <w:spacing w:line="270" w:lineRule="auto"/>
        <w:rPr>
          <w:rFonts w:ascii="Arial"/>
        </w:rPr>
      </w:pPr>
    </w:p>
    <w:p w14:paraId="7D1346D7" w14:textId="77777777" w:rsidR="00EC2C51" w:rsidRDefault="00A971AA">
      <w:pPr>
        <w:pStyle w:val="HTML1"/>
        <w:widowControl/>
        <w:ind w:firstLine="640"/>
        <w:rPr>
          <w:rFonts w:ascii="仿宋_GB2312" w:eastAsia="仿宋_GB2312" w:cs="仿宋_GB2312" w:hint="default"/>
          <w:color w:val="000000"/>
          <w:sz w:val="31"/>
          <w:szCs w:val="31"/>
        </w:rPr>
      </w:pPr>
      <w:r>
        <w:rPr>
          <w:rFonts w:ascii="仿宋_GB2312" w:eastAsia="仿宋_GB2312" w:cs="仿宋_GB2312"/>
          <w:color w:val="000000"/>
          <w:sz w:val="31"/>
          <w:szCs w:val="31"/>
        </w:rPr>
        <w:t>“十四五”时期，是我国全面建成小康社会、实现第一个百年奋斗目标之后，乘势而上开启全面建设社会主义现代化国家新征程、向第二个百年奋斗目标进军的第一个五年，也是康巴什设区以来编制的第一个应急管理五年规划，更是康巴什区步入新发展阶段、贯彻新发展理念、构建新发展格局，实现高质量发展的攻坚期。科学、高效编制并组织实施好《康巴什区应急管理“十四五”规划》意义重大。</w:t>
      </w:r>
    </w:p>
    <w:p w14:paraId="6791B2E5" w14:textId="77777777" w:rsidR="00EC2C51" w:rsidRDefault="00A971AA">
      <w:pPr>
        <w:pStyle w:val="HTML1"/>
        <w:widowControl/>
        <w:ind w:firstLine="640"/>
        <w:rPr>
          <w:rFonts w:ascii="仿宋_GB2312" w:eastAsia="仿宋_GB2312" w:cs="仿宋_GB2312" w:hint="default"/>
          <w:color w:val="000000"/>
          <w:sz w:val="31"/>
          <w:szCs w:val="31"/>
        </w:rPr>
      </w:pPr>
      <w:r>
        <w:rPr>
          <w:rFonts w:ascii="仿宋_GB2312" w:eastAsia="仿宋_GB2312" w:cs="仿宋_GB2312"/>
          <w:color w:val="000000"/>
          <w:sz w:val="31"/>
          <w:szCs w:val="31"/>
        </w:rPr>
        <w:t>本规划依据《中共中央关于制定国民经济和社会发展第十四个五年规划和二〇三五年远景目标的建议》《内蒙古自治区国民经济和社会发展第十四个五年规划和2035年远景目标纲要》《内蒙古自治区应急体系建设“十四五”规划》《鄂尔多斯市国民经济和社会发展第十四个五年规划和2035年远景目标纲要》《鄂尔多斯市应急体系建设“十四五”规划》等文件编制，立足康巴什区实际和未来发展要求，对“十四五”时期康巴什区应急管理工作的具体思路和实现路径进行总体设计。</w:t>
      </w:r>
    </w:p>
    <w:p w14:paraId="5B88E0B8" w14:textId="77777777" w:rsidR="00EC2C51" w:rsidRDefault="00EC2C51">
      <w:pPr>
        <w:pStyle w:val="HTML1"/>
        <w:widowControl/>
        <w:ind w:firstLine="640"/>
        <w:rPr>
          <w:rFonts w:ascii="仿宋_GB2312" w:eastAsia="仿宋_GB2312" w:cs="仿宋_GB2312" w:hint="default"/>
          <w:color w:val="000000"/>
          <w:sz w:val="31"/>
          <w:szCs w:val="31"/>
        </w:rPr>
      </w:pPr>
    </w:p>
    <w:p w14:paraId="2D21D168" w14:textId="77777777" w:rsidR="00EC2C51" w:rsidRDefault="00EC2C51">
      <w:pPr>
        <w:pStyle w:val="HTML1"/>
        <w:widowControl/>
        <w:ind w:firstLine="640"/>
        <w:rPr>
          <w:rFonts w:ascii="仿宋_GB2312" w:eastAsia="仿宋_GB2312" w:cs="仿宋_GB2312" w:hint="default"/>
          <w:color w:val="000000"/>
          <w:sz w:val="31"/>
          <w:szCs w:val="31"/>
        </w:rPr>
      </w:pPr>
    </w:p>
    <w:p w14:paraId="056B3F1A" w14:textId="77777777" w:rsidR="00EC2C51" w:rsidRDefault="00EC2C51">
      <w:pPr>
        <w:pStyle w:val="HTML1"/>
        <w:widowControl/>
        <w:jc w:val="center"/>
        <w:rPr>
          <w:rFonts w:ascii="方正小标宋_GBK" w:eastAsia="方正小标宋_GBK" w:hAnsi="方正小标宋_GBK" w:cs="方正小标宋_GBK" w:hint="default"/>
          <w:color w:val="000000"/>
          <w:sz w:val="36"/>
          <w:szCs w:val="36"/>
        </w:rPr>
      </w:pPr>
    </w:p>
    <w:p w14:paraId="7E608462" w14:textId="77777777" w:rsidR="00EC2C51" w:rsidRDefault="00EC2C51">
      <w:pPr>
        <w:pStyle w:val="HTML1"/>
        <w:widowControl/>
        <w:jc w:val="center"/>
        <w:rPr>
          <w:rFonts w:ascii="方正小标宋_GBK" w:eastAsia="方正小标宋_GBK" w:hAnsi="方正小标宋_GBK" w:cs="方正小标宋_GBK" w:hint="default"/>
          <w:color w:val="000000"/>
          <w:sz w:val="36"/>
          <w:szCs w:val="36"/>
        </w:rPr>
      </w:pPr>
    </w:p>
    <w:p w14:paraId="57C3AFCB" w14:textId="77777777" w:rsidR="00EC2C51" w:rsidRDefault="00EC2C51">
      <w:pPr>
        <w:pStyle w:val="HTML1"/>
        <w:widowControl/>
        <w:jc w:val="center"/>
        <w:rPr>
          <w:rFonts w:ascii="方正小标宋_GBK" w:eastAsia="方正小标宋_GBK" w:hAnsi="方正小标宋_GBK" w:cs="方正小标宋_GBK" w:hint="default"/>
          <w:color w:val="000000"/>
          <w:sz w:val="36"/>
          <w:szCs w:val="36"/>
        </w:rPr>
      </w:pPr>
    </w:p>
    <w:p w14:paraId="093BD2E5" w14:textId="77777777" w:rsidR="00EC2C51" w:rsidRDefault="00A971AA">
      <w:pPr>
        <w:pStyle w:val="HTML1"/>
        <w:widowControl/>
        <w:numPr>
          <w:ilvl w:val="0"/>
          <w:numId w:val="1"/>
        </w:numPr>
        <w:jc w:val="center"/>
        <w:outlineLvl w:val="0"/>
        <w:rPr>
          <w:rFonts w:ascii="方正小标宋_GBK" w:eastAsia="方正小标宋_GBK" w:hAnsi="方正小标宋_GBK" w:cs="方正小标宋_GBK" w:hint="default"/>
          <w:color w:val="000000"/>
          <w:sz w:val="36"/>
          <w:szCs w:val="36"/>
        </w:rPr>
      </w:pPr>
      <w:bookmarkStart w:id="2" w:name="_Toc11767"/>
      <w:r>
        <w:rPr>
          <w:rFonts w:ascii="方正小标宋_GBK" w:eastAsia="方正小标宋_GBK" w:hAnsi="方正小标宋_GBK" w:cs="方正小标宋_GBK" w:hint="default"/>
          <w:color w:val="000000"/>
          <w:sz w:val="36"/>
          <w:szCs w:val="36"/>
        </w:rPr>
        <w:t>综合应急管理体系建设</w:t>
      </w:r>
      <w:bookmarkEnd w:id="2"/>
    </w:p>
    <w:p w14:paraId="57164DFE" w14:textId="77777777" w:rsidR="00EC2C51" w:rsidRDefault="00A971AA">
      <w:pPr>
        <w:pStyle w:val="HTML1"/>
        <w:widowControl/>
        <w:jc w:val="center"/>
        <w:rPr>
          <w:rFonts w:hint="default"/>
        </w:rPr>
      </w:pPr>
      <w:r>
        <w:rPr>
          <w:rFonts w:ascii="方正小标宋_GBK" w:eastAsia="方正小标宋_GBK" w:hAnsi="方正小标宋_GBK" w:cs="方正小标宋_GBK" w:hint="default"/>
          <w:color w:val="000000"/>
          <w:sz w:val="36"/>
          <w:szCs w:val="36"/>
        </w:rPr>
        <w:t>“十四五”规划</w:t>
      </w:r>
    </w:p>
    <w:p w14:paraId="0DBAE8F6" w14:textId="77777777" w:rsidR="00EC2C51" w:rsidRDefault="00EC2C51">
      <w:pPr>
        <w:pStyle w:val="HTML1"/>
        <w:widowControl/>
        <w:ind w:firstLine="640"/>
        <w:rPr>
          <w:rFonts w:ascii="仿宋_GB2312" w:eastAsia="仿宋_GB2312" w:cs="仿宋_GB2312" w:hint="default"/>
          <w:color w:val="000000"/>
          <w:sz w:val="31"/>
          <w:szCs w:val="31"/>
        </w:rPr>
      </w:pPr>
    </w:p>
    <w:p w14:paraId="5687D71E" w14:textId="77777777" w:rsidR="00EC2C51" w:rsidRDefault="00A971AA">
      <w:pPr>
        <w:pStyle w:val="HTML1"/>
        <w:widowControl/>
        <w:ind w:firstLine="640"/>
        <w:rPr>
          <w:rFonts w:hint="default"/>
        </w:rPr>
      </w:pPr>
      <w:r>
        <w:rPr>
          <w:rFonts w:ascii="仿宋_GB2312" w:eastAsia="仿宋_GB2312" w:cs="仿宋_GB2312"/>
          <w:color w:val="000000"/>
          <w:sz w:val="31"/>
          <w:szCs w:val="31"/>
        </w:rPr>
        <w:t>“十四五”时期是我国由全面建成小康社会向基本实现社会主义现代化迈进的关键时期，也是康巴什区全面贯彻习近平新时代中国特色社会主义思想和党的十九大精神，实现康巴什区经济社会高质量发展的关键时期。全面推进应急管理体系和能力现代化建设，防范化解重大安全风险，及时处置各类突发事件，为康巴什区应急管理事业发展、营造社会安全稳定发展格局提供重要保障。</w:t>
      </w:r>
    </w:p>
    <w:p w14:paraId="34548B1E" w14:textId="77777777" w:rsidR="00EC2C51" w:rsidRDefault="00A971AA">
      <w:pPr>
        <w:pStyle w:val="HTML1"/>
        <w:widowControl/>
        <w:ind w:firstLine="640"/>
        <w:rPr>
          <w:rFonts w:hint="default"/>
        </w:rPr>
      </w:pPr>
      <w:r>
        <w:rPr>
          <w:rFonts w:ascii="仿宋_GB2312" w:eastAsia="仿宋_GB2312" w:cs="仿宋_GB2312"/>
          <w:color w:val="000000"/>
          <w:sz w:val="31"/>
          <w:szCs w:val="31"/>
        </w:rPr>
        <w:t>本规划编制依据《中华人民共和国突发事件应对法》《习近平总书记在中央政治局第十九次集体学习重要讲话》《应急管理信息化发展战略规划框架（2018-2022年）》《中华人民共和国国民经济和社会发展第十四个五年规划和2035年远景目标纲要》《内蒙古自治区国民经济和社会发展第十四个五年规划和2035年远景目标纲要》《内蒙古自治区应急体系建设“十四五”规划》《鄂尔多斯市国民经济和社会发展第十四个五年规划和2035年远景目标纲要》，科学编制康巴什区应急管理体系建设规划，对康巴什区“十四五”时期应急管理事业发展和奋斗目标的实现具有重要的战略意义。</w:t>
      </w:r>
    </w:p>
    <w:p w14:paraId="2A69C2FC" w14:textId="77777777" w:rsidR="00EC2C51" w:rsidRDefault="00A971AA">
      <w:pPr>
        <w:pStyle w:val="HTML1"/>
        <w:widowControl/>
        <w:ind w:firstLine="640"/>
        <w:outlineLvl w:val="0"/>
        <w:rPr>
          <w:rFonts w:hint="default"/>
        </w:rPr>
      </w:pPr>
      <w:bookmarkStart w:id="3" w:name="_Toc5781"/>
      <w:r>
        <w:rPr>
          <w:rFonts w:ascii="黑体" w:eastAsia="黑体" w:cs="黑体"/>
          <w:color w:val="000000"/>
          <w:sz w:val="31"/>
          <w:szCs w:val="31"/>
        </w:rPr>
        <w:t>一、现状及挑战</w:t>
      </w:r>
      <w:bookmarkEnd w:id="3"/>
    </w:p>
    <w:p w14:paraId="366A0328" w14:textId="77777777" w:rsidR="00EC2C51" w:rsidRDefault="00A971AA">
      <w:pPr>
        <w:pStyle w:val="HTML1"/>
        <w:widowControl/>
        <w:ind w:firstLine="640"/>
        <w:outlineLvl w:val="1"/>
        <w:rPr>
          <w:rFonts w:hint="default"/>
        </w:rPr>
      </w:pPr>
      <w:bookmarkStart w:id="4" w:name="_Toc17609"/>
      <w:r>
        <w:rPr>
          <w:rFonts w:ascii="楷体_GB2312" w:eastAsia="楷体_GB2312" w:cs="楷体_GB2312"/>
          <w:color w:val="000000"/>
          <w:sz w:val="31"/>
          <w:szCs w:val="31"/>
        </w:rPr>
        <w:lastRenderedPageBreak/>
        <w:t>（一）设区以来发展现状</w:t>
      </w:r>
      <w:bookmarkEnd w:id="4"/>
    </w:p>
    <w:p w14:paraId="1C07E58F" w14:textId="77777777" w:rsidR="00EC2C51" w:rsidRDefault="00A971AA">
      <w:pPr>
        <w:widowControl/>
        <w:ind w:firstLineChars="200" w:firstLine="620"/>
        <w:jc w:val="left"/>
        <w:rPr>
          <w:rFonts w:ascii="仿宋_GB2312" w:eastAsia="仿宋_GB2312" w:cs="仿宋_GB2312"/>
          <w:color w:val="000000"/>
          <w:sz w:val="31"/>
          <w:szCs w:val="31"/>
        </w:rPr>
      </w:pPr>
      <w:r>
        <w:rPr>
          <w:rFonts w:ascii="仿宋_GB2312" w:eastAsia="仿宋_GB2312" w:cs="仿宋_GB2312" w:hint="eastAsia"/>
          <w:color w:val="000000"/>
          <w:sz w:val="31"/>
          <w:szCs w:val="31"/>
        </w:rPr>
        <w:t>设区以来，康巴什区各级党委、政府高度重视应急工作，</w:t>
      </w:r>
      <w:r>
        <w:rPr>
          <w:rFonts w:ascii="仿宋_GB2312" w:eastAsia="仿宋_GB2312" w:hAnsi="宋体" w:cs="仿宋_GB2312"/>
          <w:color w:val="000000"/>
          <w:kern w:val="0"/>
          <w:sz w:val="31"/>
          <w:szCs w:val="31"/>
        </w:rPr>
        <w:t>始终坚持</w:t>
      </w:r>
      <w:r>
        <w:rPr>
          <w:rFonts w:ascii="仿宋_GB2312" w:eastAsia="仿宋_GB2312" w:hAnsi="宋体" w:cs="仿宋_GB2312"/>
          <w:color w:val="000000"/>
          <w:kern w:val="0"/>
          <w:sz w:val="31"/>
          <w:szCs w:val="31"/>
        </w:rPr>
        <w:t>“</w:t>
      </w:r>
      <w:r>
        <w:rPr>
          <w:rFonts w:ascii="仿宋_GB2312" w:eastAsia="仿宋_GB2312" w:hAnsi="宋体" w:cs="仿宋_GB2312"/>
          <w:color w:val="000000"/>
          <w:kern w:val="0"/>
          <w:sz w:val="31"/>
          <w:szCs w:val="31"/>
        </w:rPr>
        <w:t>防灾减灾，人命关天；应急管理，责重泰山</w:t>
      </w:r>
      <w:r>
        <w:rPr>
          <w:rFonts w:ascii="仿宋_GB2312" w:eastAsia="仿宋_GB2312" w:hAnsi="宋体" w:cs="仿宋_GB2312"/>
          <w:color w:val="000000"/>
          <w:kern w:val="0"/>
          <w:sz w:val="31"/>
          <w:szCs w:val="31"/>
        </w:rPr>
        <w:t>”</w:t>
      </w:r>
      <w:r>
        <w:rPr>
          <w:rFonts w:ascii="仿宋_GB2312" w:eastAsia="仿宋_GB2312" w:hAnsi="宋体" w:cs="仿宋_GB2312"/>
          <w:color w:val="000000"/>
          <w:kern w:val="0"/>
          <w:sz w:val="31"/>
          <w:szCs w:val="31"/>
        </w:rPr>
        <w:t>的宗旨，</w:t>
      </w:r>
      <w:r>
        <w:rPr>
          <w:rFonts w:ascii="仿宋_GB2312" w:eastAsia="仿宋_GB2312" w:cs="仿宋_GB2312" w:hint="eastAsia"/>
          <w:color w:val="000000"/>
          <w:sz w:val="31"/>
          <w:szCs w:val="31"/>
        </w:rPr>
        <w:t>牢固树立“敢于担当、敢于负责、迎难而上”的理念，认真贯彻落实国家、自治区、市关于加强应急管理工作的决策部署，高度重视应急管理体系建设，大力推进应急体制、应急机制、应急预案建设，加大对应急保障、应急科技以及应急救援队伍的投入，康巴什区突发事件预防和应对工作水平得到进一步提升，应急管理体系和能力建设得到进一步增强。</w:t>
      </w:r>
    </w:p>
    <w:p w14:paraId="75FE521F" w14:textId="77777777" w:rsidR="00EC2C51" w:rsidRDefault="00A971AA">
      <w:pPr>
        <w:widowControl/>
        <w:ind w:firstLineChars="200" w:firstLine="620"/>
        <w:jc w:val="left"/>
        <w:rPr>
          <w:rFonts w:ascii="仿宋_GB2312" w:eastAsia="仿宋_GB2312" w:cs="仿宋_GB2312"/>
          <w:color w:val="000000"/>
          <w:sz w:val="31"/>
          <w:szCs w:val="31"/>
        </w:rPr>
      </w:pPr>
      <w:r>
        <w:rPr>
          <w:rFonts w:ascii="仿宋_GB2312" w:eastAsia="仿宋_GB2312" w:hAnsi="宋体" w:cs="仿宋_GB2312" w:hint="eastAsia"/>
          <w:color w:val="000000"/>
          <w:kern w:val="0"/>
          <w:sz w:val="31"/>
          <w:szCs w:val="31"/>
        </w:rPr>
        <w:t>1.建立健全应急管理体制。康巴什区积极适应应急管理改革发</w:t>
      </w:r>
      <w:r>
        <w:rPr>
          <w:rFonts w:ascii="仿宋_GB2312" w:eastAsia="仿宋_GB2312" w:cs="仿宋_GB2312" w:hint="eastAsia"/>
          <w:color w:val="000000"/>
          <w:sz w:val="31"/>
          <w:szCs w:val="31"/>
        </w:rPr>
        <w:t>展的新形势，健全机构，落实责任，严格执法，夯实基础，牢筑防线，着力实现真指挥、真应急、真安全、真提升。康巴什区应急管理局于2019年3月14日挂牌成立，先后整合了</w:t>
      </w:r>
      <w:r>
        <w:rPr>
          <w:rFonts w:ascii="仿宋_GB2312" w:eastAsia="仿宋_GB2312" w:hAnsi="仿宋_GB2312" w:cs="仿宋_GB2312" w:hint="eastAsia"/>
          <w:sz w:val="32"/>
          <w:szCs w:val="32"/>
        </w:rPr>
        <w:t>原区安监局的职责，区政府办公室的应急管理职责，区发展和改革委的地震及震灾应急救援职责，区民政局的救灾职责，区统筹城乡发展管理局的水旱灾害防治职责，区防汛抗旱、减灾、抗震救灾等指挥部（委员会）的职责</w:t>
      </w:r>
      <w:r>
        <w:rPr>
          <w:rFonts w:ascii="仿宋_GB2312" w:eastAsia="仿宋_GB2312" w:cs="仿宋_GB2312" w:hint="eastAsia"/>
          <w:color w:val="000000"/>
          <w:sz w:val="31"/>
          <w:szCs w:val="31"/>
        </w:rPr>
        <w:t>。在机构改革过程中，不断加强与相关部门沟通协调，先后与其他区直各部门完成人员转隶、职能转化、物资交接，在理顺机制、明确职责的基础上，迅速地进入全面“应急”工作状态。目前，康巴什区先后建立</w:t>
      </w:r>
      <w:r>
        <w:rPr>
          <w:rFonts w:eastAsia="仿宋_GB2312" w:hAnsi="Times New Roman" w:hint="eastAsia"/>
          <w:color w:val="000000"/>
          <w:sz w:val="32"/>
        </w:rPr>
        <w:t>安全生产委员会</w:t>
      </w:r>
      <w:r>
        <w:rPr>
          <w:rFonts w:ascii="仿宋_GB2312" w:eastAsia="仿宋_GB2312" w:hAnsi="Times New Roman"/>
          <w:color w:val="000000"/>
          <w:sz w:val="32"/>
        </w:rPr>
        <w:t>、减灾委</w:t>
      </w:r>
      <w:r>
        <w:rPr>
          <w:rFonts w:ascii="仿宋_GB2312" w:eastAsia="仿宋_GB2312" w:hAnsi="Times New Roman" w:hint="eastAsia"/>
          <w:color w:val="000000"/>
          <w:sz w:val="32"/>
        </w:rPr>
        <w:t>员会</w:t>
      </w:r>
      <w:r>
        <w:rPr>
          <w:rFonts w:ascii="仿宋_GB2312" w:eastAsia="仿宋_GB2312" w:hAnsi="Times New Roman"/>
          <w:color w:val="000000"/>
          <w:sz w:val="32"/>
        </w:rPr>
        <w:t>、防汛抗旱指挥部、森林草原防灭火指挥部、抗震救灾指挥部等议事机构</w:t>
      </w:r>
      <w:r>
        <w:rPr>
          <w:rFonts w:ascii="仿宋_GB2312" w:eastAsia="仿宋_GB2312" w:hAnsi="Times New Roman"/>
          <w:color w:val="000000"/>
          <w:sz w:val="32"/>
        </w:rPr>
        <w:lastRenderedPageBreak/>
        <w:t>组织架构和运行规则</w:t>
      </w:r>
      <w:r>
        <w:rPr>
          <w:rFonts w:eastAsia="仿宋_GB2312" w:hAnsi="Times New Roman" w:hint="eastAsia"/>
          <w:color w:val="000000"/>
          <w:sz w:val="32"/>
        </w:rPr>
        <w:t>，制定了工作规则。</w:t>
      </w:r>
      <w:r>
        <w:rPr>
          <w:rFonts w:ascii="仿宋_GB2312" w:eastAsia="仿宋_GB2312" w:cs="仿宋_GB2312" w:hint="eastAsia"/>
          <w:color w:val="000000"/>
          <w:sz w:val="31"/>
          <w:szCs w:val="31"/>
        </w:rPr>
        <w:t>在康巴什区应急管理机构改革过程中，始终坚持边工作、边改革、边</w:t>
      </w:r>
      <w:r>
        <w:rPr>
          <w:rFonts w:ascii="仿宋_GB2312" w:eastAsia="仿宋_GB2312" w:hAnsi="宋体" w:cs="仿宋_GB2312"/>
          <w:color w:val="000000"/>
          <w:kern w:val="0"/>
          <w:sz w:val="31"/>
          <w:szCs w:val="31"/>
        </w:rPr>
        <w:t>总结、边完善的原则，主动适应应急管理新要求，坚持先立后破、</w:t>
      </w:r>
      <w:r>
        <w:rPr>
          <w:rFonts w:ascii="仿宋_GB2312" w:eastAsia="仿宋_GB2312" w:cs="仿宋_GB2312" w:hint="eastAsia"/>
          <w:color w:val="000000"/>
          <w:sz w:val="31"/>
          <w:szCs w:val="31"/>
        </w:rPr>
        <w:t>不立不破的改革原则，逐步实现应急管理工作的职能划转。</w:t>
      </w:r>
    </w:p>
    <w:p w14:paraId="38A171CA" w14:textId="77777777" w:rsidR="00EC2C51" w:rsidRDefault="00A971AA">
      <w:pPr>
        <w:widowControl/>
        <w:ind w:firstLineChars="200" w:firstLine="620"/>
        <w:jc w:val="left"/>
      </w:pPr>
      <w:r>
        <w:rPr>
          <w:rFonts w:ascii="仿宋_GB2312" w:eastAsia="仿宋_GB2312" w:cs="仿宋_GB2312" w:hint="eastAsia"/>
          <w:color w:val="000000"/>
          <w:sz w:val="31"/>
          <w:szCs w:val="31"/>
        </w:rPr>
        <w:t>2.修订完善应急预案体系。不断完善应急管理体系，提高应急处置科学指挥，强化应急预案执行力。不断强化应急预案的编制、修订、管理等工作，形成有效组织、协同应对、反应迅速的突发事件处置机制。结合实际，修订康巴什区突发事件总体应急预案和防汛抗旱、抗震救灾、地质灾害、安全生产等各</w:t>
      </w:r>
      <w:proofErr w:type="gramStart"/>
      <w:r>
        <w:rPr>
          <w:rFonts w:ascii="仿宋_GB2312" w:eastAsia="仿宋_GB2312" w:cs="仿宋_GB2312" w:hint="eastAsia"/>
          <w:color w:val="000000"/>
          <w:sz w:val="31"/>
          <w:szCs w:val="31"/>
        </w:rPr>
        <w:t>类领域</w:t>
      </w:r>
      <w:proofErr w:type="gramEnd"/>
      <w:r>
        <w:rPr>
          <w:rFonts w:ascii="仿宋_GB2312" w:eastAsia="仿宋_GB2312" w:cs="仿宋_GB2312" w:hint="eastAsia"/>
          <w:color w:val="000000"/>
          <w:sz w:val="31"/>
          <w:szCs w:val="31"/>
        </w:rPr>
        <w:t>专项预案，明确了领导组织机构、成员单位职责、信息报告、监测预警及响应、应急处置、恢复和应急保障等方面内容。</w:t>
      </w:r>
    </w:p>
    <w:p w14:paraId="2497160C" w14:textId="77777777" w:rsidR="00EC2C51" w:rsidRDefault="00A971AA">
      <w:pPr>
        <w:pStyle w:val="HTML1"/>
        <w:widowControl/>
        <w:ind w:firstLine="640"/>
        <w:rPr>
          <w:rFonts w:ascii="仿宋_GB2312" w:eastAsia="仿宋_GB2312" w:cs="仿宋_GB2312" w:hint="default"/>
          <w:color w:val="000000"/>
          <w:sz w:val="31"/>
          <w:szCs w:val="31"/>
        </w:rPr>
      </w:pPr>
      <w:r>
        <w:rPr>
          <w:rFonts w:ascii="仿宋_GB2312" w:eastAsia="仿宋_GB2312" w:cs="仿宋_GB2312"/>
          <w:color w:val="000000"/>
          <w:sz w:val="31"/>
          <w:szCs w:val="31"/>
        </w:rPr>
        <w:t>截至2020年底，康巴什区各类应急预案总数达9件，其中，专项应急预案共 6件、部门预案3件，常见的各类突发事件和工矿商贸、危险化学品等企业的应急预案覆盖率均达到100%。康巴什区安全生产委员会各有关成员单位、各企业根据自身情况组织开展多种形式的实战演练、专项演练，进一步提高了人民群众的自救互救能力，切实增强了应急预案的可操作性，进一步形成全面覆盖、有效衔接、结构完整、管理有序的应急预案体系。</w:t>
      </w:r>
    </w:p>
    <w:p w14:paraId="53357EA9" w14:textId="77777777" w:rsidR="00EC2C51" w:rsidRDefault="00A971AA">
      <w:pPr>
        <w:pStyle w:val="HTML1"/>
        <w:widowControl/>
        <w:ind w:firstLineChars="200" w:firstLine="620"/>
        <w:rPr>
          <w:rFonts w:hint="default"/>
        </w:rPr>
      </w:pPr>
      <w:r>
        <w:rPr>
          <w:rFonts w:ascii="仿宋_GB2312" w:eastAsia="仿宋_GB2312" w:cs="仿宋_GB2312"/>
          <w:color w:val="000000"/>
          <w:sz w:val="31"/>
          <w:szCs w:val="31"/>
        </w:rPr>
        <w:t>3.强化训练应急救援队伍。康巴什区应急管理局成立之后，对人员调配、突发公共事件处置流程和安全生产委员会办</w:t>
      </w:r>
      <w:r>
        <w:rPr>
          <w:rFonts w:ascii="仿宋_GB2312" w:eastAsia="仿宋_GB2312" w:cs="仿宋_GB2312"/>
          <w:color w:val="000000"/>
          <w:sz w:val="31"/>
          <w:szCs w:val="31"/>
        </w:rPr>
        <w:lastRenderedPageBreak/>
        <w:t>公室职责进行重新界定，将现有的应急专业队伍进行布局调整和装备更新完善。根据康巴什区突发事件类别特点，区应急管理局统筹协调，会同有关单位，按照“一专多能、一队多用”的建设定位和要求，以消防救援队伍、民兵应急分队、预备役部队、武警部队、医疗队伍及其他专业应急救援队伍为依托，组建区级综合性应急救援队伍，承担全区范围内发生的暴雨洪涝、森林火灾、地震、地质灾害（崩塌、滑坡、泥石流）、沙尘暴等自然灾害和道路交通事故、建设工程事故、建（构）筑物事故、危险化学品事故、水上事故、工矿商贸等生产安全事故以及群众遇险等社会安全事件的抢险救援任务。康巴什区现有应急救援队伍包括消防救援大队、森林草原防灭火队伍、红十字会、医疗救护、水电暖气、通信抢修等13支专业应急救援队伍160人；社会救援队伍和覆盖各街道5支综合救援队伍共50人的救援力量。</w:t>
      </w:r>
    </w:p>
    <w:p w14:paraId="4648EAFE" w14:textId="77777777" w:rsidR="00EC2C51" w:rsidRDefault="00A971AA">
      <w:pPr>
        <w:pStyle w:val="HTML1"/>
        <w:widowControl/>
        <w:ind w:firstLineChars="200" w:firstLine="620"/>
        <w:rPr>
          <w:rFonts w:hint="default"/>
        </w:rPr>
      </w:pPr>
      <w:r>
        <w:rPr>
          <w:rFonts w:ascii="仿宋_GB2312" w:eastAsia="仿宋_GB2312" w:cs="仿宋_GB2312"/>
          <w:color w:val="000000"/>
          <w:sz w:val="31"/>
          <w:szCs w:val="31"/>
        </w:rPr>
        <w:t>4.应急和安全意识显著增强。设区期间，康巴什区加大全民应急知识、应急技能、安全文化的宣传力度，充分利用安全微视频、公益广告、</w:t>
      </w:r>
      <w:proofErr w:type="gramStart"/>
      <w:r>
        <w:rPr>
          <w:rFonts w:ascii="仿宋_GB2312" w:eastAsia="仿宋_GB2312" w:cs="仿宋_GB2312"/>
          <w:color w:val="000000"/>
          <w:sz w:val="31"/>
          <w:szCs w:val="31"/>
        </w:rPr>
        <w:t>动漫作品</w:t>
      </w:r>
      <w:proofErr w:type="gramEnd"/>
      <w:r>
        <w:rPr>
          <w:rFonts w:ascii="仿宋_GB2312" w:eastAsia="仿宋_GB2312" w:cs="仿宋_GB2312"/>
          <w:color w:val="000000"/>
          <w:sz w:val="31"/>
          <w:szCs w:val="31"/>
        </w:rPr>
        <w:t>、安全手册、海报、挂图、横幅和户外电子屏、社区</w:t>
      </w:r>
      <w:proofErr w:type="gramStart"/>
      <w:r>
        <w:rPr>
          <w:rFonts w:ascii="仿宋_GB2312" w:eastAsia="仿宋_GB2312" w:cs="仿宋_GB2312"/>
          <w:color w:val="000000"/>
          <w:sz w:val="31"/>
          <w:szCs w:val="31"/>
        </w:rPr>
        <w:t>微信群</w:t>
      </w:r>
      <w:proofErr w:type="gramEnd"/>
      <w:r>
        <w:rPr>
          <w:rFonts w:ascii="仿宋_GB2312" w:eastAsia="仿宋_GB2312" w:cs="仿宋_GB2312"/>
          <w:color w:val="000000"/>
          <w:sz w:val="31"/>
          <w:szCs w:val="31"/>
        </w:rPr>
        <w:t>、宣传栏等方式，向全社会大力宣传普及公共安全和应急防护知识，提高群众防灾自救能力。重点开展学校开学和复课安全防控以及居家学生生活安全教育。发挥育人功能，强化学生和教职工安全意识，做到安全宣传从早抓起、从小抓起，根植安全理念，普及生活安全、交通安全、</w:t>
      </w:r>
      <w:r>
        <w:rPr>
          <w:rFonts w:ascii="仿宋_GB2312" w:eastAsia="仿宋_GB2312" w:cs="仿宋_GB2312"/>
          <w:color w:val="000000"/>
          <w:sz w:val="31"/>
          <w:szCs w:val="31"/>
        </w:rPr>
        <w:lastRenderedPageBreak/>
        <w:t>消防安全等方面的知识，使学生和教职工做到能应急懂避险、能自救会互救。把安全宣传“五进”工作与精神文明创建、社会治安综合治理、全民普法、文化科技卫生等有机结合起来，一并推动落实，营造关心安全、参与安全、呵护安全、共筑安全的浓厚氛围。</w:t>
      </w:r>
    </w:p>
    <w:p w14:paraId="766BE4B1" w14:textId="77777777" w:rsidR="00EC2C51" w:rsidRDefault="00A971AA">
      <w:pPr>
        <w:pStyle w:val="HTML1"/>
        <w:widowControl/>
        <w:ind w:firstLine="640"/>
        <w:rPr>
          <w:rFonts w:hint="default"/>
        </w:rPr>
      </w:pPr>
      <w:r>
        <w:rPr>
          <w:rFonts w:ascii="仿宋_GB2312" w:eastAsia="仿宋_GB2312" w:cs="仿宋_GB2312"/>
          <w:color w:val="000000"/>
          <w:sz w:val="31"/>
          <w:szCs w:val="31"/>
        </w:rPr>
        <w:t>5.应急监测和处置能力得到提高。应急管理部门、重点行业监管部门及负有监管职责的其他部门严格执行全年24小时应急值守制度，确保发生突发事件时能及时报告、迅速响应、科学处置。加强信息报送，制定实施《应急信息报告制度》，针对突发事件及时启动联动机制，高效开展处置。常态监测突发事件隐患，全面收集信息，准确掌握情况，及时发布预警、警示信息。</w:t>
      </w:r>
    </w:p>
    <w:p w14:paraId="24315303" w14:textId="77777777" w:rsidR="00EC2C51" w:rsidRDefault="00A971AA">
      <w:pPr>
        <w:pStyle w:val="HTML1"/>
        <w:widowControl/>
        <w:ind w:firstLine="640"/>
        <w:outlineLvl w:val="1"/>
        <w:rPr>
          <w:rFonts w:hint="default"/>
        </w:rPr>
      </w:pPr>
      <w:bookmarkStart w:id="5" w:name="_Toc118"/>
      <w:r>
        <w:rPr>
          <w:rFonts w:ascii="楷体_GB2312" w:eastAsia="楷体_GB2312" w:cs="楷体_GB2312"/>
          <w:color w:val="000000"/>
          <w:sz w:val="31"/>
          <w:szCs w:val="31"/>
        </w:rPr>
        <w:t>（二）设区以来存在的问题</w:t>
      </w:r>
      <w:bookmarkEnd w:id="5"/>
    </w:p>
    <w:p w14:paraId="134A658C" w14:textId="77777777" w:rsidR="00EC2C51" w:rsidRDefault="00A971AA">
      <w:pPr>
        <w:pStyle w:val="HTML1"/>
        <w:widowControl/>
        <w:ind w:firstLine="640"/>
        <w:rPr>
          <w:rFonts w:hint="default"/>
        </w:rPr>
      </w:pPr>
      <w:r>
        <w:rPr>
          <w:rFonts w:ascii="仿宋_GB2312" w:eastAsia="仿宋_GB2312" w:cs="仿宋_GB2312"/>
          <w:color w:val="000000"/>
          <w:sz w:val="31"/>
          <w:szCs w:val="31"/>
        </w:rPr>
        <w:t>设区以来，康巴什区应急管理工作取得了一定成效，突发事件的应急处置能力得到了极大程度的提高。但是由于应急管理机构成立较晚，康巴什区应急管理工作的制度化、法制化和规范化尚处于萌芽阶段，且各街道以及各有关企事业单位应急管理工作进展不平衡，应急预案体系不完善，应急物资保障能力还需进一步加强，目前应急管理工作仍存在明显不足。</w:t>
      </w:r>
    </w:p>
    <w:p w14:paraId="28265BF7" w14:textId="77777777" w:rsidR="00EC2C51" w:rsidRDefault="00A971AA">
      <w:pPr>
        <w:widowControl/>
        <w:ind w:firstLineChars="200" w:firstLine="620"/>
        <w:jc w:val="left"/>
      </w:pPr>
      <w:r>
        <w:rPr>
          <w:rFonts w:ascii="仿宋_GB2312" w:eastAsia="仿宋_GB2312" w:cs="仿宋_GB2312" w:hint="eastAsia"/>
          <w:color w:val="000000"/>
          <w:sz w:val="31"/>
          <w:szCs w:val="31"/>
        </w:rPr>
        <w:t>1.应急管理体制机制有待进一步健全。康巴什区应急管理“一案三制”的工作格局已初步形成，但区、街道两级政府和有关部门的体制机制还不健全。目前，康巴什区街道、社区还</w:t>
      </w:r>
      <w:r>
        <w:rPr>
          <w:rFonts w:ascii="仿宋_GB2312" w:eastAsia="仿宋_GB2312" w:cs="仿宋_GB2312" w:hint="eastAsia"/>
          <w:color w:val="000000"/>
          <w:sz w:val="31"/>
          <w:szCs w:val="31"/>
        </w:rPr>
        <w:lastRenderedPageBreak/>
        <w:t>没有成立</w:t>
      </w:r>
      <w:r>
        <w:rPr>
          <w:rFonts w:ascii="仿宋_GB2312" w:eastAsia="仿宋_GB2312" w:hAnsi="宋体" w:cs="仿宋_GB2312"/>
          <w:color w:val="000000"/>
          <w:kern w:val="0"/>
          <w:sz w:val="31"/>
          <w:szCs w:val="31"/>
        </w:rPr>
        <w:t>专门机构和安排专门人员负责应急管理工作，还存在着职责不明</w:t>
      </w:r>
      <w:r>
        <w:rPr>
          <w:rFonts w:ascii="仿宋_GB2312" w:eastAsia="仿宋_GB2312" w:cs="仿宋_GB2312" w:hint="eastAsia"/>
          <w:color w:val="000000"/>
          <w:sz w:val="31"/>
          <w:szCs w:val="31"/>
        </w:rPr>
        <w:t>确、人员不到位、应急处置与应急日常管理工作脱节等问题；应急值守和突发事件报告规范化、标准化、信息化建设还比较滞后。部门之间、地区之间应急联动协调不够紧密，响应机制不灵活，从上到下指挥不协调，部门间联动运行不充分，在处理突发事件过程中，响应不到位的现象还比较普遍。</w:t>
      </w:r>
    </w:p>
    <w:p w14:paraId="62A2DDBB" w14:textId="77777777" w:rsidR="00EC2C51" w:rsidRDefault="00A971AA">
      <w:pPr>
        <w:pStyle w:val="HTML1"/>
        <w:widowControl/>
        <w:ind w:firstLine="640"/>
        <w:rPr>
          <w:rFonts w:hint="default"/>
        </w:rPr>
      </w:pPr>
      <w:r>
        <w:rPr>
          <w:rFonts w:ascii="仿宋_GB2312" w:eastAsia="仿宋_GB2312" w:cs="仿宋_GB2312"/>
          <w:color w:val="000000"/>
          <w:sz w:val="31"/>
          <w:szCs w:val="31"/>
        </w:rPr>
        <w:t>2.应急预案体系需要进一步优化。目前，全区仍有部分街道和部门的部分应急预案没有编制完成，不利于依法、依程序对各类突发事件进行有效防范和处置，离应急预案体系“横向到边、纵向到底”的要求有一定差距，同时，部分预案的实用性、可操作性不强、风险评估不到位，企业预案与政府预案衔接不紧密；存在应急演练面向基层演练次数少且贴近实战不够的情况，在一定程度上影响了预案的操作性和可行性。</w:t>
      </w:r>
    </w:p>
    <w:p w14:paraId="1D214852" w14:textId="77777777" w:rsidR="00EC2C51" w:rsidRDefault="00A971AA">
      <w:pPr>
        <w:pStyle w:val="HTML1"/>
        <w:widowControl/>
        <w:ind w:firstLine="640"/>
        <w:rPr>
          <w:rFonts w:hint="default"/>
        </w:rPr>
      </w:pPr>
      <w:r>
        <w:rPr>
          <w:rFonts w:ascii="仿宋_GB2312" w:eastAsia="仿宋_GB2312" w:cs="仿宋_GB2312"/>
          <w:color w:val="000000"/>
          <w:sz w:val="31"/>
          <w:szCs w:val="31"/>
        </w:rPr>
        <w:t>3.应急物资保障能力还需进一步加强。目前，康巴什区应急物资储备缺乏统一规划，现有应急物资缺乏统筹管理，紧急生产、采购、捐赠、调拨、交通运输、仓库配送、装卸搬运等机制有待提高；应急物资的储备种类尚显单一，储备更新、物资损耗等财政补偿政策和核销制度有待进一步完善。应急物资品种单一，储备数量总体较少，且应急物资储备多为政府和企业单位内部自存，社会单位和居民家庭的应急物资储备较少，布局不尽合理，快速拉动和协同能力较差。</w:t>
      </w:r>
    </w:p>
    <w:p w14:paraId="20E02F28" w14:textId="77777777" w:rsidR="00EC2C51" w:rsidRDefault="00A971AA">
      <w:pPr>
        <w:widowControl/>
        <w:ind w:firstLineChars="200" w:firstLine="620"/>
        <w:jc w:val="left"/>
      </w:pPr>
      <w:r>
        <w:rPr>
          <w:rFonts w:ascii="仿宋_GB2312" w:eastAsia="仿宋_GB2312" w:cs="仿宋_GB2312" w:hint="eastAsia"/>
          <w:color w:val="000000"/>
          <w:sz w:val="31"/>
          <w:szCs w:val="31"/>
        </w:rPr>
        <w:lastRenderedPageBreak/>
        <w:t>4.综合应急能力需进一步增强。应急管理机制体制基本成型，</w:t>
      </w:r>
      <w:r>
        <w:rPr>
          <w:rFonts w:ascii="仿宋_GB2312" w:eastAsia="仿宋_GB2312" w:hAnsi="宋体" w:cs="仿宋_GB2312"/>
          <w:color w:val="000000"/>
          <w:kern w:val="0"/>
          <w:sz w:val="31"/>
          <w:szCs w:val="31"/>
        </w:rPr>
        <w:t>应急管理组织指挥体系还不够完善，各级政府应急管理能力水平</w:t>
      </w:r>
      <w:r>
        <w:rPr>
          <w:rFonts w:ascii="仿宋_GB2312" w:eastAsia="仿宋_GB2312" w:cs="仿宋_GB2312" w:hint="eastAsia"/>
          <w:color w:val="000000"/>
          <w:sz w:val="31"/>
          <w:szCs w:val="31"/>
        </w:rPr>
        <w:t>普遍较低。有关应急管理法律法规、标准体系还不健全，信息资源共享不充分，基层应急管理水平需要进一步加强，应急预案体系需要进一步完善，应急管理责任体系需要进一步落实，应急处置能力尚需进一步加强，应急管理信息化能力建设、风险管控与监测预警能力有待进一步提高，整合应急物资及装备匮乏、储备结构不合理，应急救援力量需要进一步强化，安全与应急教育体系需要进一步提升。</w:t>
      </w:r>
    </w:p>
    <w:p w14:paraId="537DE24E" w14:textId="77777777" w:rsidR="00EC2C51" w:rsidRDefault="00A971AA">
      <w:pPr>
        <w:pStyle w:val="HTML1"/>
        <w:widowControl/>
        <w:ind w:firstLine="640"/>
        <w:outlineLvl w:val="1"/>
        <w:rPr>
          <w:rFonts w:hint="default"/>
        </w:rPr>
      </w:pPr>
      <w:bookmarkStart w:id="6" w:name="_Toc16196"/>
      <w:r>
        <w:rPr>
          <w:rFonts w:ascii="楷体_GB2312" w:eastAsia="楷体_GB2312" w:cs="楷体_GB2312"/>
          <w:color w:val="000000"/>
          <w:sz w:val="31"/>
          <w:szCs w:val="31"/>
        </w:rPr>
        <w:t>（三）“十四五”面临形势及挑战</w:t>
      </w:r>
      <w:bookmarkEnd w:id="6"/>
    </w:p>
    <w:p w14:paraId="1F5F9CD6" w14:textId="77777777" w:rsidR="00EC2C51" w:rsidRDefault="00A971AA">
      <w:pPr>
        <w:pStyle w:val="HTML1"/>
        <w:widowControl/>
        <w:ind w:firstLine="640"/>
        <w:rPr>
          <w:rFonts w:ascii="仿宋_GB2312" w:eastAsia="仿宋_GB2312" w:cs="仿宋_GB2312" w:hint="default"/>
          <w:color w:val="000000"/>
          <w:sz w:val="31"/>
          <w:szCs w:val="31"/>
        </w:rPr>
      </w:pPr>
      <w:r>
        <w:rPr>
          <w:rFonts w:ascii="仿宋_GB2312" w:eastAsia="仿宋_GB2312" w:cs="仿宋_GB2312"/>
          <w:color w:val="000000"/>
          <w:sz w:val="31"/>
          <w:szCs w:val="31"/>
        </w:rPr>
        <w:t>“十四五”时期是中国特色社会主义新时代全面建成社会主义现代化强国的开局起步期，是世界百年未有之大变局的持续深化期，也是新一轮科技与产业革命的加速拓展期。一直以来，党和国家高度重视包括公共卫生、自然灾害、事故灾难、社会安全等突发事件的应急管理工作。十九届三中全会明确提出，要加强、优化、统筹国家应急能力建设，构建统一领导、权责一致、权威高效的国家应急能力体系，将为康巴什区突发事件应急体系建设产生重要而深远的影响，带来重大机遇。但由于康巴什区经济发展方式、基础设施、公共服务、资源环境、社会治理等面临着不少困难和问题，多灾种叠加和灾害综合影响加大，各种常规和非常规、现实与虚拟、单一和耦合、可预</w:t>
      </w:r>
      <w:r>
        <w:rPr>
          <w:rFonts w:ascii="仿宋_GB2312" w:eastAsia="仿宋_GB2312" w:cs="仿宋_GB2312"/>
          <w:color w:val="000000"/>
          <w:sz w:val="31"/>
          <w:szCs w:val="31"/>
        </w:rPr>
        <w:lastRenderedPageBreak/>
        <w:t>测预警和不可预测预警风险交织并存。康巴什区的安全形势仍面临着严峻的挑战。</w:t>
      </w:r>
    </w:p>
    <w:p w14:paraId="321070B2" w14:textId="77777777" w:rsidR="00EC2C51" w:rsidRDefault="00A971AA">
      <w:pPr>
        <w:pStyle w:val="HTML1"/>
        <w:widowControl/>
        <w:ind w:firstLine="640"/>
        <w:rPr>
          <w:rFonts w:hint="default"/>
        </w:rPr>
      </w:pPr>
      <w:r>
        <w:rPr>
          <w:rFonts w:ascii="仿宋_GB2312" w:eastAsia="仿宋_GB2312" w:cs="仿宋_GB2312"/>
          <w:color w:val="000000"/>
          <w:sz w:val="31"/>
          <w:szCs w:val="31"/>
        </w:rPr>
        <w:t>1.自然灾害风险隐患普遍增多。特殊的自然地理环境使康巴什区自然灾害多发频发，阶段性特点明显，呈现复杂多变性。近几年，康巴什区自然灾害类型较多，特别是干旱和冰雹发生频率高、损失重、影响范围广。除受全球气候变化影响外，极端天气事件的时空分布、发生频率和强度也出现新变化，康巴什区遭受低温、干旱、沙尘暴、森林火灾、暴风雪、洪涝、病虫害等多重灾难的袭击概率加大，灾情复杂多变，损失严重。使得对自然灾害的防范、抵御、救援工作难度普遍增大，特别是基层防灾减灾救灾能力依然薄弱，防灾减灾救灾机制不健全，未能真正全面做到将灾害解决在萌芽之时、成灾之前。</w:t>
      </w:r>
    </w:p>
    <w:p w14:paraId="3BC023EC" w14:textId="77777777" w:rsidR="00EC2C51" w:rsidRDefault="00A971AA">
      <w:pPr>
        <w:pStyle w:val="HTML1"/>
        <w:widowControl/>
        <w:ind w:firstLine="640"/>
        <w:rPr>
          <w:rFonts w:ascii="仿宋_GB2312" w:eastAsia="仿宋_GB2312" w:cs="仿宋_GB2312" w:hint="default"/>
          <w:color w:val="000000"/>
          <w:sz w:val="31"/>
          <w:szCs w:val="31"/>
        </w:rPr>
      </w:pPr>
      <w:r>
        <w:rPr>
          <w:rFonts w:ascii="仿宋_GB2312" w:eastAsia="仿宋_GB2312" w:cs="仿宋_GB2312"/>
          <w:color w:val="000000"/>
          <w:sz w:val="31"/>
          <w:szCs w:val="31"/>
        </w:rPr>
        <w:t>2.安全生产形势依然严峻。设区期间，全区生产安全事故总量和死亡人数虽逐年减少，但事故总量仍然过大，“十三五”期间，康巴什区累计发生生产安全事故 14 起，死亡 4 人，事故尚未得到有效遏制。安全生产基础仍然比较薄弱。经济增长方式粗放等影响制约安全生产的深层次问题尚未根本解决。近年来，康巴什区建筑产业潜在隐患较多，安全风险大，加之安全管理和技术人员十分匮乏，</w:t>
      </w:r>
      <w:proofErr w:type="gramStart"/>
      <w:r>
        <w:rPr>
          <w:rFonts w:ascii="仿宋_GB2312" w:eastAsia="仿宋_GB2312" w:cs="仿宋_GB2312"/>
          <w:color w:val="000000"/>
          <w:sz w:val="31"/>
          <w:szCs w:val="31"/>
        </w:rPr>
        <w:t>危化行业</w:t>
      </w:r>
      <w:proofErr w:type="gramEnd"/>
      <w:r>
        <w:rPr>
          <w:rFonts w:ascii="仿宋_GB2312" w:eastAsia="仿宋_GB2312" w:cs="仿宋_GB2312"/>
          <w:color w:val="000000"/>
          <w:sz w:val="31"/>
          <w:szCs w:val="31"/>
        </w:rPr>
        <w:t>事故逐渐步入多发期。康巴什区文化旅游和商贸产业数量多、管理粗放，基础薄弱、小散乱差的局面短期内难以扭转。油气输送管道占压、安全距离不够、老化和人为破坏等问题严重。同时，随着人口的</w:t>
      </w:r>
      <w:r>
        <w:rPr>
          <w:rFonts w:ascii="仿宋_GB2312" w:eastAsia="仿宋_GB2312" w:cs="仿宋_GB2312"/>
          <w:color w:val="000000"/>
          <w:sz w:val="31"/>
          <w:szCs w:val="31"/>
        </w:rPr>
        <w:lastRenderedPageBreak/>
        <w:t>逐步增加，建设步伐的加快，社会化程度逐步提高，道路交通、人员密集场所等行业领域的监管难度也逐步增加，安全基础依然薄弱。</w:t>
      </w:r>
    </w:p>
    <w:p w14:paraId="552EE49B" w14:textId="77777777" w:rsidR="00EC2C51" w:rsidRDefault="00A971AA">
      <w:pPr>
        <w:pStyle w:val="HTML1"/>
        <w:widowControl/>
        <w:ind w:firstLine="640"/>
        <w:rPr>
          <w:rFonts w:hint="default"/>
        </w:rPr>
      </w:pPr>
      <w:r>
        <w:rPr>
          <w:rFonts w:ascii="仿宋_GB2312" w:eastAsia="仿宋_GB2312" w:cs="仿宋_GB2312"/>
          <w:color w:val="000000"/>
          <w:sz w:val="31"/>
          <w:szCs w:val="31"/>
        </w:rPr>
        <w:t>3.突发公共卫生风险长期存在。当前，仅从公共卫生领域来看，近年来，全球新发现的30余种传染病已有半数在我国发现，重大传染病和慢性病流行仍比较严重，重大疫情不时出现。特别是近几年，突如其来的新冠肺炎疫情，给人民群众的生命安全和身体健康造成严重威胁，对经济社会发展造成严重冲击。在应对新冠肺炎疫情中暴露出康巴什区公共卫生治理体系还不健全，基层公共卫生预防控制体系需要进一步完善，公共卫生和基本医疗服务能力需要进一步加强，医疗救助和应急医疗物资保障体系需要进一步完善。由于日前全球化的深入发展，人们的社会范围不断拓展，人口跨境跨国流动加快，传染病疫情、食品安全和职业危害、动物疫情等威胁依然存在，突发公共卫生事件的防控形势依然严峻。</w:t>
      </w:r>
    </w:p>
    <w:p w14:paraId="03050047" w14:textId="77777777" w:rsidR="00EC2C51" w:rsidRDefault="00A971AA">
      <w:pPr>
        <w:pStyle w:val="HTML1"/>
        <w:widowControl/>
        <w:ind w:firstLine="640"/>
        <w:rPr>
          <w:rFonts w:hint="default"/>
        </w:rPr>
      </w:pPr>
      <w:r>
        <w:rPr>
          <w:rFonts w:ascii="仿宋_GB2312" w:eastAsia="仿宋_GB2312" w:cs="仿宋_GB2312"/>
          <w:color w:val="000000"/>
          <w:sz w:val="31"/>
          <w:szCs w:val="31"/>
        </w:rPr>
        <w:t>4.社会安全风险形势复杂多变。当前我国正处于一个高风险的社会，社会转型、市场化、信息化、全球化带来的社会风险在康巴什区同样存在，各种具体利益矛盾日趋复杂，不可预料的风险挑战大大增多。康巴什区网络聚集效应明显，网络安全事件呈增多态势；区域经济社会发展不平衡，就业、社会保障、收入分配、教育、医疗、土地征地拆迁安置、社会治安等</w:t>
      </w:r>
      <w:r>
        <w:rPr>
          <w:rFonts w:ascii="仿宋_GB2312" w:eastAsia="仿宋_GB2312" w:cs="仿宋_GB2312"/>
          <w:color w:val="000000"/>
          <w:sz w:val="31"/>
          <w:szCs w:val="31"/>
        </w:rPr>
        <w:lastRenderedPageBreak/>
        <w:t>关系群众切身利益的矛盾较为突出，诱发群体性事件的因素增加，社会稳定的因素和隐患依然存在。</w:t>
      </w:r>
    </w:p>
    <w:p w14:paraId="71E861D5" w14:textId="77777777" w:rsidR="00EC2C51" w:rsidRDefault="00A971AA">
      <w:pPr>
        <w:pStyle w:val="HTML1"/>
        <w:widowControl/>
        <w:ind w:firstLine="640"/>
        <w:outlineLvl w:val="0"/>
        <w:rPr>
          <w:rFonts w:hint="default"/>
        </w:rPr>
      </w:pPr>
      <w:bookmarkStart w:id="7" w:name="_Toc8014"/>
      <w:r>
        <w:rPr>
          <w:rFonts w:ascii="黑体" w:eastAsia="黑体" w:cs="黑体"/>
          <w:color w:val="000000"/>
          <w:sz w:val="31"/>
          <w:szCs w:val="31"/>
        </w:rPr>
        <w:t>二、指导思想、原则及目标</w:t>
      </w:r>
      <w:bookmarkEnd w:id="7"/>
    </w:p>
    <w:p w14:paraId="7AFE1181" w14:textId="77777777" w:rsidR="00EC2C51" w:rsidRDefault="00A971AA">
      <w:pPr>
        <w:pStyle w:val="HTML1"/>
        <w:widowControl/>
        <w:ind w:firstLine="640"/>
        <w:outlineLvl w:val="1"/>
        <w:rPr>
          <w:rFonts w:hint="default"/>
        </w:rPr>
      </w:pPr>
      <w:bookmarkStart w:id="8" w:name="_Toc5120"/>
      <w:r>
        <w:rPr>
          <w:rFonts w:ascii="楷体_GB2312" w:eastAsia="楷体_GB2312" w:cs="楷体_GB2312"/>
          <w:color w:val="000000"/>
          <w:sz w:val="31"/>
          <w:szCs w:val="31"/>
        </w:rPr>
        <w:t>（一）指导思想</w:t>
      </w:r>
      <w:bookmarkEnd w:id="8"/>
    </w:p>
    <w:p w14:paraId="7FF26CA2" w14:textId="77777777" w:rsidR="00EC2C51" w:rsidRDefault="00A971AA">
      <w:pPr>
        <w:pStyle w:val="HTML1"/>
        <w:widowControl/>
        <w:ind w:firstLine="640"/>
        <w:rPr>
          <w:rFonts w:hint="default"/>
        </w:rPr>
      </w:pPr>
      <w:r>
        <w:rPr>
          <w:rFonts w:ascii="仿宋_GB2312" w:eastAsia="仿宋_GB2312" w:cs="仿宋_GB2312"/>
          <w:color w:val="000000"/>
          <w:sz w:val="31"/>
          <w:szCs w:val="31"/>
        </w:rPr>
        <w:t>以习近平新时代中国特色社会主义思想为指导，全面贯彻党的十九大和十九届二中、三中、四中、五中、六中全会精神，统筹推进“五位一体”总体布局和协调推进“四个全面”战略布局，认真学习贯彻习近平总书记关于安全与应急管理的系列重要讲话精神。坚持党的集中统一领导，坚持人民至上、生命至上，全面贯彻落实总体国家安全观，统筹安全与发展，</w:t>
      </w:r>
      <w:proofErr w:type="gramStart"/>
      <w:r>
        <w:rPr>
          <w:rFonts w:ascii="仿宋_GB2312" w:eastAsia="仿宋_GB2312" w:cs="仿宋_GB2312"/>
          <w:color w:val="000000"/>
          <w:sz w:val="31"/>
          <w:szCs w:val="31"/>
        </w:rPr>
        <w:t>践行安全发展</w:t>
      </w:r>
      <w:proofErr w:type="gramEnd"/>
      <w:r>
        <w:rPr>
          <w:rFonts w:ascii="仿宋_GB2312" w:eastAsia="仿宋_GB2312" w:cs="仿宋_GB2312"/>
          <w:color w:val="000000"/>
          <w:sz w:val="31"/>
          <w:szCs w:val="31"/>
        </w:rPr>
        <w:t>理念，牢固树立“大安全、大应急、大减灾”思想。坚持以防为主、防抗救相结合，常态减灾与非常态救灾相统一。坚持从注重灾后救助向注重灾前预防转变，从应对单一灾种向综合减灾转变，从减少灾害损失向减轻灾害风险转变。构建统一指挥、</w:t>
      </w:r>
      <w:proofErr w:type="gramStart"/>
      <w:r>
        <w:rPr>
          <w:rFonts w:ascii="仿宋_GB2312" w:eastAsia="仿宋_GB2312" w:cs="仿宋_GB2312"/>
          <w:color w:val="000000"/>
          <w:sz w:val="31"/>
          <w:szCs w:val="31"/>
        </w:rPr>
        <w:t>专常兼备</w:t>
      </w:r>
      <w:proofErr w:type="gramEnd"/>
      <w:r>
        <w:rPr>
          <w:rFonts w:ascii="仿宋_GB2312" w:eastAsia="仿宋_GB2312" w:cs="仿宋_GB2312"/>
          <w:color w:val="000000"/>
          <w:sz w:val="31"/>
          <w:szCs w:val="31"/>
        </w:rPr>
        <w:t>、反应灵敏、上下联动、平战结合的应急管理机制体制，妥善应对处置各类灾害事故，奋力推进应急管理体系和能力现代化，全面提升康巴什区应急管理能力和水平，保障康巴什区人民群众生命财产安全和经济社会持续健康发展。</w:t>
      </w:r>
    </w:p>
    <w:p w14:paraId="123E7CEA" w14:textId="77777777" w:rsidR="00EC2C51" w:rsidRDefault="00A971AA">
      <w:pPr>
        <w:pStyle w:val="HTML1"/>
        <w:widowControl/>
        <w:ind w:firstLine="640"/>
        <w:outlineLvl w:val="1"/>
        <w:rPr>
          <w:rFonts w:hint="default"/>
        </w:rPr>
      </w:pPr>
      <w:bookmarkStart w:id="9" w:name="_Toc30949"/>
      <w:r>
        <w:rPr>
          <w:rFonts w:ascii="楷体_GB2312" w:eastAsia="楷体_GB2312" w:cs="楷体_GB2312"/>
          <w:color w:val="000000"/>
          <w:sz w:val="31"/>
          <w:szCs w:val="31"/>
        </w:rPr>
        <w:t>（二）建设原则</w:t>
      </w:r>
      <w:bookmarkEnd w:id="9"/>
    </w:p>
    <w:p w14:paraId="024ACC71" w14:textId="77777777" w:rsidR="00EC2C51" w:rsidRDefault="00A971AA">
      <w:pPr>
        <w:pStyle w:val="HTML1"/>
        <w:widowControl/>
        <w:ind w:firstLine="640"/>
        <w:rPr>
          <w:rFonts w:ascii="仿宋_GB2312" w:eastAsia="仿宋_GB2312" w:cs="仿宋_GB2312" w:hint="default"/>
          <w:color w:val="000000"/>
          <w:sz w:val="31"/>
          <w:szCs w:val="31"/>
        </w:rPr>
      </w:pPr>
      <w:r>
        <w:rPr>
          <w:rFonts w:ascii="仿宋_GB2312" w:eastAsia="仿宋_GB2312" w:cs="仿宋_GB2312"/>
          <w:color w:val="000000"/>
          <w:sz w:val="31"/>
          <w:szCs w:val="31"/>
        </w:rPr>
        <w:t>1.以人为本，服务全局。坚持把保护人民群众生命财产安全作为应急管理工作的第一要务,坚持服务于党和政府的中心</w:t>
      </w:r>
      <w:r>
        <w:rPr>
          <w:rFonts w:ascii="仿宋_GB2312" w:eastAsia="仿宋_GB2312" w:cs="仿宋_GB2312"/>
          <w:color w:val="000000"/>
          <w:sz w:val="31"/>
          <w:szCs w:val="31"/>
        </w:rPr>
        <w:lastRenderedPageBreak/>
        <w:t>工作，服务于全区和谐稳定发展大局，为康巴什区全面协调可持续发展营造安全稳定的社会环境。</w:t>
      </w:r>
    </w:p>
    <w:p w14:paraId="0A91BDB5" w14:textId="77777777" w:rsidR="00EC2C51" w:rsidRDefault="00A971AA">
      <w:pPr>
        <w:pStyle w:val="HTML1"/>
        <w:widowControl/>
        <w:ind w:firstLine="640"/>
        <w:rPr>
          <w:rFonts w:hint="default"/>
        </w:rPr>
      </w:pPr>
      <w:r>
        <w:rPr>
          <w:rFonts w:ascii="仿宋_GB2312" w:eastAsia="仿宋_GB2312" w:cs="仿宋_GB2312"/>
          <w:color w:val="000000"/>
          <w:sz w:val="31"/>
          <w:szCs w:val="31"/>
        </w:rPr>
        <w:t>2.统筹规划，突出重点。按照国家、自治区、市的总体要求，立足实际，统筹应急体系各领域各环节建设，突出重点、抓住关键、补齐短板、堵塞漏洞、消除隐患，不断提高应急管理水平。</w:t>
      </w:r>
    </w:p>
    <w:p w14:paraId="14277425" w14:textId="77777777" w:rsidR="00EC2C51" w:rsidRDefault="00A971AA">
      <w:pPr>
        <w:pStyle w:val="HTML1"/>
        <w:widowControl/>
        <w:ind w:firstLine="640"/>
        <w:rPr>
          <w:rFonts w:hint="default"/>
        </w:rPr>
      </w:pPr>
      <w:r>
        <w:rPr>
          <w:rFonts w:ascii="仿宋_GB2312" w:eastAsia="仿宋_GB2312" w:cs="仿宋_GB2312"/>
          <w:color w:val="000000"/>
          <w:sz w:val="31"/>
          <w:szCs w:val="31"/>
        </w:rPr>
        <w:t>3.依法管理，科学应对。坚持有法必依、执法必严，依法开展突发事件预防准备、监测预警、处置救援等工作。坚持科学应对，注重分析</w:t>
      </w:r>
      <w:proofErr w:type="gramStart"/>
      <w:r>
        <w:rPr>
          <w:rFonts w:ascii="仿宋_GB2312" w:eastAsia="仿宋_GB2312" w:cs="仿宋_GB2312"/>
          <w:color w:val="000000"/>
          <w:sz w:val="31"/>
          <w:szCs w:val="31"/>
        </w:rPr>
        <w:t>研</w:t>
      </w:r>
      <w:proofErr w:type="gramEnd"/>
      <w:r>
        <w:rPr>
          <w:rFonts w:ascii="仿宋_GB2312" w:eastAsia="仿宋_GB2312" w:cs="仿宋_GB2312"/>
          <w:color w:val="000000"/>
          <w:sz w:val="31"/>
          <w:szCs w:val="31"/>
        </w:rPr>
        <w:t>判，强化隐患排查，加强监测预警，及时有效处置各类突发事件，最大限度减少损失。</w:t>
      </w:r>
    </w:p>
    <w:p w14:paraId="489F5A11" w14:textId="77777777" w:rsidR="00EC2C51" w:rsidRDefault="00A971AA">
      <w:pPr>
        <w:pStyle w:val="HTML1"/>
        <w:widowControl/>
        <w:ind w:firstLine="640"/>
        <w:rPr>
          <w:rFonts w:hint="default"/>
        </w:rPr>
      </w:pPr>
      <w:r>
        <w:rPr>
          <w:rFonts w:ascii="仿宋_GB2312" w:eastAsia="仿宋_GB2312" w:cs="仿宋_GB2312"/>
          <w:color w:val="000000"/>
          <w:sz w:val="31"/>
          <w:szCs w:val="31"/>
        </w:rPr>
        <w:t>4.资源整合，优势互补。梳理需求，合理规划，完善建设，改变各自为阵，避免重复建设，充分利用政府和社会现有应急救援和保障能力资源，整合资源，优势互补，形成合力，不断提高集成应急响应能力。</w:t>
      </w:r>
    </w:p>
    <w:p w14:paraId="244F1655" w14:textId="77777777" w:rsidR="00EC2C51" w:rsidRDefault="00A971AA">
      <w:pPr>
        <w:pStyle w:val="HTML1"/>
        <w:widowControl/>
        <w:ind w:firstLine="640"/>
        <w:rPr>
          <w:rFonts w:hint="default"/>
        </w:rPr>
      </w:pPr>
      <w:r>
        <w:rPr>
          <w:rFonts w:ascii="仿宋_GB2312" w:eastAsia="仿宋_GB2312" w:cs="仿宋_GB2312"/>
          <w:color w:val="000000"/>
          <w:sz w:val="31"/>
          <w:szCs w:val="31"/>
        </w:rPr>
        <w:t>5.政府主导，社会协同。完善政府治理，坚持政府主导；注重发挥市场机制作用，调动群众的积极性、主动性和创造性，强化社会参与；建立健全应急联动机制，推进部门协同、区域协同、行业领域协同，不断提高全社会应对突发事件的能力和水平。</w:t>
      </w:r>
    </w:p>
    <w:p w14:paraId="09187613" w14:textId="77777777" w:rsidR="00EC2C51" w:rsidRDefault="00A971AA">
      <w:pPr>
        <w:pStyle w:val="HTML1"/>
        <w:widowControl/>
        <w:ind w:firstLine="640"/>
        <w:outlineLvl w:val="1"/>
        <w:rPr>
          <w:rFonts w:ascii="楷体_GB2312" w:eastAsia="楷体_GB2312" w:cs="楷体_GB2312" w:hint="default"/>
          <w:color w:val="000000"/>
          <w:sz w:val="31"/>
          <w:szCs w:val="31"/>
        </w:rPr>
      </w:pPr>
      <w:bookmarkStart w:id="10" w:name="_Toc15606"/>
      <w:r>
        <w:rPr>
          <w:rFonts w:ascii="楷体_GB2312" w:eastAsia="楷体_GB2312" w:cs="楷体_GB2312"/>
          <w:color w:val="000000"/>
          <w:sz w:val="31"/>
          <w:szCs w:val="31"/>
        </w:rPr>
        <w:t>（三）建设目标</w:t>
      </w:r>
      <w:bookmarkEnd w:id="10"/>
    </w:p>
    <w:p w14:paraId="0A767D6A" w14:textId="77777777" w:rsidR="00EC2C51" w:rsidRDefault="00A971AA">
      <w:pPr>
        <w:pStyle w:val="HTML1"/>
        <w:widowControl/>
        <w:ind w:firstLine="640"/>
        <w:rPr>
          <w:rFonts w:hint="default"/>
        </w:rPr>
      </w:pPr>
      <w:r>
        <w:rPr>
          <w:rFonts w:ascii="仿宋_GB2312" w:eastAsia="仿宋_GB2312" w:cs="仿宋_GB2312"/>
          <w:color w:val="000000"/>
          <w:sz w:val="31"/>
          <w:szCs w:val="31"/>
        </w:rPr>
        <w:t>1.总体目标。“十四五”期间全面贯彻落实党的十九大和十九届二中、三中、四中、五中、六中全会精神，深入学习贯</w:t>
      </w:r>
      <w:r>
        <w:rPr>
          <w:rFonts w:ascii="仿宋_GB2312" w:eastAsia="仿宋_GB2312" w:cs="仿宋_GB2312"/>
          <w:color w:val="000000"/>
          <w:sz w:val="31"/>
          <w:szCs w:val="31"/>
        </w:rPr>
        <w:lastRenderedPageBreak/>
        <w:t>彻习近平总书记系列重要讲话精神。到2025年，全区形成“政府统一领导、部门协调配合、企业自主到位、社会共同参与、上下顺畅联动”的突发事件应急运行机制，突发事件预防与应急准备、监测预警、应急处置、恢复重建和应急保障等能力明显增强，自然灾害防御和应急救助能力显著提高，生产安全事故起数和死亡率得到有效控制，公共卫生保障和应急救治能力显著提升，社会安全防控和处置能力明显增强，公众生命财产安全得到有效保障。基本建成具有当地特色的突发事件应急管理体系，实现对各类突发事件的全面有效防控和应对，应急管理体系和能力现代化建设达到鄂尔多斯市的领先水平。</w:t>
      </w:r>
    </w:p>
    <w:p w14:paraId="7EB5FC0F" w14:textId="77777777" w:rsidR="00EC2C51" w:rsidRDefault="00A971AA">
      <w:pPr>
        <w:pStyle w:val="HTML1"/>
        <w:widowControl/>
        <w:ind w:firstLine="640"/>
        <w:outlineLvl w:val="2"/>
        <w:rPr>
          <w:rFonts w:hint="default"/>
        </w:rPr>
      </w:pPr>
      <w:bookmarkStart w:id="11" w:name="_Toc9590"/>
      <w:r>
        <w:rPr>
          <w:rFonts w:ascii="仿宋_GB2312" w:eastAsia="仿宋_GB2312" w:cs="仿宋_GB2312"/>
          <w:color w:val="000000"/>
          <w:sz w:val="31"/>
          <w:szCs w:val="31"/>
        </w:rPr>
        <w:t>2.具体分类目标</w:t>
      </w:r>
      <w:bookmarkEnd w:id="11"/>
    </w:p>
    <w:p w14:paraId="2693C044" w14:textId="77777777" w:rsidR="00EC2C51" w:rsidRDefault="00A971AA">
      <w:pPr>
        <w:widowControl/>
        <w:jc w:val="center"/>
        <w:outlineLvl w:val="0"/>
        <w:rPr>
          <w:rFonts w:ascii="宋体" w:hAnsi="宋体" w:cs="宋体"/>
          <w:sz w:val="24"/>
        </w:rPr>
      </w:pPr>
      <w:bookmarkStart w:id="12" w:name="_Toc26378"/>
      <w:r>
        <w:rPr>
          <w:rFonts w:ascii="宋体" w:hAnsi="宋体" w:cs="宋体" w:hint="eastAsia"/>
          <w:b/>
          <w:bCs/>
          <w:color w:val="000000"/>
          <w:kern w:val="0"/>
          <w:sz w:val="24"/>
        </w:rPr>
        <w:t>应急管理体系建设“十四五”规划指标及目标</w:t>
      </w:r>
      <w:bookmarkEnd w:id="12"/>
    </w:p>
    <w:tbl>
      <w:tblPr>
        <w:tblW w:w="7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
        <w:gridCol w:w="1380"/>
        <w:gridCol w:w="2550"/>
        <w:gridCol w:w="1380"/>
        <w:gridCol w:w="1335"/>
      </w:tblGrid>
      <w:tr w:rsidR="00EC2C51" w14:paraId="7A2C2011" w14:textId="77777777">
        <w:tc>
          <w:tcPr>
            <w:tcW w:w="2305" w:type="dxa"/>
            <w:gridSpan w:val="2"/>
            <w:vAlign w:val="center"/>
          </w:tcPr>
          <w:p w14:paraId="0D43AB13" w14:textId="77777777" w:rsidR="00EC2C51" w:rsidRDefault="00A971AA">
            <w:pPr>
              <w:pStyle w:val="HTML1"/>
              <w:widowControl/>
              <w:jc w:val="center"/>
              <w:rPr>
                <w:rFonts w:hint="default"/>
                <w:sz w:val="21"/>
                <w:szCs w:val="21"/>
              </w:rPr>
            </w:pPr>
            <w:r>
              <w:rPr>
                <w:sz w:val="21"/>
                <w:szCs w:val="21"/>
              </w:rPr>
              <w:t>指标类别</w:t>
            </w:r>
          </w:p>
        </w:tc>
        <w:tc>
          <w:tcPr>
            <w:tcW w:w="2550" w:type="dxa"/>
          </w:tcPr>
          <w:p w14:paraId="7806BE7B" w14:textId="77777777" w:rsidR="00EC2C51" w:rsidRDefault="00A971AA">
            <w:pPr>
              <w:pStyle w:val="HTML1"/>
              <w:widowControl/>
              <w:jc w:val="center"/>
              <w:rPr>
                <w:rFonts w:hint="default"/>
                <w:sz w:val="21"/>
                <w:szCs w:val="21"/>
              </w:rPr>
            </w:pPr>
            <w:r>
              <w:rPr>
                <w:sz w:val="21"/>
                <w:szCs w:val="21"/>
              </w:rPr>
              <w:t>指标名称</w:t>
            </w:r>
          </w:p>
        </w:tc>
        <w:tc>
          <w:tcPr>
            <w:tcW w:w="1380" w:type="dxa"/>
          </w:tcPr>
          <w:p w14:paraId="35C678EF" w14:textId="77777777" w:rsidR="00EC2C51" w:rsidRDefault="00A971AA">
            <w:pPr>
              <w:pStyle w:val="HTML1"/>
              <w:widowControl/>
              <w:jc w:val="center"/>
              <w:rPr>
                <w:rFonts w:hint="default"/>
                <w:sz w:val="21"/>
                <w:szCs w:val="21"/>
              </w:rPr>
            </w:pPr>
            <w:r>
              <w:rPr>
                <w:sz w:val="21"/>
                <w:szCs w:val="21"/>
              </w:rPr>
              <w:t>十四五</w:t>
            </w:r>
          </w:p>
        </w:tc>
        <w:tc>
          <w:tcPr>
            <w:tcW w:w="1335" w:type="dxa"/>
          </w:tcPr>
          <w:p w14:paraId="1A1A333B" w14:textId="77777777" w:rsidR="00EC2C51" w:rsidRDefault="00A971AA">
            <w:pPr>
              <w:pStyle w:val="HTML1"/>
              <w:widowControl/>
              <w:jc w:val="center"/>
              <w:rPr>
                <w:rFonts w:hint="default"/>
                <w:sz w:val="21"/>
                <w:szCs w:val="21"/>
              </w:rPr>
            </w:pPr>
            <w:r>
              <w:rPr>
                <w:sz w:val="21"/>
                <w:szCs w:val="21"/>
              </w:rPr>
              <w:t>指标属性</w:t>
            </w:r>
          </w:p>
        </w:tc>
      </w:tr>
      <w:tr w:rsidR="00EC2C51" w14:paraId="37993A50" w14:textId="77777777">
        <w:trPr>
          <w:trHeight w:val="765"/>
        </w:trPr>
        <w:tc>
          <w:tcPr>
            <w:tcW w:w="925" w:type="dxa"/>
            <w:vMerge w:val="restart"/>
            <w:vAlign w:val="center"/>
          </w:tcPr>
          <w:p w14:paraId="09D730E1" w14:textId="77777777" w:rsidR="00EC2C51" w:rsidRDefault="00EC2C51">
            <w:pPr>
              <w:pStyle w:val="HTML1"/>
              <w:widowControl/>
              <w:jc w:val="center"/>
              <w:rPr>
                <w:rFonts w:hint="default"/>
                <w:color w:val="000000"/>
                <w:sz w:val="21"/>
                <w:szCs w:val="21"/>
              </w:rPr>
            </w:pPr>
          </w:p>
          <w:p w14:paraId="1F7ACF3A" w14:textId="77777777" w:rsidR="00EC2C51" w:rsidRDefault="00EC2C51">
            <w:pPr>
              <w:pStyle w:val="HTML1"/>
              <w:widowControl/>
              <w:jc w:val="center"/>
              <w:rPr>
                <w:rFonts w:hint="default"/>
                <w:color w:val="000000"/>
                <w:sz w:val="21"/>
                <w:szCs w:val="21"/>
              </w:rPr>
            </w:pPr>
          </w:p>
          <w:p w14:paraId="456CB358" w14:textId="77777777" w:rsidR="00EC2C51" w:rsidRDefault="00EC2C51">
            <w:pPr>
              <w:pStyle w:val="HTML1"/>
              <w:widowControl/>
              <w:jc w:val="center"/>
              <w:rPr>
                <w:rFonts w:hint="default"/>
                <w:color w:val="000000"/>
                <w:sz w:val="21"/>
                <w:szCs w:val="21"/>
              </w:rPr>
            </w:pPr>
          </w:p>
          <w:p w14:paraId="7629178C" w14:textId="77777777" w:rsidR="00EC2C51" w:rsidRDefault="00EC2C51">
            <w:pPr>
              <w:pStyle w:val="HTML1"/>
              <w:widowControl/>
              <w:jc w:val="center"/>
              <w:rPr>
                <w:rFonts w:hint="default"/>
                <w:color w:val="000000"/>
                <w:sz w:val="21"/>
                <w:szCs w:val="21"/>
              </w:rPr>
            </w:pPr>
          </w:p>
          <w:p w14:paraId="21795B3C" w14:textId="77777777" w:rsidR="00EC2C51" w:rsidRDefault="00EC2C51">
            <w:pPr>
              <w:pStyle w:val="HTML1"/>
              <w:widowControl/>
              <w:jc w:val="center"/>
              <w:rPr>
                <w:rFonts w:hint="default"/>
                <w:color w:val="000000"/>
                <w:sz w:val="21"/>
                <w:szCs w:val="21"/>
              </w:rPr>
            </w:pPr>
          </w:p>
          <w:p w14:paraId="47ADCC90" w14:textId="77777777" w:rsidR="00EC2C51" w:rsidRDefault="00A971AA">
            <w:pPr>
              <w:pStyle w:val="HTML1"/>
              <w:widowControl/>
              <w:jc w:val="center"/>
              <w:rPr>
                <w:rFonts w:hint="default"/>
                <w:color w:val="000000"/>
                <w:sz w:val="21"/>
                <w:szCs w:val="21"/>
              </w:rPr>
            </w:pPr>
            <w:r>
              <w:rPr>
                <w:color w:val="000000"/>
                <w:sz w:val="21"/>
                <w:szCs w:val="21"/>
              </w:rPr>
              <w:t>综合</w:t>
            </w:r>
          </w:p>
          <w:p w14:paraId="718D79E4" w14:textId="77777777" w:rsidR="00EC2C51" w:rsidRDefault="00EC2C51">
            <w:pPr>
              <w:pStyle w:val="HTML1"/>
              <w:widowControl/>
              <w:jc w:val="center"/>
              <w:rPr>
                <w:rFonts w:hint="default"/>
                <w:color w:val="000000"/>
                <w:sz w:val="21"/>
                <w:szCs w:val="21"/>
              </w:rPr>
            </w:pPr>
          </w:p>
          <w:p w14:paraId="5B8A07E7" w14:textId="77777777" w:rsidR="00EC2C51" w:rsidRDefault="00A971AA">
            <w:pPr>
              <w:pStyle w:val="HTML1"/>
              <w:widowControl/>
              <w:jc w:val="center"/>
              <w:rPr>
                <w:rFonts w:hint="default"/>
                <w:color w:val="000000"/>
                <w:sz w:val="21"/>
                <w:szCs w:val="21"/>
              </w:rPr>
            </w:pPr>
            <w:r>
              <w:rPr>
                <w:color w:val="000000"/>
                <w:sz w:val="21"/>
                <w:szCs w:val="21"/>
              </w:rPr>
              <w:t>应急</w:t>
            </w:r>
          </w:p>
          <w:p w14:paraId="595E0E4B" w14:textId="77777777" w:rsidR="00EC2C51" w:rsidRDefault="00EC2C51">
            <w:pPr>
              <w:pStyle w:val="HTML1"/>
              <w:widowControl/>
              <w:jc w:val="center"/>
              <w:rPr>
                <w:rFonts w:hint="default"/>
                <w:color w:val="000000"/>
                <w:sz w:val="21"/>
                <w:szCs w:val="21"/>
              </w:rPr>
            </w:pPr>
          </w:p>
          <w:p w14:paraId="08574A3C" w14:textId="77777777" w:rsidR="00EC2C51" w:rsidRDefault="00A971AA">
            <w:pPr>
              <w:pStyle w:val="HTML1"/>
              <w:widowControl/>
              <w:jc w:val="center"/>
              <w:rPr>
                <w:rFonts w:hint="default"/>
                <w:color w:val="000000"/>
                <w:sz w:val="21"/>
                <w:szCs w:val="21"/>
              </w:rPr>
            </w:pPr>
            <w:r>
              <w:rPr>
                <w:color w:val="000000"/>
                <w:sz w:val="21"/>
                <w:szCs w:val="21"/>
              </w:rPr>
              <w:t>能力</w:t>
            </w:r>
          </w:p>
          <w:p w14:paraId="17C7A45C" w14:textId="77777777" w:rsidR="00EC2C51" w:rsidRDefault="00EC2C51">
            <w:pPr>
              <w:pStyle w:val="HTML1"/>
              <w:widowControl/>
              <w:jc w:val="center"/>
              <w:rPr>
                <w:rFonts w:hint="default"/>
                <w:color w:val="000000"/>
                <w:sz w:val="21"/>
                <w:szCs w:val="21"/>
              </w:rPr>
            </w:pPr>
          </w:p>
          <w:p w14:paraId="60F9189D" w14:textId="77777777" w:rsidR="00EC2C51" w:rsidRDefault="00A971AA">
            <w:pPr>
              <w:pStyle w:val="HTML1"/>
              <w:widowControl/>
              <w:jc w:val="center"/>
              <w:rPr>
                <w:rFonts w:hint="default"/>
                <w:sz w:val="21"/>
                <w:szCs w:val="21"/>
              </w:rPr>
            </w:pPr>
            <w:r>
              <w:rPr>
                <w:color w:val="000000"/>
                <w:sz w:val="21"/>
                <w:szCs w:val="21"/>
              </w:rPr>
              <w:t>指标</w:t>
            </w:r>
          </w:p>
        </w:tc>
        <w:tc>
          <w:tcPr>
            <w:tcW w:w="1380" w:type="dxa"/>
            <w:vMerge w:val="restart"/>
            <w:vAlign w:val="center"/>
          </w:tcPr>
          <w:p w14:paraId="4F322BE8" w14:textId="77777777" w:rsidR="00EC2C51" w:rsidRDefault="00EC2C51">
            <w:pPr>
              <w:pStyle w:val="HTML1"/>
              <w:widowControl/>
              <w:jc w:val="center"/>
              <w:rPr>
                <w:rFonts w:hint="default"/>
                <w:sz w:val="21"/>
                <w:szCs w:val="21"/>
              </w:rPr>
            </w:pPr>
          </w:p>
          <w:p w14:paraId="52CB3A32" w14:textId="77777777" w:rsidR="00EC2C51" w:rsidRDefault="00EC2C51">
            <w:pPr>
              <w:pStyle w:val="HTML1"/>
              <w:widowControl/>
              <w:jc w:val="center"/>
              <w:rPr>
                <w:rFonts w:hint="default"/>
                <w:sz w:val="21"/>
                <w:szCs w:val="21"/>
              </w:rPr>
            </w:pPr>
          </w:p>
          <w:p w14:paraId="598484FA" w14:textId="77777777" w:rsidR="00EC2C51" w:rsidRDefault="00EC2C51">
            <w:pPr>
              <w:pStyle w:val="HTML1"/>
              <w:widowControl/>
              <w:jc w:val="center"/>
              <w:rPr>
                <w:rFonts w:hint="default"/>
                <w:sz w:val="21"/>
                <w:szCs w:val="21"/>
              </w:rPr>
            </w:pPr>
          </w:p>
          <w:p w14:paraId="4BEE4B7A" w14:textId="77777777" w:rsidR="00EC2C51" w:rsidRDefault="00EC2C51">
            <w:pPr>
              <w:pStyle w:val="HTML1"/>
              <w:widowControl/>
              <w:jc w:val="center"/>
              <w:rPr>
                <w:rFonts w:hint="default"/>
                <w:sz w:val="21"/>
                <w:szCs w:val="21"/>
              </w:rPr>
            </w:pPr>
          </w:p>
          <w:p w14:paraId="0FD26D4D" w14:textId="77777777" w:rsidR="00EC2C51" w:rsidRDefault="00A971AA">
            <w:pPr>
              <w:pStyle w:val="HTML1"/>
              <w:widowControl/>
              <w:jc w:val="center"/>
              <w:rPr>
                <w:rFonts w:hint="default"/>
                <w:color w:val="000000"/>
                <w:sz w:val="21"/>
                <w:szCs w:val="21"/>
              </w:rPr>
            </w:pPr>
            <w:r>
              <w:rPr>
                <w:color w:val="000000"/>
                <w:sz w:val="21"/>
                <w:szCs w:val="21"/>
              </w:rPr>
              <w:t>应急</w:t>
            </w:r>
          </w:p>
          <w:p w14:paraId="16B7DE9E" w14:textId="77777777" w:rsidR="00EC2C51" w:rsidRDefault="00EC2C51">
            <w:pPr>
              <w:pStyle w:val="HTML1"/>
              <w:widowControl/>
              <w:jc w:val="center"/>
              <w:rPr>
                <w:rFonts w:hint="default"/>
                <w:color w:val="000000"/>
                <w:sz w:val="21"/>
                <w:szCs w:val="21"/>
              </w:rPr>
            </w:pPr>
          </w:p>
          <w:p w14:paraId="26E41D5B" w14:textId="77777777" w:rsidR="00EC2C51" w:rsidRDefault="00EC2C51">
            <w:pPr>
              <w:pStyle w:val="HTML1"/>
              <w:widowControl/>
              <w:jc w:val="center"/>
              <w:rPr>
                <w:rFonts w:hint="default"/>
                <w:color w:val="000000"/>
                <w:sz w:val="21"/>
                <w:szCs w:val="21"/>
              </w:rPr>
            </w:pPr>
          </w:p>
          <w:p w14:paraId="1846EA40" w14:textId="77777777" w:rsidR="00EC2C51" w:rsidRDefault="00A971AA">
            <w:pPr>
              <w:pStyle w:val="HTML1"/>
              <w:widowControl/>
              <w:jc w:val="center"/>
              <w:rPr>
                <w:rFonts w:hint="default"/>
                <w:sz w:val="21"/>
                <w:szCs w:val="21"/>
              </w:rPr>
            </w:pPr>
            <w:r>
              <w:rPr>
                <w:color w:val="000000"/>
                <w:sz w:val="21"/>
                <w:szCs w:val="21"/>
              </w:rPr>
              <w:t>管理</w:t>
            </w:r>
          </w:p>
        </w:tc>
        <w:tc>
          <w:tcPr>
            <w:tcW w:w="2550" w:type="dxa"/>
            <w:vAlign w:val="center"/>
          </w:tcPr>
          <w:p w14:paraId="739569F2" w14:textId="77777777" w:rsidR="00EC2C51" w:rsidRDefault="00A971AA">
            <w:pPr>
              <w:pStyle w:val="HTML1"/>
              <w:widowControl/>
              <w:jc w:val="center"/>
              <w:rPr>
                <w:rFonts w:hint="default"/>
                <w:sz w:val="21"/>
                <w:szCs w:val="21"/>
              </w:rPr>
            </w:pPr>
            <w:r>
              <w:rPr>
                <w:color w:val="000000"/>
                <w:sz w:val="21"/>
                <w:szCs w:val="21"/>
              </w:rPr>
              <w:t>基层应急管理机构设立率</w:t>
            </w:r>
          </w:p>
        </w:tc>
        <w:tc>
          <w:tcPr>
            <w:tcW w:w="1380" w:type="dxa"/>
            <w:vAlign w:val="center"/>
          </w:tcPr>
          <w:p w14:paraId="460E5ACE" w14:textId="77777777" w:rsidR="00EC2C51" w:rsidRDefault="00A971AA">
            <w:pPr>
              <w:pStyle w:val="HTML1"/>
              <w:widowControl/>
              <w:jc w:val="center"/>
              <w:rPr>
                <w:rFonts w:hint="default"/>
                <w:sz w:val="21"/>
                <w:szCs w:val="21"/>
              </w:rPr>
            </w:pPr>
            <w:r>
              <w:rPr>
                <w:color w:val="000000"/>
                <w:sz w:val="21"/>
                <w:szCs w:val="21"/>
              </w:rPr>
              <w:t>100%</w:t>
            </w:r>
          </w:p>
        </w:tc>
        <w:tc>
          <w:tcPr>
            <w:tcW w:w="1335" w:type="dxa"/>
            <w:vAlign w:val="center"/>
          </w:tcPr>
          <w:p w14:paraId="2FBE6E46" w14:textId="77777777" w:rsidR="00EC2C51" w:rsidRDefault="00A971AA">
            <w:pPr>
              <w:pStyle w:val="HTML1"/>
              <w:widowControl/>
              <w:jc w:val="center"/>
              <w:rPr>
                <w:rFonts w:hint="default"/>
                <w:color w:val="000000"/>
                <w:sz w:val="21"/>
                <w:szCs w:val="21"/>
              </w:rPr>
            </w:pPr>
            <w:r>
              <w:rPr>
                <w:color w:val="000000"/>
                <w:sz w:val="21"/>
                <w:szCs w:val="21"/>
              </w:rPr>
              <w:t>预期性</w:t>
            </w:r>
          </w:p>
        </w:tc>
      </w:tr>
      <w:tr w:rsidR="00EC2C51" w14:paraId="25EABCE8" w14:textId="77777777">
        <w:trPr>
          <w:trHeight w:val="748"/>
        </w:trPr>
        <w:tc>
          <w:tcPr>
            <w:tcW w:w="925" w:type="dxa"/>
            <w:vMerge/>
            <w:vAlign w:val="center"/>
          </w:tcPr>
          <w:p w14:paraId="0C5EE276" w14:textId="77777777" w:rsidR="00EC2C51" w:rsidRDefault="00EC2C51">
            <w:pPr>
              <w:pStyle w:val="HTML1"/>
              <w:widowControl/>
              <w:jc w:val="center"/>
              <w:rPr>
                <w:rFonts w:hint="default"/>
                <w:sz w:val="21"/>
                <w:szCs w:val="21"/>
              </w:rPr>
            </w:pPr>
          </w:p>
        </w:tc>
        <w:tc>
          <w:tcPr>
            <w:tcW w:w="1380" w:type="dxa"/>
            <w:vMerge/>
            <w:vAlign w:val="center"/>
          </w:tcPr>
          <w:p w14:paraId="2F2282B7" w14:textId="77777777" w:rsidR="00EC2C51" w:rsidRDefault="00EC2C51">
            <w:pPr>
              <w:pStyle w:val="HTML1"/>
              <w:widowControl/>
              <w:jc w:val="center"/>
              <w:rPr>
                <w:rFonts w:hint="default"/>
                <w:sz w:val="21"/>
                <w:szCs w:val="21"/>
              </w:rPr>
            </w:pPr>
          </w:p>
        </w:tc>
        <w:tc>
          <w:tcPr>
            <w:tcW w:w="2550" w:type="dxa"/>
            <w:vAlign w:val="center"/>
          </w:tcPr>
          <w:p w14:paraId="59FD62A6" w14:textId="77777777" w:rsidR="00EC2C51" w:rsidRDefault="00A971AA">
            <w:pPr>
              <w:pStyle w:val="HTML1"/>
              <w:widowControl/>
              <w:jc w:val="center"/>
              <w:rPr>
                <w:rFonts w:hint="default"/>
                <w:color w:val="000000"/>
                <w:sz w:val="21"/>
                <w:szCs w:val="21"/>
              </w:rPr>
            </w:pPr>
            <w:r>
              <w:rPr>
                <w:color w:val="000000"/>
                <w:sz w:val="21"/>
                <w:szCs w:val="21"/>
              </w:rPr>
              <w:t>大中型和高危行业企业应急预案备案达标率</w:t>
            </w:r>
          </w:p>
        </w:tc>
        <w:tc>
          <w:tcPr>
            <w:tcW w:w="1380" w:type="dxa"/>
            <w:vAlign w:val="center"/>
          </w:tcPr>
          <w:p w14:paraId="68BE4EAC" w14:textId="77777777" w:rsidR="00EC2C51" w:rsidRDefault="00A971AA">
            <w:pPr>
              <w:pStyle w:val="HTML1"/>
              <w:widowControl/>
              <w:jc w:val="center"/>
              <w:rPr>
                <w:rFonts w:hint="default"/>
                <w:sz w:val="21"/>
                <w:szCs w:val="21"/>
              </w:rPr>
            </w:pPr>
            <w:r>
              <w:rPr>
                <w:color w:val="000000"/>
                <w:sz w:val="21"/>
                <w:szCs w:val="21"/>
              </w:rPr>
              <w:t>100%</w:t>
            </w:r>
          </w:p>
        </w:tc>
        <w:tc>
          <w:tcPr>
            <w:tcW w:w="1335" w:type="dxa"/>
            <w:vAlign w:val="center"/>
          </w:tcPr>
          <w:p w14:paraId="67DD0A8D" w14:textId="77777777" w:rsidR="00EC2C51" w:rsidRDefault="00A971AA">
            <w:pPr>
              <w:widowControl/>
              <w:jc w:val="center"/>
              <w:rPr>
                <w:rFonts w:ascii="宋体" w:hAnsi="宋体" w:cs="宋体"/>
                <w:color w:val="000000"/>
                <w:szCs w:val="21"/>
              </w:rPr>
            </w:pPr>
            <w:r>
              <w:rPr>
                <w:rFonts w:cs="宋体" w:hint="eastAsia"/>
                <w:color w:val="000000"/>
                <w:szCs w:val="21"/>
              </w:rPr>
              <w:t>预期性</w:t>
            </w:r>
          </w:p>
        </w:tc>
      </w:tr>
      <w:tr w:rsidR="00EC2C51" w14:paraId="11AD140A" w14:textId="77777777">
        <w:tc>
          <w:tcPr>
            <w:tcW w:w="925" w:type="dxa"/>
            <w:vMerge/>
            <w:vAlign w:val="center"/>
          </w:tcPr>
          <w:p w14:paraId="395DE986" w14:textId="77777777" w:rsidR="00EC2C51" w:rsidRDefault="00EC2C51">
            <w:pPr>
              <w:pStyle w:val="HTML1"/>
              <w:widowControl/>
              <w:jc w:val="center"/>
              <w:rPr>
                <w:rFonts w:hint="default"/>
                <w:sz w:val="21"/>
                <w:szCs w:val="21"/>
              </w:rPr>
            </w:pPr>
          </w:p>
        </w:tc>
        <w:tc>
          <w:tcPr>
            <w:tcW w:w="1380" w:type="dxa"/>
            <w:vMerge/>
            <w:vAlign w:val="center"/>
          </w:tcPr>
          <w:p w14:paraId="62D479F7" w14:textId="77777777" w:rsidR="00EC2C51" w:rsidRDefault="00EC2C51">
            <w:pPr>
              <w:pStyle w:val="HTML1"/>
              <w:widowControl/>
              <w:jc w:val="center"/>
              <w:rPr>
                <w:rFonts w:hint="default"/>
                <w:sz w:val="21"/>
                <w:szCs w:val="21"/>
              </w:rPr>
            </w:pPr>
          </w:p>
        </w:tc>
        <w:tc>
          <w:tcPr>
            <w:tcW w:w="2550" w:type="dxa"/>
            <w:vAlign w:val="center"/>
          </w:tcPr>
          <w:p w14:paraId="0C57F318" w14:textId="77777777" w:rsidR="00EC2C51" w:rsidRDefault="00A971AA">
            <w:pPr>
              <w:pStyle w:val="HTML1"/>
              <w:widowControl/>
              <w:jc w:val="center"/>
              <w:rPr>
                <w:rFonts w:hint="default"/>
                <w:color w:val="000000"/>
                <w:sz w:val="21"/>
                <w:szCs w:val="21"/>
              </w:rPr>
            </w:pPr>
            <w:r>
              <w:rPr>
                <w:color w:val="000000"/>
                <w:sz w:val="21"/>
                <w:szCs w:val="21"/>
              </w:rPr>
              <w:t>政府应急演练频次达标率</w:t>
            </w:r>
          </w:p>
          <w:p w14:paraId="25158496" w14:textId="77777777" w:rsidR="00EC2C51" w:rsidRDefault="00EC2C51">
            <w:pPr>
              <w:pStyle w:val="HTML1"/>
              <w:widowControl/>
              <w:jc w:val="center"/>
              <w:rPr>
                <w:rFonts w:hint="default"/>
                <w:color w:val="000000"/>
                <w:sz w:val="21"/>
                <w:szCs w:val="21"/>
              </w:rPr>
            </w:pPr>
          </w:p>
        </w:tc>
        <w:tc>
          <w:tcPr>
            <w:tcW w:w="1380" w:type="dxa"/>
            <w:vAlign w:val="center"/>
          </w:tcPr>
          <w:p w14:paraId="458C300E" w14:textId="77777777" w:rsidR="00EC2C51" w:rsidRDefault="00A971AA">
            <w:pPr>
              <w:pStyle w:val="HTML1"/>
              <w:widowControl/>
              <w:jc w:val="center"/>
              <w:rPr>
                <w:rFonts w:hint="default"/>
                <w:sz w:val="21"/>
                <w:szCs w:val="21"/>
              </w:rPr>
            </w:pPr>
            <w:r>
              <w:rPr>
                <w:color w:val="000000"/>
                <w:sz w:val="21"/>
                <w:szCs w:val="21"/>
              </w:rPr>
              <w:t>100%</w:t>
            </w:r>
          </w:p>
        </w:tc>
        <w:tc>
          <w:tcPr>
            <w:tcW w:w="1335" w:type="dxa"/>
            <w:vAlign w:val="center"/>
          </w:tcPr>
          <w:p w14:paraId="2E1C6074" w14:textId="77777777" w:rsidR="00EC2C51" w:rsidRDefault="00A971AA">
            <w:pPr>
              <w:widowControl/>
              <w:jc w:val="center"/>
              <w:rPr>
                <w:rFonts w:ascii="宋体" w:hAnsi="宋体" w:cs="宋体"/>
                <w:color w:val="000000"/>
                <w:szCs w:val="21"/>
              </w:rPr>
            </w:pPr>
            <w:r>
              <w:rPr>
                <w:rFonts w:cs="宋体" w:hint="eastAsia"/>
                <w:color w:val="000000"/>
                <w:szCs w:val="21"/>
              </w:rPr>
              <w:t>预期性</w:t>
            </w:r>
          </w:p>
        </w:tc>
      </w:tr>
      <w:tr w:rsidR="00EC2C51" w14:paraId="54C85425" w14:textId="77777777">
        <w:tc>
          <w:tcPr>
            <w:tcW w:w="925" w:type="dxa"/>
            <w:vMerge/>
            <w:vAlign w:val="center"/>
          </w:tcPr>
          <w:p w14:paraId="37E68B91" w14:textId="77777777" w:rsidR="00EC2C51" w:rsidRDefault="00EC2C51">
            <w:pPr>
              <w:pStyle w:val="HTML1"/>
              <w:widowControl/>
              <w:jc w:val="center"/>
              <w:rPr>
                <w:rFonts w:hint="default"/>
                <w:sz w:val="21"/>
                <w:szCs w:val="21"/>
              </w:rPr>
            </w:pPr>
          </w:p>
        </w:tc>
        <w:tc>
          <w:tcPr>
            <w:tcW w:w="1380" w:type="dxa"/>
            <w:vMerge/>
            <w:vAlign w:val="center"/>
          </w:tcPr>
          <w:p w14:paraId="2284FB8A" w14:textId="77777777" w:rsidR="00EC2C51" w:rsidRDefault="00EC2C51">
            <w:pPr>
              <w:pStyle w:val="HTML1"/>
              <w:widowControl/>
              <w:jc w:val="center"/>
              <w:rPr>
                <w:rFonts w:hint="default"/>
                <w:sz w:val="21"/>
                <w:szCs w:val="21"/>
              </w:rPr>
            </w:pPr>
          </w:p>
        </w:tc>
        <w:tc>
          <w:tcPr>
            <w:tcW w:w="2550" w:type="dxa"/>
            <w:vAlign w:val="center"/>
          </w:tcPr>
          <w:p w14:paraId="62B2AA02" w14:textId="77777777" w:rsidR="00EC2C51" w:rsidRDefault="00A971AA">
            <w:pPr>
              <w:pStyle w:val="HTML1"/>
              <w:widowControl/>
              <w:jc w:val="center"/>
              <w:rPr>
                <w:rFonts w:hint="default"/>
                <w:color w:val="000000"/>
                <w:sz w:val="21"/>
                <w:szCs w:val="21"/>
              </w:rPr>
            </w:pPr>
            <w:r>
              <w:rPr>
                <w:color w:val="000000"/>
                <w:sz w:val="21"/>
                <w:szCs w:val="21"/>
              </w:rPr>
              <w:t>企业应急演练频次达标率</w:t>
            </w:r>
          </w:p>
          <w:p w14:paraId="7B30F680" w14:textId="77777777" w:rsidR="00EC2C51" w:rsidRDefault="00EC2C51">
            <w:pPr>
              <w:pStyle w:val="HTML1"/>
              <w:widowControl/>
              <w:jc w:val="center"/>
              <w:rPr>
                <w:rFonts w:hint="default"/>
                <w:color w:val="000000"/>
                <w:sz w:val="21"/>
                <w:szCs w:val="21"/>
              </w:rPr>
            </w:pPr>
          </w:p>
        </w:tc>
        <w:tc>
          <w:tcPr>
            <w:tcW w:w="1380" w:type="dxa"/>
            <w:vAlign w:val="center"/>
          </w:tcPr>
          <w:p w14:paraId="206D7C4C" w14:textId="77777777" w:rsidR="00EC2C51" w:rsidRDefault="00A971AA">
            <w:pPr>
              <w:pStyle w:val="HTML1"/>
              <w:widowControl/>
              <w:jc w:val="center"/>
              <w:rPr>
                <w:rFonts w:hint="default"/>
                <w:sz w:val="21"/>
                <w:szCs w:val="21"/>
              </w:rPr>
            </w:pPr>
            <w:r>
              <w:rPr>
                <w:color w:val="000000"/>
                <w:sz w:val="21"/>
                <w:szCs w:val="21"/>
              </w:rPr>
              <w:t>100%</w:t>
            </w:r>
          </w:p>
        </w:tc>
        <w:tc>
          <w:tcPr>
            <w:tcW w:w="1335" w:type="dxa"/>
            <w:vAlign w:val="center"/>
          </w:tcPr>
          <w:p w14:paraId="23462363" w14:textId="77777777" w:rsidR="00EC2C51" w:rsidRDefault="00A971AA">
            <w:pPr>
              <w:widowControl/>
              <w:jc w:val="center"/>
              <w:rPr>
                <w:rFonts w:ascii="宋体" w:hAnsi="宋体" w:cs="宋体"/>
                <w:color w:val="000000"/>
                <w:szCs w:val="21"/>
              </w:rPr>
            </w:pPr>
            <w:r>
              <w:rPr>
                <w:rFonts w:cs="宋体" w:hint="eastAsia"/>
                <w:color w:val="000000"/>
                <w:szCs w:val="21"/>
              </w:rPr>
              <w:t>预期性</w:t>
            </w:r>
          </w:p>
        </w:tc>
      </w:tr>
      <w:tr w:rsidR="00EC2C51" w14:paraId="20C38BE8" w14:textId="77777777">
        <w:tc>
          <w:tcPr>
            <w:tcW w:w="925" w:type="dxa"/>
            <w:vMerge/>
            <w:vAlign w:val="center"/>
          </w:tcPr>
          <w:p w14:paraId="2450FEB6" w14:textId="77777777" w:rsidR="00EC2C51" w:rsidRDefault="00EC2C51">
            <w:pPr>
              <w:pStyle w:val="HTML1"/>
              <w:widowControl/>
              <w:jc w:val="center"/>
              <w:rPr>
                <w:rFonts w:hint="default"/>
                <w:sz w:val="21"/>
                <w:szCs w:val="21"/>
              </w:rPr>
            </w:pPr>
          </w:p>
        </w:tc>
        <w:tc>
          <w:tcPr>
            <w:tcW w:w="1380" w:type="dxa"/>
            <w:vAlign w:val="center"/>
          </w:tcPr>
          <w:p w14:paraId="52485BD7" w14:textId="77777777" w:rsidR="00EC2C51" w:rsidRDefault="00A971AA">
            <w:pPr>
              <w:pStyle w:val="HTML1"/>
              <w:widowControl/>
              <w:jc w:val="center"/>
              <w:rPr>
                <w:rFonts w:hint="default"/>
                <w:sz w:val="21"/>
                <w:szCs w:val="21"/>
              </w:rPr>
            </w:pPr>
            <w:r>
              <w:rPr>
                <w:sz w:val="21"/>
                <w:szCs w:val="21"/>
              </w:rPr>
              <w:t>应</w:t>
            </w:r>
          </w:p>
        </w:tc>
        <w:tc>
          <w:tcPr>
            <w:tcW w:w="2550" w:type="dxa"/>
            <w:vAlign w:val="center"/>
          </w:tcPr>
          <w:p w14:paraId="3CF82B23" w14:textId="77777777" w:rsidR="00EC2C51" w:rsidRDefault="00A971AA">
            <w:pPr>
              <w:pStyle w:val="HTML1"/>
              <w:widowControl/>
              <w:jc w:val="center"/>
              <w:rPr>
                <w:rFonts w:hint="default"/>
                <w:sz w:val="21"/>
                <w:szCs w:val="21"/>
              </w:rPr>
            </w:pPr>
            <w:r>
              <w:rPr>
                <w:color w:val="000000"/>
                <w:sz w:val="21"/>
                <w:szCs w:val="21"/>
              </w:rPr>
              <w:t>灾害发生后满足抢险救灾基本用电时间</w:t>
            </w:r>
          </w:p>
        </w:tc>
        <w:tc>
          <w:tcPr>
            <w:tcW w:w="1380" w:type="dxa"/>
            <w:vAlign w:val="center"/>
          </w:tcPr>
          <w:p w14:paraId="179BA400" w14:textId="77777777" w:rsidR="00EC2C51" w:rsidRDefault="00A971AA">
            <w:pPr>
              <w:pStyle w:val="HTML1"/>
              <w:widowControl/>
              <w:jc w:val="center"/>
              <w:rPr>
                <w:rFonts w:hint="default"/>
                <w:sz w:val="21"/>
                <w:szCs w:val="21"/>
              </w:rPr>
            </w:pPr>
            <w:r>
              <w:rPr>
                <w:color w:val="000000"/>
                <w:sz w:val="21"/>
                <w:szCs w:val="21"/>
              </w:rPr>
              <w:t>≤10h</w:t>
            </w:r>
          </w:p>
        </w:tc>
        <w:tc>
          <w:tcPr>
            <w:tcW w:w="1335" w:type="dxa"/>
            <w:vAlign w:val="center"/>
          </w:tcPr>
          <w:p w14:paraId="48EF5603" w14:textId="77777777" w:rsidR="00EC2C51" w:rsidRDefault="00A971AA">
            <w:pPr>
              <w:widowControl/>
              <w:jc w:val="center"/>
              <w:rPr>
                <w:rFonts w:ascii="宋体" w:hAnsi="宋体" w:cs="宋体"/>
                <w:color w:val="000000"/>
                <w:szCs w:val="21"/>
              </w:rPr>
            </w:pPr>
            <w:r>
              <w:rPr>
                <w:rFonts w:cs="宋体" w:hint="eastAsia"/>
                <w:color w:val="000000"/>
                <w:szCs w:val="21"/>
              </w:rPr>
              <w:t>预期性</w:t>
            </w:r>
          </w:p>
        </w:tc>
      </w:tr>
      <w:tr w:rsidR="00EC2C51" w14:paraId="06A2B58A" w14:textId="77777777">
        <w:tc>
          <w:tcPr>
            <w:tcW w:w="925" w:type="dxa"/>
            <w:vMerge/>
            <w:vAlign w:val="center"/>
          </w:tcPr>
          <w:p w14:paraId="08DAFC75" w14:textId="77777777" w:rsidR="00EC2C51" w:rsidRDefault="00EC2C51">
            <w:pPr>
              <w:pStyle w:val="HTML1"/>
              <w:widowControl/>
              <w:jc w:val="center"/>
              <w:rPr>
                <w:rFonts w:hint="default"/>
                <w:sz w:val="21"/>
                <w:szCs w:val="21"/>
              </w:rPr>
            </w:pPr>
          </w:p>
        </w:tc>
        <w:tc>
          <w:tcPr>
            <w:tcW w:w="1380" w:type="dxa"/>
            <w:vMerge w:val="restart"/>
            <w:vAlign w:val="center"/>
          </w:tcPr>
          <w:p w14:paraId="5413B852" w14:textId="77777777" w:rsidR="00EC2C51" w:rsidRDefault="00A971AA">
            <w:pPr>
              <w:pStyle w:val="HTML1"/>
              <w:widowControl/>
              <w:jc w:val="center"/>
              <w:rPr>
                <w:rFonts w:hint="default"/>
                <w:sz w:val="21"/>
                <w:szCs w:val="21"/>
              </w:rPr>
            </w:pPr>
            <w:r>
              <w:rPr>
                <w:sz w:val="21"/>
                <w:szCs w:val="21"/>
              </w:rPr>
              <w:t>急</w:t>
            </w:r>
          </w:p>
          <w:p w14:paraId="1392F4E3" w14:textId="77777777" w:rsidR="00EC2C51" w:rsidRDefault="00EC2C51">
            <w:pPr>
              <w:pStyle w:val="HTML1"/>
              <w:widowControl/>
              <w:jc w:val="center"/>
              <w:rPr>
                <w:rFonts w:hint="default"/>
                <w:sz w:val="21"/>
                <w:szCs w:val="21"/>
              </w:rPr>
            </w:pPr>
          </w:p>
          <w:p w14:paraId="07C96CCE" w14:textId="77777777" w:rsidR="00EC2C51" w:rsidRDefault="00A971AA">
            <w:pPr>
              <w:pStyle w:val="HTML1"/>
              <w:widowControl/>
              <w:jc w:val="center"/>
              <w:rPr>
                <w:rFonts w:hint="default"/>
                <w:sz w:val="21"/>
                <w:szCs w:val="21"/>
              </w:rPr>
            </w:pPr>
            <w:r>
              <w:rPr>
                <w:sz w:val="21"/>
                <w:szCs w:val="21"/>
              </w:rPr>
              <w:t>物</w:t>
            </w:r>
          </w:p>
          <w:p w14:paraId="555FC120" w14:textId="77777777" w:rsidR="00EC2C51" w:rsidRDefault="00EC2C51">
            <w:pPr>
              <w:pStyle w:val="HTML1"/>
              <w:widowControl/>
              <w:jc w:val="center"/>
              <w:rPr>
                <w:rFonts w:hint="default"/>
                <w:sz w:val="21"/>
                <w:szCs w:val="21"/>
              </w:rPr>
            </w:pPr>
          </w:p>
          <w:p w14:paraId="5580BB7F" w14:textId="77777777" w:rsidR="00EC2C51" w:rsidRDefault="00A971AA">
            <w:pPr>
              <w:pStyle w:val="HTML1"/>
              <w:widowControl/>
              <w:jc w:val="center"/>
              <w:rPr>
                <w:rFonts w:hint="default"/>
                <w:sz w:val="21"/>
                <w:szCs w:val="21"/>
              </w:rPr>
            </w:pPr>
            <w:r>
              <w:rPr>
                <w:sz w:val="21"/>
                <w:szCs w:val="21"/>
              </w:rPr>
              <w:t>资</w:t>
            </w:r>
          </w:p>
        </w:tc>
        <w:tc>
          <w:tcPr>
            <w:tcW w:w="2550" w:type="dxa"/>
            <w:vAlign w:val="center"/>
          </w:tcPr>
          <w:p w14:paraId="46A5CCEE" w14:textId="77777777" w:rsidR="00EC2C51" w:rsidRDefault="00A971AA">
            <w:pPr>
              <w:pStyle w:val="HTML1"/>
              <w:widowControl/>
              <w:jc w:val="center"/>
              <w:rPr>
                <w:rFonts w:hint="default"/>
                <w:color w:val="000000"/>
                <w:sz w:val="21"/>
                <w:szCs w:val="21"/>
              </w:rPr>
            </w:pPr>
            <w:r>
              <w:rPr>
                <w:color w:val="000000"/>
                <w:sz w:val="21"/>
                <w:szCs w:val="21"/>
              </w:rPr>
              <w:t>救灾物资储备量可应急保障全区常住人口率</w:t>
            </w:r>
          </w:p>
        </w:tc>
        <w:tc>
          <w:tcPr>
            <w:tcW w:w="1380" w:type="dxa"/>
            <w:vAlign w:val="center"/>
          </w:tcPr>
          <w:p w14:paraId="61B39F79" w14:textId="77777777" w:rsidR="00EC2C51" w:rsidRDefault="00A971AA">
            <w:pPr>
              <w:pStyle w:val="HTML1"/>
              <w:widowControl/>
              <w:jc w:val="center"/>
              <w:rPr>
                <w:rFonts w:hint="default"/>
                <w:color w:val="000000"/>
                <w:sz w:val="21"/>
                <w:szCs w:val="21"/>
              </w:rPr>
            </w:pPr>
            <w:r>
              <w:rPr>
                <w:color w:val="000000"/>
                <w:sz w:val="21"/>
                <w:szCs w:val="21"/>
              </w:rPr>
              <w:t>≥10%</w:t>
            </w:r>
          </w:p>
        </w:tc>
        <w:tc>
          <w:tcPr>
            <w:tcW w:w="1335" w:type="dxa"/>
            <w:vAlign w:val="center"/>
          </w:tcPr>
          <w:p w14:paraId="42F9DD11" w14:textId="77777777" w:rsidR="00EC2C51" w:rsidRDefault="00A971AA">
            <w:pPr>
              <w:widowControl/>
              <w:jc w:val="center"/>
              <w:rPr>
                <w:rFonts w:ascii="宋体" w:hAnsi="宋体" w:cs="宋体"/>
                <w:color w:val="000000"/>
                <w:szCs w:val="21"/>
              </w:rPr>
            </w:pPr>
            <w:r>
              <w:rPr>
                <w:rFonts w:cs="宋体" w:hint="eastAsia"/>
                <w:color w:val="000000"/>
                <w:szCs w:val="21"/>
              </w:rPr>
              <w:t>预期性</w:t>
            </w:r>
          </w:p>
        </w:tc>
      </w:tr>
      <w:tr w:rsidR="00EC2C51" w14:paraId="710AAD13" w14:textId="77777777">
        <w:tc>
          <w:tcPr>
            <w:tcW w:w="925" w:type="dxa"/>
            <w:vMerge/>
            <w:vAlign w:val="center"/>
          </w:tcPr>
          <w:p w14:paraId="2B1B12E0" w14:textId="77777777" w:rsidR="00EC2C51" w:rsidRDefault="00EC2C51">
            <w:pPr>
              <w:pStyle w:val="HTML1"/>
              <w:widowControl/>
              <w:jc w:val="center"/>
              <w:rPr>
                <w:rFonts w:hint="default"/>
                <w:sz w:val="21"/>
                <w:szCs w:val="21"/>
              </w:rPr>
            </w:pPr>
          </w:p>
        </w:tc>
        <w:tc>
          <w:tcPr>
            <w:tcW w:w="1380" w:type="dxa"/>
            <w:vMerge/>
            <w:vAlign w:val="center"/>
          </w:tcPr>
          <w:p w14:paraId="48AFE780" w14:textId="77777777" w:rsidR="00EC2C51" w:rsidRDefault="00EC2C51">
            <w:pPr>
              <w:pStyle w:val="HTML1"/>
              <w:widowControl/>
              <w:jc w:val="center"/>
              <w:rPr>
                <w:rFonts w:hint="default"/>
                <w:sz w:val="21"/>
                <w:szCs w:val="21"/>
              </w:rPr>
            </w:pPr>
          </w:p>
        </w:tc>
        <w:tc>
          <w:tcPr>
            <w:tcW w:w="2550" w:type="dxa"/>
            <w:vAlign w:val="center"/>
          </w:tcPr>
          <w:p w14:paraId="1F510852" w14:textId="77777777" w:rsidR="00EC2C51" w:rsidRDefault="00A971AA">
            <w:pPr>
              <w:pStyle w:val="HTML1"/>
              <w:widowControl/>
              <w:jc w:val="center"/>
              <w:rPr>
                <w:rFonts w:hint="default"/>
                <w:color w:val="000000"/>
                <w:sz w:val="21"/>
                <w:szCs w:val="21"/>
              </w:rPr>
            </w:pPr>
            <w:r>
              <w:rPr>
                <w:color w:val="000000"/>
                <w:sz w:val="21"/>
                <w:szCs w:val="21"/>
              </w:rPr>
              <w:t>综合性应急避难场所数目</w:t>
            </w:r>
          </w:p>
        </w:tc>
        <w:tc>
          <w:tcPr>
            <w:tcW w:w="1380" w:type="dxa"/>
            <w:vAlign w:val="center"/>
          </w:tcPr>
          <w:p w14:paraId="02B8FE12" w14:textId="77777777" w:rsidR="00EC2C51" w:rsidRDefault="00A971AA">
            <w:pPr>
              <w:pStyle w:val="HTML1"/>
              <w:widowControl/>
              <w:jc w:val="center"/>
              <w:rPr>
                <w:rFonts w:hint="default"/>
                <w:color w:val="000000"/>
                <w:sz w:val="21"/>
                <w:szCs w:val="21"/>
              </w:rPr>
            </w:pPr>
            <w:r>
              <w:rPr>
                <w:color w:val="000000"/>
                <w:sz w:val="21"/>
                <w:szCs w:val="21"/>
              </w:rPr>
              <w:t>≥5</w:t>
            </w:r>
          </w:p>
        </w:tc>
        <w:tc>
          <w:tcPr>
            <w:tcW w:w="1335" w:type="dxa"/>
            <w:vAlign w:val="center"/>
          </w:tcPr>
          <w:p w14:paraId="0DF7A892" w14:textId="77777777" w:rsidR="00EC2C51" w:rsidRDefault="00A971AA">
            <w:pPr>
              <w:widowControl/>
              <w:jc w:val="center"/>
              <w:rPr>
                <w:rFonts w:ascii="宋体" w:hAnsi="宋体" w:cs="宋体"/>
                <w:color w:val="000000"/>
                <w:szCs w:val="21"/>
              </w:rPr>
            </w:pPr>
            <w:r>
              <w:rPr>
                <w:rFonts w:cs="宋体" w:hint="eastAsia"/>
                <w:color w:val="000000"/>
                <w:szCs w:val="21"/>
              </w:rPr>
              <w:t>预期性</w:t>
            </w:r>
          </w:p>
        </w:tc>
      </w:tr>
      <w:tr w:rsidR="00EC2C51" w14:paraId="53098F22" w14:textId="77777777">
        <w:tc>
          <w:tcPr>
            <w:tcW w:w="925" w:type="dxa"/>
            <w:vMerge/>
            <w:vAlign w:val="center"/>
          </w:tcPr>
          <w:p w14:paraId="419EA00C" w14:textId="77777777" w:rsidR="00EC2C51" w:rsidRDefault="00EC2C51">
            <w:pPr>
              <w:pStyle w:val="HTML1"/>
              <w:widowControl/>
              <w:jc w:val="center"/>
              <w:rPr>
                <w:rFonts w:hint="default"/>
                <w:sz w:val="21"/>
                <w:szCs w:val="21"/>
              </w:rPr>
            </w:pPr>
          </w:p>
        </w:tc>
        <w:tc>
          <w:tcPr>
            <w:tcW w:w="1380" w:type="dxa"/>
            <w:vMerge w:val="restart"/>
            <w:vAlign w:val="center"/>
          </w:tcPr>
          <w:p w14:paraId="7D6EC6CB" w14:textId="77777777" w:rsidR="00EC2C51" w:rsidRDefault="00EC2C51">
            <w:pPr>
              <w:pStyle w:val="HTML1"/>
              <w:widowControl/>
              <w:jc w:val="center"/>
              <w:rPr>
                <w:rFonts w:hint="default"/>
                <w:sz w:val="21"/>
                <w:szCs w:val="21"/>
              </w:rPr>
            </w:pPr>
          </w:p>
          <w:p w14:paraId="1DCD632B" w14:textId="77777777" w:rsidR="00EC2C51" w:rsidRDefault="00A971AA">
            <w:pPr>
              <w:pStyle w:val="HTML1"/>
              <w:widowControl/>
              <w:jc w:val="center"/>
              <w:rPr>
                <w:rFonts w:hint="default"/>
                <w:sz w:val="21"/>
                <w:szCs w:val="21"/>
              </w:rPr>
            </w:pPr>
            <w:r>
              <w:rPr>
                <w:sz w:val="21"/>
                <w:szCs w:val="21"/>
              </w:rPr>
              <w:t>应</w:t>
            </w:r>
          </w:p>
          <w:p w14:paraId="6B622131" w14:textId="77777777" w:rsidR="00EC2C51" w:rsidRDefault="00EC2C51">
            <w:pPr>
              <w:pStyle w:val="HTML1"/>
              <w:widowControl/>
              <w:jc w:val="center"/>
              <w:rPr>
                <w:rFonts w:hint="default"/>
                <w:sz w:val="21"/>
                <w:szCs w:val="21"/>
              </w:rPr>
            </w:pPr>
          </w:p>
          <w:p w14:paraId="2EA033F6" w14:textId="77777777" w:rsidR="00EC2C51" w:rsidRDefault="00A971AA">
            <w:pPr>
              <w:pStyle w:val="HTML1"/>
              <w:widowControl/>
              <w:jc w:val="center"/>
              <w:rPr>
                <w:rFonts w:hint="default"/>
                <w:sz w:val="21"/>
                <w:szCs w:val="21"/>
              </w:rPr>
            </w:pPr>
            <w:r>
              <w:rPr>
                <w:sz w:val="21"/>
                <w:szCs w:val="21"/>
              </w:rPr>
              <w:t>急</w:t>
            </w:r>
          </w:p>
          <w:p w14:paraId="52F63238" w14:textId="77777777" w:rsidR="00EC2C51" w:rsidRDefault="00EC2C51">
            <w:pPr>
              <w:pStyle w:val="HTML1"/>
              <w:widowControl/>
              <w:jc w:val="center"/>
              <w:rPr>
                <w:rFonts w:hint="default"/>
                <w:sz w:val="21"/>
                <w:szCs w:val="21"/>
              </w:rPr>
            </w:pPr>
          </w:p>
          <w:p w14:paraId="49F15D9E" w14:textId="77777777" w:rsidR="00EC2C51" w:rsidRDefault="00A971AA">
            <w:pPr>
              <w:pStyle w:val="HTML1"/>
              <w:widowControl/>
              <w:jc w:val="center"/>
              <w:rPr>
                <w:rFonts w:hint="default"/>
                <w:sz w:val="21"/>
                <w:szCs w:val="21"/>
              </w:rPr>
            </w:pPr>
            <w:r>
              <w:rPr>
                <w:sz w:val="21"/>
                <w:szCs w:val="21"/>
              </w:rPr>
              <w:t>技</w:t>
            </w:r>
          </w:p>
          <w:p w14:paraId="4BA156FB" w14:textId="77777777" w:rsidR="00EC2C51" w:rsidRDefault="00EC2C51">
            <w:pPr>
              <w:pStyle w:val="HTML1"/>
              <w:widowControl/>
              <w:jc w:val="center"/>
              <w:rPr>
                <w:rFonts w:hint="default"/>
                <w:sz w:val="21"/>
                <w:szCs w:val="21"/>
              </w:rPr>
            </w:pPr>
          </w:p>
          <w:p w14:paraId="0792BA32" w14:textId="77777777" w:rsidR="00EC2C51" w:rsidRDefault="00A971AA">
            <w:pPr>
              <w:pStyle w:val="HTML1"/>
              <w:widowControl/>
              <w:jc w:val="center"/>
              <w:rPr>
                <w:rFonts w:hint="default"/>
                <w:sz w:val="21"/>
                <w:szCs w:val="21"/>
              </w:rPr>
            </w:pPr>
            <w:r>
              <w:rPr>
                <w:sz w:val="21"/>
                <w:szCs w:val="21"/>
              </w:rPr>
              <w:t>术</w:t>
            </w:r>
          </w:p>
        </w:tc>
        <w:tc>
          <w:tcPr>
            <w:tcW w:w="2550" w:type="dxa"/>
            <w:vAlign w:val="center"/>
          </w:tcPr>
          <w:p w14:paraId="22FDCFEE" w14:textId="77777777" w:rsidR="00EC2C51" w:rsidRDefault="00A971AA">
            <w:pPr>
              <w:pStyle w:val="HTML1"/>
              <w:widowControl/>
              <w:jc w:val="center"/>
              <w:rPr>
                <w:rFonts w:hint="default"/>
                <w:color w:val="000000"/>
                <w:sz w:val="21"/>
                <w:szCs w:val="21"/>
              </w:rPr>
            </w:pPr>
            <w:r>
              <w:rPr>
                <w:color w:val="000000"/>
                <w:sz w:val="21"/>
                <w:szCs w:val="21"/>
              </w:rPr>
              <w:lastRenderedPageBreak/>
              <w:t>预警信息公众覆盖率</w:t>
            </w:r>
          </w:p>
        </w:tc>
        <w:tc>
          <w:tcPr>
            <w:tcW w:w="1380" w:type="dxa"/>
            <w:vAlign w:val="center"/>
          </w:tcPr>
          <w:p w14:paraId="7E1EA709" w14:textId="77777777" w:rsidR="00EC2C51" w:rsidRDefault="00A971AA">
            <w:pPr>
              <w:pStyle w:val="HTML1"/>
              <w:widowControl/>
              <w:jc w:val="center"/>
              <w:rPr>
                <w:rFonts w:hint="default"/>
                <w:color w:val="000000"/>
                <w:sz w:val="21"/>
                <w:szCs w:val="21"/>
              </w:rPr>
            </w:pPr>
            <w:r>
              <w:rPr>
                <w:color w:val="000000"/>
                <w:sz w:val="21"/>
                <w:szCs w:val="21"/>
              </w:rPr>
              <w:t>≥95%</w:t>
            </w:r>
          </w:p>
        </w:tc>
        <w:tc>
          <w:tcPr>
            <w:tcW w:w="1335" w:type="dxa"/>
            <w:vAlign w:val="center"/>
          </w:tcPr>
          <w:p w14:paraId="78FB12B4" w14:textId="77777777" w:rsidR="00EC2C51" w:rsidRDefault="00A971AA">
            <w:pPr>
              <w:widowControl/>
              <w:jc w:val="center"/>
              <w:rPr>
                <w:rFonts w:ascii="宋体" w:hAnsi="宋体" w:cs="宋体"/>
                <w:color w:val="000000"/>
                <w:szCs w:val="21"/>
              </w:rPr>
            </w:pPr>
            <w:r>
              <w:rPr>
                <w:rFonts w:cs="宋体" w:hint="eastAsia"/>
                <w:color w:val="000000"/>
                <w:szCs w:val="21"/>
              </w:rPr>
              <w:t>预期性</w:t>
            </w:r>
          </w:p>
        </w:tc>
      </w:tr>
      <w:tr w:rsidR="00EC2C51" w14:paraId="53863CC8" w14:textId="77777777">
        <w:tc>
          <w:tcPr>
            <w:tcW w:w="925" w:type="dxa"/>
            <w:vMerge/>
            <w:vAlign w:val="center"/>
          </w:tcPr>
          <w:p w14:paraId="30C4DC0D" w14:textId="77777777" w:rsidR="00EC2C51" w:rsidRDefault="00EC2C51">
            <w:pPr>
              <w:pStyle w:val="HTML1"/>
              <w:widowControl/>
              <w:jc w:val="center"/>
              <w:rPr>
                <w:rFonts w:hint="default"/>
                <w:sz w:val="21"/>
                <w:szCs w:val="21"/>
              </w:rPr>
            </w:pPr>
          </w:p>
        </w:tc>
        <w:tc>
          <w:tcPr>
            <w:tcW w:w="1380" w:type="dxa"/>
            <w:vMerge/>
            <w:vAlign w:val="center"/>
          </w:tcPr>
          <w:p w14:paraId="0B3AAA41" w14:textId="77777777" w:rsidR="00EC2C51" w:rsidRDefault="00EC2C51">
            <w:pPr>
              <w:pStyle w:val="HTML1"/>
              <w:widowControl/>
              <w:jc w:val="center"/>
              <w:rPr>
                <w:rFonts w:hint="default"/>
                <w:sz w:val="21"/>
                <w:szCs w:val="21"/>
              </w:rPr>
            </w:pPr>
          </w:p>
        </w:tc>
        <w:tc>
          <w:tcPr>
            <w:tcW w:w="2550" w:type="dxa"/>
            <w:vAlign w:val="center"/>
          </w:tcPr>
          <w:p w14:paraId="64A236AF" w14:textId="77777777" w:rsidR="00EC2C51" w:rsidRDefault="00A971AA">
            <w:pPr>
              <w:pStyle w:val="HTML1"/>
              <w:widowControl/>
              <w:jc w:val="center"/>
              <w:rPr>
                <w:rFonts w:hint="default"/>
                <w:color w:val="000000"/>
                <w:sz w:val="21"/>
                <w:szCs w:val="21"/>
              </w:rPr>
            </w:pPr>
            <w:r>
              <w:rPr>
                <w:color w:val="000000"/>
                <w:sz w:val="21"/>
                <w:szCs w:val="21"/>
              </w:rPr>
              <w:t>高危行业（领域）重大危险源在线监控系统比率</w:t>
            </w:r>
          </w:p>
        </w:tc>
        <w:tc>
          <w:tcPr>
            <w:tcW w:w="1380" w:type="dxa"/>
            <w:vAlign w:val="center"/>
          </w:tcPr>
          <w:p w14:paraId="3E18C4D2" w14:textId="77777777" w:rsidR="00EC2C51" w:rsidRDefault="00A971AA">
            <w:pPr>
              <w:pStyle w:val="HTML1"/>
              <w:widowControl/>
              <w:jc w:val="center"/>
              <w:rPr>
                <w:rFonts w:hint="default"/>
                <w:color w:val="000000"/>
                <w:sz w:val="21"/>
                <w:szCs w:val="21"/>
              </w:rPr>
            </w:pPr>
            <w:r>
              <w:rPr>
                <w:color w:val="000000"/>
                <w:sz w:val="21"/>
                <w:szCs w:val="21"/>
              </w:rPr>
              <w:t>≥98%</w:t>
            </w:r>
          </w:p>
        </w:tc>
        <w:tc>
          <w:tcPr>
            <w:tcW w:w="1335" w:type="dxa"/>
            <w:vAlign w:val="center"/>
          </w:tcPr>
          <w:p w14:paraId="57437FAF" w14:textId="77777777" w:rsidR="00EC2C51" w:rsidRDefault="00A971AA">
            <w:pPr>
              <w:widowControl/>
              <w:jc w:val="center"/>
              <w:rPr>
                <w:rFonts w:ascii="宋体" w:hAnsi="宋体" w:cs="宋体"/>
                <w:color w:val="000000"/>
                <w:szCs w:val="21"/>
              </w:rPr>
            </w:pPr>
            <w:r>
              <w:rPr>
                <w:rFonts w:cs="宋体" w:hint="eastAsia"/>
                <w:color w:val="000000"/>
                <w:szCs w:val="21"/>
              </w:rPr>
              <w:t>预期性</w:t>
            </w:r>
          </w:p>
        </w:tc>
      </w:tr>
      <w:tr w:rsidR="00EC2C51" w14:paraId="7B1A45CC" w14:textId="77777777">
        <w:tc>
          <w:tcPr>
            <w:tcW w:w="925" w:type="dxa"/>
            <w:vMerge/>
            <w:vAlign w:val="center"/>
          </w:tcPr>
          <w:p w14:paraId="5FD6A72F" w14:textId="77777777" w:rsidR="00EC2C51" w:rsidRDefault="00EC2C51">
            <w:pPr>
              <w:pStyle w:val="HTML1"/>
              <w:widowControl/>
              <w:jc w:val="center"/>
              <w:rPr>
                <w:rFonts w:hint="default"/>
                <w:sz w:val="21"/>
                <w:szCs w:val="21"/>
              </w:rPr>
            </w:pPr>
          </w:p>
        </w:tc>
        <w:tc>
          <w:tcPr>
            <w:tcW w:w="1380" w:type="dxa"/>
            <w:vMerge/>
            <w:vAlign w:val="center"/>
          </w:tcPr>
          <w:p w14:paraId="48D8B0CE" w14:textId="77777777" w:rsidR="00EC2C51" w:rsidRDefault="00EC2C51">
            <w:pPr>
              <w:pStyle w:val="HTML1"/>
              <w:widowControl/>
              <w:jc w:val="center"/>
              <w:rPr>
                <w:rFonts w:hint="default"/>
                <w:sz w:val="21"/>
                <w:szCs w:val="21"/>
              </w:rPr>
            </w:pPr>
          </w:p>
        </w:tc>
        <w:tc>
          <w:tcPr>
            <w:tcW w:w="2550" w:type="dxa"/>
            <w:vAlign w:val="center"/>
          </w:tcPr>
          <w:p w14:paraId="3C03BCE8" w14:textId="77777777" w:rsidR="00EC2C51" w:rsidRDefault="00A971AA">
            <w:pPr>
              <w:pStyle w:val="HTML1"/>
              <w:widowControl/>
              <w:jc w:val="center"/>
              <w:rPr>
                <w:rFonts w:hint="default"/>
                <w:color w:val="000000"/>
                <w:sz w:val="21"/>
                <w:szCs w:val="21"/>
              </w:rPr>
            </w:pPr>
            <w:r>
              <w:rPr>
                <w:color w:val="000000"/>
                <w:sz w:val="21"/>
                <w:szCs w:val="21"/>
              </w:rPr>
              <w:t>灾区应急测绘和卫星图像</w:t>
            </w:r>
            <w:r>
              <w:rPr>
                <w:color w:val="000000"/>
                <w:sz w:val="21"/>
                <w:szCs w:val="21"/>
              </w:rPr>
              <w:lastRenderedPageBreak/>
              <w:t>资料获取时间</w:t>
            </w:r>
          </w:p>
        </w:tc>
        <w:tc>
          <w:tcPr>
            <w:tcW w:w="1380" w:type="dxa"/>
            <w:vAlign w:val="center"/>
          </w:tcPr>
          <w:p w14:paraId="7672E399" w14:textId="77777777" w:rsidR="00EC2C51" w:rsidRDefault="00A971AA">
            <w:pPr>
              <w:pStyle w:val="HTML1"/>
              <w:widowControl/>
              <w:jc w:val="center"/>
              <w:rPr>
                <w:rFonts w:hint="default"/>
                <w:color w:val="000000"/>
                <w:sz w:val="21"/>
                <w:szCs w:val="21"/>
              </w:rPr>
            </w:pPr>
            <w:r>
              <w:rPr>
                <w:color w:val="000000"/>
                <w:sz w:val="21"/>
                <w:szCs w:val="21"/>
              </w:rPr>
              <w:lastRenderedPageBreak/>
              <w:t>≤4h</w:t>
            </w:r>
          </w:p>
        </w:tc>
        <w:tc>
          <w:tcPr>
            <w:tcW w:w="1335" w:type="dxa"/>
            <w:vAlign w:val="center"/>
          </w:tcPr>
          <w:p w14:paraId="30926430" w14:textId="77777777" w:rsidR="00EC2C51" w:rsidRDefault="00A971AA">
            <w:pPr>
              <w:widowControl/>
              <w:jc w:val="center"/>
              <w:rPr>
                <w:rFonts w:ascii="宋体" w:hAnsi="宋体" w:cs="宋体"/>
                <w:color w:val="000000"/>
                <w:szCs w:val="21"/>
              </w:rPr>
            </w:pPr>
            <w:r>
              <w:rPr>
                <w:rFonts w:cs="宋体" w:hint="eastAsia"/>
                <w:color w:val="000000"/>
                <w:szCs w:val="21"/>
              </w:rPr>
              <w:t>预期性</w:t>
            </w:r>
          </w:p>
        </w:tc>
      </w:tr>
      <w:tr w:rsidR="00EC2C51" w14:paraId="201343F8" w14:textId="77777777">
        <w:tc>
          <w:tcPr>
            <w:tcW w:w="925" w:type="dxa"/>
            <w:vMerge/>
            <w:vAlign w:val="center"/>
          </w:tcPr>
          <w:p w14:paraId="39F4A470" w14:textId="77777777" w:rsidR="00EC2C51" w:rsidRDefault="00EC2C51">
            <w:pPr>
              <w:pStyle w:val="HTML1"/>
              <w:widowControl/>
              <w:jc w:val="center"/>
              <w:rPr>
                <w:rFonts w:hint="default"/>
                <w:sz w:val="21"/>
                <w:szCs w:val="21"/>
              </w:rPr>
            </w:pPr>
          </w:p>
        </w:tc>
        <w:tc>
          <w:tcPr>
            <w:tcW w:w="1380" w:type="dxa"/>
            <w:vMerge w:val="restart"/>
            <w:vAlign w:val="center"/>
          </w:tcPr>
          <w:p w14:paraId="795523F1" w14:textId="77777777" w:rsidR="00EC2C51" w:rsidRDefault="00EC2C51">
            <w:pPr>
              <w:pStyle w:val="HTML1"/>
              <w:widowControl/>
              <w:jc w:val="center"/>
              <w:rPr>
                <w:rFonts w:hint="default"/>
                <w:sz w:val="21"/>
                <w:szCs w:val="21"/>
              </w:rPr>
            </w:pPr>
          </w:p>
          <w:p w14:paraId="5250CAC9" w14:textId="77777777" w:rsidR="00EC2C51" w:rsidRDefault="00A971AA">
            <w:pPr>
              <w:pStyle w:val="HTML1"/>
              <w:widowControl/>
              <w:jc w:val="center"/>
              <w:rPr>
                <w:rFonts w:hint="default"/>
                <w:sz w:val="21"/>
                <w:szCs w:val="21"/>
              </w:rPr>
            </w:pPr>
            <w:r>
              <w:rPr>
                <w:sz w:val="21"/>
                <w:szCs w:val="21"/>
              </w:rPr>
              <w:t>应</w:t>
            </w:r>
          </w:p>
          <w:p w14:paraId="00807324" w14:textId="77777777" w:rsidR="00EC2C51" w:rsidRDefault="00EC2C51">
            <w:pPr>
              <w:pStyle w:val="HTML1"/>
              <w:widowControl/>
              <w:jc w:val="center"/>
              <w:rPr>
                <w:rFonts w:hint="default"/>
                <w:sz w:val="21"/>
                <w:szCs w:val="21"/>
              </w:rPr>
            </w:pPr>
          </w:p>
          <w:p w14:paraId="5ACDD1B1" w14:textId="77777777" w:rsidR="00EC2C51" w:rsidRDefault="00A971AA">
            <w:pPr>
              <w:pStyle w:val="HTML1"/>
              <w:widowControl/>
              <w:jc w:val="center"/>
              <w:rPr>
                <w:rFonts w:hint="default"/>
                <w:sz w:val="21"/>
                <w:szCs w:val="21"/>
              </w:rPr>
            </w:pPr>
            <w:r>
              <w:rPr>
                <w:sz w:val="21"/>
                <w:szCs w:val="21"/>
              </w:rPr>
              <w:t>急</w:t>
            </w:r>
          </w:p>
          <w:p w14:paraId="24F25430" w14:textId="77777777" w:rsidR="00EC2C51" w:rsidRDefault="00EC2C51">
            <w:pPr>
              <w:pStyle w:val="HTML1"/>
              <w:widowControl/>
              <w:jc w:val="center"/>
              <w:rPr>
                <w:rFonts w:hint="default"/>
                <w:sz w:val="21"/>
                <w:szCs w:val="21"/>
              </w:rPr>
            </w:pPr>
          </w:p>
          <w:p w14:paraId="7F946F0E" w14:textId="77777777" w:rsidR="00EC2C51" w:rsidRDefault="00A971AA">
            <w:pPr>
              <w:pStyle w:val="HTML1"/>
              <w:widowControl/>
              <w:jc w:val="center"/>
              <w:rPr>
                <w:rFonts w:hint="default"/>
                <w:sz w:val="21"/>
                <w:szCs w:val="21"/>
              </w:rPr>
            </w:pPr>
            <w:r>
              <w:rPr>
                <w:sz w:val="21"/>
                <w:szCs w:val="21"/>
              </w:rPr>
              <w:t>队</w:t>
            </w:r>
          </w:p>
          <w:p w14:paraId="7C756012" w14:textId="77777777" w:rsidR="00EC2C51" w:rsidRDefault="00EC2C51">
            <w:pPr>
              <w:pStyle w:val="HTML1"/>
              <w:widowControl/>
              <w:jc w:val="center"/>
              <w:rPr>
                <w:rFonts w:hint="default"/>
                <w:sz w:val="21"/>
                <w:szCs w:val="21"/>
              </w:rPr>
            </w:pPr>
          </w:p>
          <w:p w14:paraId="3DF399A3" w14:textId="77777777" w:rsidR="00EC2C51" w:rsidRDefault="00A971AA">
            <w:pPr>
              <w:pStyle w:val="HTML1"/>
              <w:widowControl/>
              <w:jc w:val="center"/>
              <w:rPr>
                <w:rFonts w:hint="default"/>
                <w:sz w:val="21"/>
                <w:szCs w:val="21"/>
              </w:rPr>
            </w:pPr>
            <w:r>
              <w:rPr>
                <w:sz w:val="21"/>
                <w:szCs w:val="21"/>
              </w:rPr>
              <w:t>伍</w:t>
            </w:r>
          </w:p>
        </w:tc>
        <w:tc>
          <w:tcPr>
            <w:tcW w:w="2550" w:type="dxa"/>
            <w:vAlign w:val="center"/>
          </w:tcPr>
          <w:p w14:paraId="4559C8DF" w14:textId="77777777" w:rsidR="00EC2C51" w:rsidRDefault="00A971AA">
            <w:pPr>
              <w:pStyle w:val="HTML1"/>
              <w:widowControl/>
              <w:jc w:val="center"/>
              <w:rPr>
                <w:rFonts w:hint="default"/>
                <w:color w:val="000000"/>
                <w:sz w:val="21"/>
                <w:szCs w:val="21"/>
              </w:rPr>
            </w:pPr>
            <w:r>
              <w:rPr>
                <w:color w:val="000000"/>
                <w:sz w:val="21"/>
                <w:szCs w:val="21"/>
              </w:rPr>
              <w:t>应急救援队伍在接到较大及以上突发事件处置指令后2小时内到达现场率</w:t>
            </w:r>
          </w:p>
        </w:tc>
        <w:tc>
          <w:tcPr>
            <w:tcW w:w="1380" w:type="dxa"/>
            <w:vAlign w:val="center"/>
          </w:tcPr>
          <w:p w14:paraId="207BF7DE" w14:textId="77777777" w:rsidR="00EC2C51" w:rsidRDefault="00A971AA">
            <w:pPr>
              <w:pStyle w:val="HTML1"/>
              <w:widowControl/>
              <w:jc w:val="center"/>
              <w:rPr>
                <w:rFonts w:hint="default"/>
                <w:color w:val="000000"/>
                <w:sz w:val="21"/>
                <w:szCs w:val="21"/>
              </w:rPr>
            </w:pPr>
            <w:r>
              <w:rPr>
                <w:color w:val="000000"/>
                <w:sz w:val="21"/>
                <w:szCs w:val="21"/>
              </w:rPr>
              <w:t>≥90%</w:t>
            </w:r>
          </w:p>
        </w:tc>
        <w:tc>
          <w:tcPr>
            <w:tcW w:w="1335" w:type="dxa"/>
            <w:vAlign w:val="center"/>
          </w:tcPr>
          <w:p w14:paraId="4EE0C5DB" w14:textId="77777777" w:rsidR="00EC2C51" w:rsidRDefault="00A971AA">
            <w:pPr>
              <w:widowControl/>
              <w:jc w:val="center"/>
              <w:rPr>
                <w:rFonts w:ascii="宋体" w:hAnsi="宋体" w:cs="宋体"/>
                <w:color w:val="000000"/>
                <w:szCs w:val="21"/>
              </w:rPr>
            </w:pPr>
            <w:r>
              <w:rPr>
                <w:rFonts w:cs="宋体" w:hint="eastAsia"/>
                <w:color w:val="000000"/>
                <w:szCs w:val="21"/>
              </w:rPr>
              <w:t>预期性</w:t>
            </w:r>
          </w:p>
        </w:tc>
      </w:tr>
      <w:tr w:rsidR="00EC2C51" w14:paraId="26F49DE2" w14:textId="77777777">
        <w:tc>
          <w:tcPr>
            <w:tcW w:w="925" w:type="dxa"/>
            <w:vMerge/>
            <w:vAlign w:val="center"/>
          </w:tcPr>
          <w:p w14:paraId="1E2339AB" w14:textId="77777777" w:rsidR="00EC2C51" w:rsidRDefault="00EC2C51">
            <w:pPr>
              <w:pStyle w:val="HTML1"/>
              <w:widowControl/>
              <w:jc w:val="center"/>
              <w:rPr>
                <w:rFonts w:hint="default"/>
                <w:sz w:val="21"/>
                <w:szCs w:val="21"/>
              </w:rPr>
            </w:pPr>
          </w:p>
        </w:tc>
        <w:tc>
          <w:tcPr>
            <w:tcW w:w="1380" w:type="dxa"/>
            <w:vMerge/>
            <w:vAlign w:val="center"/>
          </w:tcPr>
          <w:p w14:paraId="48680DEB" w14:textId="77777777" w:rsidR="00EC2C51" w:rsidRDefault="00EC2C51">
            <w:pPr>
              <w:pStyle w:val="HTML1"/>
              <w:widowControl/>
              <w:jc w:val="center"/>
              <w:rPr>
                <w:rFonts w:hint="default"/>
                <w:sz w:val="21"/>
                <w:szCs w:val="21"/>
              </w:rPr>
            </w:pPr>
          </w:p>
        </w:tc>
        <w:tc>
          <w:tcPr>
            <w:tcW w:w="2550" w:type="dxa"/>
            <w:vAlign w:val="center"/>
          </w:tcPr>
          <w:p w14:paraId="5AEABE12" w14:textId="77777777" w:rsidR="00EC2C51" w:rsidRDefault="00A971AA">
            <w:pPr>
              <w:pStyle w:val="HTML1"/>
              <w:widowControl/>
              <w:jc w:val="center"/>
              <w:rPr>
                <w:rFonts w:hint="default"/>
                <w:color w:val="000000"/>
                <w:sz w:val="21"/>
                <w:szCs w:val="21"/>
              </w:rPr>
            </w:pPr>
            <w:r>
              <w:rPr>
                <w:color w:val="000000"/>
                <w:sz w:val="21"/>
                <w:szCs w:val="21"/>
              </w:rPr>
              <w:t>受灾群众10h内得到初步救助率</w:t>
            </w:r>
          </w:p>
        </w:tc>
        <w:tc>
          <w:tcPr>
            <w:tcW w:w="1380" w:type="dxa"/>
            <w:vAlign w:val="center"/>
          </w:tcPr>
          <w:p w14:paraId="7A8AA03D" w14:textId="77777777" w:rsidR="00EC2C51" w:rsidRDefault="00A971AA">
            <w:pPr>
              <w:pStyle w:val="HTML1"/>
              <w:widowControl/>
              <w:jc w:val="center"/>
              <w:rPr>
                <w:rFonts w:hint="default"/>
                <w:color w:val="000000"/>
                <w:sz w:val="21"/>
                <w:szCs w:val="21"/>
              </w:rPr>
            </w:pPr>
            <w:r>
              <w:rPr>
                <w:color w:val="000000"/>
                <w:sz w:val="21"/>
                <w:szCs w:val="21"/>
              </w:rPr>
              <w:t>≥70%</w:t>
            </w:r>
          </w:p>
        </w:tc>
        <w:tc>
          <w:tcPr>
            <w:tcW w:w="1335" w:type="dxa"/>
            <w:vAlign w:val="center"/>
          </w:tcPr>
          <w:p w14:paraId="33322CFC" w14:textId="77777777" w:rsidR="00EC2C51" w:rsidRDefault="00A971AA">
            <w:pPr>
              <w:widowControl/>
              <w:jc w:val="center"/>
              <w:rPr>
                <w:rFonts w:ascii="宋体" w:hAnsi="宋体" w:cs="宋体"/>
                <w:color w:val="000000"/>
                <w:szCs w:val="21"/>
              </w:rPr>
            </w:pPr>
            <w:r>
              <w:rPr>
                <w:rFonts w:cs="宋体" w:hint="eastAsia"/>
                <w:color w:val="000000"/>
                <w:szCs w:val="21"/>
              </w:rPr>
              <w:t>预期性</w:t>
            </w:r>
          </w:p>
        </w:tc>
      </w:tr>
      <w:tr w:rsidR="00EC2C51" w14:paraId="23A27C2F" w14:textId="77777777">
        <w:tc>
          <w:tcPr>
            <w:tcW w:w="925" w:type="dxa"/>
            <w:vMerge/>
            <w:vAlign w:val="center"/>
          </w:tcPr>
          <w:p w14:paraId="1159B4E1" w14:textId="77777777" w:rsidR="00EC2C51" w:rsidRDefault="00EC2C51">
            <w:pPr>
              <w:pStyle w:val="HTML1"/>
              <w:widowControl/>
              <w:jc w:val="center"/>
              <w:rPr>
                <w:rFonts w:hint="default"/>
                <w:sz w:val="21"/>
                <w:szCs w:val="21"/>
              </w:rPr>
            </w:pPr>
          </w:p>
        </w:tc>
        <w:tc>
          <w:tcPr>
            <w:tcW w:w="1380" w:type="dxa"/>
            <w:vMerge/>
            <w:vAlign w:val="center"/>
          </w:tcPr>
          <w:p w14:paraId="397CE40B" w14:textId="77777777" w:rsidR="00EC2C51" w:rsidRDefault="00EC2C51">
            <w:pPr>
              <w:pStyle w:val="HTML1"/>
              <w:widowControl/>
              <w:jc w:val="center"/>
              <w:rPr>
                <w:rFonts w:hint="default"/>
                <w:sz w:val="21"/>
                <w:szCs w:val="21"/>
              </w:rPr>
            </w:pPr>
          </w:p>
        </w:tc>
        <w:tc>
          <w:tcPr>
            <w:tcW w:w="2550" w:type="dxa"/>
            <w:vAlign w:val="center"/>
          </w:tcPr>
          <w:p w14:paraId="07455EB4" w14:textId="77777777" w:rsidR="00EC2C51" w:rsidRDefault="00A971AA">
            <w:pPr>
              <w:pStyle w:val="HTML1"/>
              <w:widowControl/>
              <w:jc w:val="center"/>
              <w:rPr>
                <w:rFonts w:hint="default"/>
                <w:color w:val="000000"/>
                <w:sz w:val="21"/>
                <w:szCs w:val="21"/>
              </w:rPr>
            </w:pPr>
            <w:r>
              <w:rPr>
                <w:color w:val="000000"/>
                <w:sz w:val="21"/>
                <w:szCs w:val="21"/>
              </w:rPr>
              <w:t>专业应急救援队伍装备配备平均达标率</w:t>
            </w:r>
          </w:p>
        </w:tc>
        <w:tc>
          <w:tcPr>
            <w:tcW w:w="1380" w:type="dxa"/>
            <w:vAlign w:val="center"/>
          </w:tcPr>
          <w:p w14:paraId="0B4ED7AA" w14:textId="77777777" w:rsidR="00EC2C51" w:rsidRDefault="00A971AA">
            <w:pPr>
              <w:pStyle w:val="HTML1"/>
              <w:widowControl/>
              <w:jc w:val="center"/>
              <w:rPr>
                <w:rFonts w:hint="default"/>
                <w:color w:val="000000"/>
                <w:sz w:val="21"/>
                <w:szCs w:val="21"/>
              </w:rPr>
            </w:pPr>
            <w:r>
              <w:rPr>
                <w:color w:val="000000"/>
                <w:sz w:val="21"/>
                <w:szCs w:val="21"/>
              </w:rPr>
              <w:t>≥90%</w:t>
            </w:r>
          </w:p>
        </w:tc>
        <w:tc>
          <w:tcPr>
            <w:tcW w:w="1335" w:type="dxa"/>
            <w:vAlign w:val="center"/>
          </w:tcPr>
          <w:p w14:paraId="6AB4580B" w14:textId="77777777" w:rsidR="00EC2C51" w:rsidRDefault="00A971AA">
            <w:pPr>
              <w:widowControl/>
              <w:jc w:val="center"/>
              <w:rPr>
                <w:rFonts w:ascii="宋体" w:hAnsi="宋体" w:cs="宋体"/>
                <w:color w:val="000000"/>
                <w:szCs w:val="21"/>
              </w:rPr>
            </w:pPr>
            <w:r>
              <w:rPr>
                <w:rFonts w:cs="宋体" w:hint="eastAsia"/>
                <w:color w:val="000000"/>
                <w:szCs w:val="21"/>
              </w:rPr>
              <w:t>预期性</w:t>
            </w:r>
          </w:p>
        </w:tc>
      </w:tr>
      <w:tr w:rsidR="00EC2C51" w14:paraId="54F03C18" w14:textId="77777777">
        <w:tc>
          <w:tcPr>
            <w:tcW w:w="925" w:type="dxa"/>
            <w:vMerge/>
            <w:vAlign w:val="center"/>
          </w:tcPr>
          <w:p w14:paraId="2B82D6EA" w14:textId="77777777" w:rsidR="00EC2C51" w:rsidRDefault="00EC2C51">
            <w:pPr>
              <w:pStyle w:val="HTML1"/>
              <w:widowControl/>
              <w:jc w:val="center"/>
              <w:rPr>
                <w:rFonts w:hint="default"/>
                <w:sz w:val="21"/>
                <w:szCs w:val="21"/>
              </w:rPr>
            </w:pPr>
          </w:p>
        </w:tc>
        <w:tc>
          <w:tcPr>
            <w:tcW w:w="1380" w:type="dxa"/>
            <w:vMerge/>
            <w:vAlign w:val="center"/>
          </w:tcPr>
          <w:p w14:paraId="557B9F8E" w14:textId="77777777" w:rsidR="00EC2C51" w:rsidRDefault="00EC2C51">
            <w:pPr>
              <w:pStyle w:val="HTML1"/>
              <w:widowControl/>
              <w:jc w:val="center"/>
              <w:rPr>
                <w:rFonts w:hint="default"/>
                <w:sz w:val="21"/>
                <w:szCs w:val="21"/>
              </w:rPr>
            </w:pPr>
          </w:p>
        </w:tc>
        <w:tc>
          <w:tcPr>
            <w:tcW w:w="2550" w:type="dxa"/>
            <w:vAlign w:val="center"/>
          </w:tcPr>
          <w:p w14:paraId="02A4EE8B" w14:textId="77777777" w:rsidR="00EC2C51" w:rsidRDefault="00A971AA">
            <w:pPr>
              <w:pStyle w:val="HTML1"/>
              <w:widowControl/>
              <w:jc w:val="center"/>
              <w:rPr>
                <w:rFonts w:hint="default"/>
                <w:color w:val="000000"/>
                <w:sz w:val="21"/>
                <w:szCs w:val="21"/>
              </w:rPr>
            </w:pPr>
            <w:r>
              <w:rPr>
                <w:color w:val="000000"/>
                <w:sz w:val="21"/>
                <w:szCs w:val="21"/>
              </w:rPr>
              <w:t>森林草原火灾24小时扑灭率</w:t>
            </w:r>
          </w:p>
        </w:tc>
        <w:tc>
          <w:tcPr>
            <w:tcW w:w="1380" w:type="dxa"/>
            <w:vAlign w:val="center"/>
          </w:tcPr>
          <w:p w14:paraId="0C6009D0" w14:textId="77777777" w:rsidR="00EC2C51" w:rsidRDefault="00A971AA">
            <w:pPr>
              <w:pStyle w:val="HTML1"/>
              <w:widowControl/>
              <w:jc w:val="center"/>
              <w:rPr>
                <w:rFonts w:hint="default"/>
                <w:color w:val="000000"/>
                <w:sz w:val="21"/>
                <w:szCs w:val="21"/>
              </w:rPr>
            </w:pPr>
            <w:r>
              <w:rPr>
                <w:color w:val="000000"/>
                <w:sz w:val="21"/>
                <w:szCs w:val="21"/>
              </w:rPr>
              <w:t>≥95%</w:t>
            </w:r>
          </w:p>
        </w:tc>
        <w:tc>
          <w:tcPr>
            <w:tcW w:w="1335" w:type="dxa"/>
            <w:vAlign w:val="center"/>
          </w:tcPr>
          <w:p w14:paraId="5B6536B2" w14:textId="77777777" w:rsidR="00EC2C51" w:rsidRDefault="00A971AA">
            <w:pPr>
              <w:widowControl/>
              <w:jc w:val="center"/>
              <w:rPr>
                <w:rFonts w:ascii="宋体" w:hAnsi="宋体" w:cs="宋体"/>
                <w:color w:val="000000"/>
                <w:szCs w:val="21"/>
              </w:rPr>
            </w:pPr>
            <w:r>
              <w:rPr>
                <w:rFonts w:cs="宋体" w:hint="eastAsia"/>
                <w:color w:val="000000"/>
                <w:szCs w:val="21"/>
              </w:rPr>
              <w:t>预期性</w:t>
            </w:r>
          </w:p>
        </w:tc>
      </w:tr>
      <w:tr w:rsidR="00EC2C51" w14:paraId="32925ABE" w14:textId="77777777">
        <w:tc>
          <w:tcPr>
            <w:tcW w:w="925" w:type="dxa"/>
            <w:vMerge/>
            <w:vAlign w:val="center"/>
          </w:tcPr>
          <w:p w14:paraId="1F3E55CA" w14:textId="77777777" w:rsidR="00EC2C51" w:rsidRDefault="00EC2C51">
            <w:pPr>
              <w:pStyle w:val="HTML1"/>
              <w:widowControl/>
              <w:jc w:val="center"/>
              <w:rPr>
                <w:rFonts w:hint="default"/>
                <w:sz w:val="21"/>
                <w:szCs w:val="21"/>
              </w:rPr>
            </w:pPr>
          </w:p>
        </w:tc>
        <w:tc>
          <w:tcPr>
            <w:tcW w:w="1380" w:type="dxa"/>
            <w:vMerge w:val="restart"/>
            <w:vAlign w:val="center"/>
          </w:tcPr>
          <w:p w14:paraId="356DDD88" w14:textId="77777777" w:rsidR="00EC2C51" w:rsidRDefault="00A971AA">
            <w:pPr>
              <w:pStyle w:val="HTML1"/>
              <w:widowControl/>
              <w:jc w:val="center"/>
              <w:rPr>
                <w:rFonts w:hint="default"/>
                <w:sz w:val="21"/>
                <w:szCs w:val="21"/>
              </w:rPr>
            </w:pPr>
            <w:r>
              <w:rPr>
                <w:sz w:val="21"/>
                <w:szCs w:val="21"/>
              </w:rPr>
              <w:t>应</w:t>
            </w:r>
          </w:p>
          <w:p w14:paraId="52D87842" w14:textId="77777777" w:rsidR="00EC2C51" w:rsidRDefault="00EC2C51">
            <w:pPr>
              <w:pStyle w:val="HTML1"/>
              <w:widowControl/>
              <w:jc w:val="center"/>
              <w:rPr>
                <w:rFonts w:hint="default"/>
                <w:sz w:val="21"/>
                <w:szCs w:val="21"/>
              </w:rPr>
            </w:pPr>
          </w:p>
          <w:p w14:paraId="558A4B40" w14:textId="77777777" w:rsidR="00EC2C51" w:rsidRDefault="00A971AA">
            <w:pPr>
              <w:pStyle w:val="HTML1"/>
              <w:widowControl/>
              <w:jc w:val="center"/>
              <w:rPr>
                <w:rFonts w:hint="default"/>
                <w:sz w:val="21"/>
                <w:szCs w:val="21"/>
              </w:rPr>
            </w:pPr>
            <w:r>
              <w:rPr>
                <w:sz w:val="21"/>
                <w:szCs w:val="21"/>
              </w:rPr>
              <w:t>急</w:t>
            </w:r>
          </w:p>
          <w:p w14:paraId="3575B6D5" w14:textId="77777777" w:rsidR="00EC2C51" w:rsidRDefault="00EC2C51">
            <w:pPr>
              <w:pStyle w:val="HTML1"/>
              <w:widowControl/>
              <w:jc w:val="center"/>
              <w:rPr>
                <w:rFonts w:hint="default"/>
                <w:sz w:val="21"/>
                <w:szCs w:val="21"/>
              </w:rPr>
            </w:pPr>
          </w:p>
          <w:p w14:paraId="7FF3E862" w14:textId="77777777" w:rsidR="00EC2C51" w:rsidRDefault="00A971AA">
            <w:pPr>
              <w:pStyle w:val="HTML1"/>
              <w:widowControl/>
              <w:jc w:val="center"/>
              <w:rPr>
                <w:rFonts w:hint="default"/>
                <w:sz w:val="21"/>
                <w:szCs w:val="21"/>
              </w:rPr>
            </w:pPr>
            <w:proofErr w:type="gramStart"/>
            <w:r>
              <w:rPr>
                <w:sz w:val="21"/>
                <w:szCs w:val="21"/>
              </w:rPr>
              <w:t>培</w:t>
            </w:r>
            <w:proofErr w:type="gramEnd"/>
          </w:p>
          <w:p w14:paraId="4B270417" w14:textId="77777777" w:rsidR="00EC2C51" w:rsidRDefault="00EC2C51">
            <w:pPr>
              <w:pStyle w:val="HTML1"/>
              <w:widowControl/>
              <w:jc w:val="center"/>
              <w:rPr>
                <w:rFonts w:hint="default"/>
                <w:sz w:val="21"/>
                <w:szCs w:val="21"/>
              </w:rPr>
            </w:pPr>
          </w:p>
          <w:p w14:paraId="32D4D660" w14:textId="77777777" w:rsidR="00EC2C51" w:rsidRDefault="00A971AA">
            <w:pPr>
              <w:pStyle w:val="HTML1"/>
              <w:widowControl/>
              <w:jc w:val="center"/>
              <w:rPr>
                <w:rFonts w:hint="default"/>
                <w:sz w:val="21"/>
                <w:szCs w:val="21"/>
              </w:rPr>
            </w:pPr>
            <w:r>
              <w:rPr>
                <w:sz w:val="21"/>
                <w:szCs w:val="21"/>
              </w:rPr>
              <w:t>训</w:t>
            </w:r>
          </w:p>
        </w:tc>
        <w:tc>
          <w:tcPr>
            <w:tcW w:w="2550" w:type="dxa"/>
            <w:vAlign w:val="center"/>
          </w:tcPr>
          <w:p w14:paraId="2A30E98F" w14:textId="77777777" w:rsidR="00EC2C51" w:rsidRDefault="00A971AA">
            <w:pPr>
              <w:pStyle w:val="HTML1"/>
              <w:widowControl/>
              <w:jc w:val="center"/>
              <w:rPr>
                <w:rFonts w:hint="default"/>
                <w:color w:val="000000"/>
                <w:sz w:val="21"/>
                <w:szCs w:val="21"/>
              </w:rPr>
            </w:pPr>
            <w:r>
              <w:rPr>
                <w:color w:val="000000"/>
                <w:sz w:val="21"/>
                <w:szCs w:val="21"/>
              </w:rPr>
              <w:t>企业特种作业人员持证上岗率</w:t>
            </w:r>
          </w:p>
        </w:tc>
        <w:tc>
          <w:tcPr>
            <w:tcW w:w="1380" w:type="dxa"/>
            <w:vAlign w:val="center"/>
          </w:tcPr>
          <w:p w14:paraId="317CCDC5" w14:textId="77777777" w:rsidR="00EC2C51" w:rsidRDefault="00A971AA">
            <w:pPr>
              <w:pStyle w:val="HTML1"/>
              <w:widowControl/>
              <w:jc w:val="center"/>
              <w:rPr>
                <w:rFonts w:hint="default"/>
                <w:color w:val="000000"/>
                <w:sz w:val="21"/>
                <w:szCs w:val="21"/>
              </w:rPr>
            </w:pPr>
            <w:r>
              <w:rPr>
                <w:color w:val="000000"/>
                <w:sz w:val="21"/>
                <w:szCs w:val="21"/>
              </w:rPr>
              <w:t>100%</w:t>
            </w:r>
          </w:p>
        </w:tc>
        <w:tc>
          <w:tcPr>
            <w:tcW w:w="1335" w:type="dxa"/>
            <w:vAlign w:val="center"/>
          </w:tcPr>
          <w:p w14:paraId="1BEEC899" w14:textId="77777777" w:rsidR="00EC2C51" w:rsidRDefault="00A971AA">
            <w:pPr>
              <w:widowControl/>
              <w:jc w:val="center"/>
              <w:rPr>
                <w:rFonts w:ascii="宋体" w:hAnsi="宋体" w:cs="宋体"/>
                <w:color w:val="000000"/>
                <w:szCs w:val="21"/>
              </w:rPr>
            </w:pPr>
            <w:r>
              <w:rPr>
                <w:rFonts w:cs="宋体" w:hint="eastAsia"/>
                <w:color w:val="000000"/>
                <w:szCs w:val="21"/>
              </w:rPr>
              <w:t>预期性</w:t>
            </w:r>
          </w:p>
        </w:tc>
      </w:tr>
      <w:tr w:rsidR="00EC2C51" w14:paraId="591DBB59" w14:textId="77777777">
        <w:tc>
          <w:tcPr>
            <w:tcW w:w="925" w:type="dxa"/>
            <w:vMerge/>
            <w:vAlign w:val="center"/>
          </w:tcPr>
          <w:p w14:paraId="33AFF79A" w14:textId="77777777" w:rsidR="00EC2C51" w:rsidRDefault="00EC2C51">
            <w:pPr>
              <w:pStyle w:val="HTML1"/>
              <w:widowControl/>
              <w:jc w:val="center"/>
              <w:rPr>
                <w:rFonts w:hint="default"/>
                <w:sz w:val="21"/>
                <w:szCs w:val="21"/>
              </w:rPr>
            </w:pPr>
          </w:p>
        </w:tc>
        <w:tc>
          <w:tcPr>
            <w:tcW w:w="1380" w:type="dxa"/>
            <w:vMerge/>
            <w:vAlign w:val="center"/>
          </w:tcPr>
          <w:p w14:paraId="00BA9ADA" w14:textId="77777777" w:rsidR="00EC2C51" w:rsidRDefault="00EC2C51">
            <w:pPr>
              <w:pStyle w:val="HTML1"/>
              <w:widowControl/>
              <w:jc w:val="center"/>
              <w:rPr>
                <w:rFonts w:hint="default"/>
                <w:sz w:val="21"/>
                <w:szCs w:val="21"/>
              </w:rPr>
            </w:pPr>
          </w:p>
        </w:tc>
        <w:tc>
          <w:tcPr>
            <w:tcW w:w="2550" w:type="dxa"/>
            <w:vAlign w:val="center"/>
          </w:tcPr>
          <w:p w14:paraId="11D350C0" w14:textId="77777777" w:rsidR="00EC2C51" w:rsidRDefault="00A971AA">
            <w:pPr>
              <w:pStyle w:val="HTML1"/>
              <w:widowControl/>
              <w:jc w:val="center"/>
              <w:rPr>
                <w:rFonts w:hint="default"/>
                <w:color w:val="000000"/>
                <w:sz w:val="21"/>
                <w:szCs w:val="21"/>
              </w:rPr>
            </w:pPr>
            <w:r>
              <w:rPr>
                <w:color w:val="000000"/>
                <w:sz w:val="21"/>
                <w:szCs w:val="21"/>
              </w:rPr>
              <w:t>在校学生应急知识普及率</w:t>
            </w:r>
          </w:p>
        </w:tc>
        <w:tc>
          <w:tcPr>
            <w:tcW w:w="1380" w:type="dxa"/>
            <w:vAlign w:val="center"/>
          </w:tcPr>
          <w:p w14:paraId="72CD8806" w14:textId="77777777" w:rsidR="00EC2C51" w:rsidRDefault="00A971AA">
            <w:pPr>
              <w:pStyle w:val="HTML1"/>
              <w:widowControl/>
              <w:jc w:val="center"/>
              <w:rPr>
                <w:rFonts w:hint="default"/>
                <w:color w:val="000000"/>
                <w:sz w:val="21"/>
                <w:szCs w:val="21"/>
              </w:rPr>
            </w:pPr>
            <w:r>
              <w:rPr>
                <w:color w:val="000000"/>
                <w:sz w:val="21"/>
                <w:szCs w:val="21"/>
              </w:rPr>
              <w:t>100%</w:t>
            </w:r>
          </w:p>
        </w:tc>
        <w:tc>
          <w:tcPr>
            <w:tcW w:w="1335" w:type="dxa"/>
            <w:vAlign w:val="center"/>
          </w:tcPr>
          <w:p w14:paraId="51E85550" w14:textId="77777777" w:rsidR="00EC2C51" w:rsidRDefault="00A971AA">
            <w:pPr>
              <w:widowControl/>
              <w:jc w:val="center"/>
              <w:rPr>
                <w:rFonts w:ascii="宋体" w:hAnsi="宋体" w:cs="宋体"/>
                <w:color w:val="000000"/>
                <w:szCs w:val="21"/>
              </w:rPr>
            </w:pPr>
            <w:r>
              <w:rPr>
                <w:rFonts w:cs="宋体" w:hint="eastAsia"/>
                <w:color w:val="000000"/>
                <w:szCs w:val="21"/>
              </w:rPr>
              <w:t>预期性</w:t>
            </w:r>
          </w:p>
        </w:tc>
      </w:tr>
      <w:tr w:rsidR="00EC2C51" w14:paraId="41E334E9" w14:textId="77777777">
        <w:tc>
          <w:tcPr>
            <w:tcW w:w="925" w:type="dxa"/>
            <w:vMerge/>
            <w:vAlign w:val="center"/>
          </w:tcPr>
          <w:p w14:paraId="64A924A4" w14:textId="77777777" w:rsidR="00EC2C51" w:rsidRDefault="00EC2C51">
            <w:pPr>
              <w:pStyle w:val="HTML1"/>
              <w:widowControl/>
              <w:jc w:val="center"/>
              <w:rPr>
                <w:rFonts w:hint="default"/>
                <w:sz w:val="21"/>
                <w:szCs w:val="21"/>
              </w:rPr>
            </w:pPr>
          </w:p>
        </w:tc>
        <w:tc>
          <w:tcPr>
            <w:tcW w:w="1380" w:type="dxa"/>
            <w:vMerge/>
            <w:vAlign w:val="center"/>
          </w:tcPr>
          <w:p w14:paraId="47EF8337" w14:textId="77777777" w:rsidR="00EC2C51" w:rsidRDefault="00EC2C51">
            <w:pPr>
              <w:pStyle w:val="HTML1"/>
              <w:widowControl/>
              <w:jc w:val="center"/>
              <w:rPr>
                <w:rFonts w:hint="default"/>
                <w:sz w:val="21"/>
                <w:szCs w:val="21"/>
              </w:rPr>
            </w:pPr>
          </w:p>
        </w:tc>
        <w:tc>
          <w:tcPr>
            <w:tcW w:w="2550" w:type="dxa"/>
            <w:vAlign w:val="center"/>
          </w:tcPr>
          <w:p w14:paraId="4A89B470" w14:textId="77777777" w:rsidR="00EC2C51" w:rsidRDefault="00A971AA">
            <w:pPr>
              <w:pStyle w:val="HTML1"/>
              <w:widowControl/>
              <w:jc w:val="center"/>
              <w:rPr>
                <w:rFonts w:hint="default"/>
                <w:color w:val="000000"/>
                <w:sz w:val="21"/>
                <w:szCs w:val="21"/>
              </w:rPr>
            </w:pPr>
            <w:r>
              <w:rPr>
                <w:color w:val="000000"/>
                <w:sz w:val="21"/>
                <w:szCs w:val="21"/>
              </w:rPr>
              <w:t>应急知识科普</w:t>
            </w:r>
            <w:proofErr w:type="gramStart"/>
            <w:r>
              <w:rPr>
                <w:color w:val="000000"/>
                <w:sz w:val="21"/>
                <w:szCs w:val="21"/>
              </w:rPr>
              <w:t>宣传受</w:t>
            </w:r>
            <w:proofErr w:type="gramEnd"/>
            <w:r>
              <w:rPr>
                <w:color w:val="000000"/>
                <w:sz w:val="21"/>
                <w:szCs w:val="21"/>
              </w:rPr>
              <w:t>众率</w:t>
            </w:r>
          </w:p>
        </w:tc>
        <w:tc>
          <w:tcPr>
            <w:tcW w:w="1380" w:type="dxa"/>
            <w:vAlign w:val="center"/>
          </w:tcPr>
          <w:p w14:paraId="1FDC1644" w14:textId="77777777" w:rsidR="00EC2C51" w:rsidRDefault="00A971AA">
            <w:pPr>
              <w:pStyle w:val="HTML1"/>
              <w:widowControl/>
              <w:jc w:val="center"/>
              <w:rPr>
                <w:rFonts w:hint="default"/>
                <w:color w:val="000000"/>
                <w:sz w:val="21"/>
                <w:szCs w:val="21"/>
              </w:rPr>
            </w:pPr>
            <w:r>
              <w:rPr>
                <w:color w:val="000000"/>
                <w:sz w:val="21"/>
                <w:szCs w:val="21"/>
              </w:rPr>
              <w:t>≥90%</w:t>
            </w:r>
          </w:p>
        </w:tc>
        <w:tc>
          <w:tcPr>
            <w:tcW w:w="1335" w:type="dxa"/>
            <w:vAlign w:val="center"/>
          </w:tcPr>
          <w:p w14:paraId="594EDF8E" w14:textId="77777777" w:rsidR="00EC2C51" w:rsidRDefault="00A971AA">
            <w:pPr>
              <w:widowControl/>
              <w:jc w:val="center"/>
              <w:rPr>
                <w:rFonts w:ascii="宋体" w:hAnsi="宋体" w:cs="宋体"/>
                <w:color w:val="000000"/>
                <w:szCs w:val="21"/>
              </w:rPr>
            </w:pPr>
            <w:r>
              <w:rPr>
                <w:rFonts w:cs="宋体" w:hint="eastAsia"/>
                <w:color w:val="000000"/>
                <w:szCs w:val="21"/>
              </w:rPr>
              <w:t>预期性</w:t>
            </w:r>
          </w:p>
        </w:tc>
      </w:tr>
      <w:tr w:rsidR="00EC2C51" w14:paraId="36932EE5" w14:textId="77777777">
        <w:tc>
          <w:tcPr>
            <w:tcW w:w="925" w:type="dxa"/>
            <w:vMerge w:val="restart"/>
            <w:vAlign w:val="center"/>
          </w:tcPr>
          <w:p w14:paraId="44719ED1" w14:textId="77777777" w:rsidR="00EC2C51" w:rsidRDefault="00A971AA">
            <w:pPr>
              <w:pStyle w:val="HTML1"/>
              <w:widowControl/>
              <w:jc w:val="center"/>
              <w:rPr>
                <w:rFonts w:hint="default"/>
                <w:color w:val="000000"/>
                <w:sz w:val="21"/>
                <w:szCs w:val="21"/>
              </w:rPr>
            </w:pPr>
            <w:r>
              <w:rPr>
                <w:color w:val="000000"/>
                <w:sz w:val="21"/>
                <w:szCs w:val="21"/>
              </w:rPr>
              <w:t>约束性指标</w:t>
            </w:r>
          </w:p>
        </w:tc>
        <w:tc>
          <w:tcPr>
            <w:tcW w:w="1380" w:type="dxa"/>
            <w:vMerge w:val="restart"/>
            <w:vAlign w:val="center"/>
          </w:tcPr>
          <w:p w14:paraId="55E69F67" w14:textId="77777777" w:rsidR="00EC2C51" w:rsidRDefault="00EC2C51">
            <w:pPr>
              <w:pStyle w:val="HTML1"/>
              <w:widowControl/>
              <w:jc w:val="center"/>
              <w:rPr>
                <w:rFonts w:hint="default"/>
                <w:color w:val="000000"/>
                <w:sz w:val="21"/>
                <w:szCs w:val="21"/>
              </w:rPr>
            </w:pPr>
          </w:p>
          <w:p w14:paraId="0B7E0657" w14:textId="77777777" w:rsidR="00EC2C51" w:rsidRDefault="00A971AA">
            <w:pPr>
              <w:pStyle w:val="HTML1"/>
              <w:widowControl/>
              <w:jc w:val="center"/>
              <w:rPr>
                <w:rFonts w:hint="default"/>
                <w:color w:val="000000"/>
                <w:sz w:val="21"/>
                <w:szCs w:val="21"/>
              </w:rPr>
            </w:pPr>
            <w:r>
              <w:rPr>
                <w:color w:val="000000"/>
                <w:sz w:val="21"/>
                <w:szCs w:val="21"/>
              </w:rPr>
              <w:t>综合</w:t>
            </w:r>
          </w:p>
          <w:p w14:paraId="7CC5FBDD" w14:textId="77777777" w:rsidR="00EC2C51" w:rsidRDefault="00EC2C51">
            <w:pPr>
              <w:pStyle w:val="HTML1"/>
              <w:widowControl/>
              <w:jc w:val="center"/>
              <w:rPr>
                <w:rFonts w:hint="default"/>
                <w:color w:val="000000"/>
                <w:sz w:val="21"/>
                <w:szCs w:val="21"/>
              </w:rPr>
            </w:pPr>
          </w:p>
          <w:p w14:paraId="525C3955" w14:textId="77777777" w:rsidR="00EC2C51" w:rsidRDefault="00A971AA">
            <w:pPr>
              <w:pStyle w:val="HTML1"/>
              <w:widowControl/>
              <w:jc w:val="center"/>
              <w:rPr>
                <w:rFonts w:hint="default"/>
                <w:color w:val="000000"/>
                <w:sz w:val="21"/>
                <w:szCs w:val="21"/>
              </w:rPr>
            </w:pPr>
            <w:r>
              <w:rPr>
                <w:color w:val="000000"/>
                <w:sz w:val="21"/>
                <w:szCs w:val="21"/>
              </w:rPr>
              <w:t>控制</w:t>
            </w:r>
          </w:p>
        </w:tc>
        <w:tc>
          <w:tcPr>
            <w:tcW w:w="2550" w:type="dxa"/>
            <w:vAlign w:val="center"/>
          </w:tcPr>
          <w:p w14:paraId="37104905" w14:textId="77777777" w:rsidR="00EC2C51" w:rsidRDefault="00A971AA">
            <w:pPr>
              <w:pStyle w:val="HTML1"/>
              <w:widowControl/>
              <w:jc w:val="center"/>
              <w:rPr>
                <w:rFonts w:hint="default"/>
                <w:color w:val="000000"/>
                <w:sz w:val="21"/>
                <w:szCs w:val="21"/>
              </w:rPr>
            </w:pPr>
            <w:r>
              <w:rPr>
                <w:color w:val="000000"/>
                <w:sz w:val="21"/>
                <w:szCs w:val="21"/>
              </w:rPr>
              <w:t>事故灾害十万人死亡率</w:t>
            </w:r>
          </w:p>
        </w:tc>
        <w:tc>
          <w:tcPr>
            <w:tcW w:w="1380" w:type="dxa"/>
            <w:vAlign w:val="center"/>
          </w:tcPr>
          <w:p w14:paraId="06CE282D" w14:textId="77777777" w:rsidR="00EC2C51" w:rsidRDefault="00A971AA">
            <w:pPr>
              <w:pStyle w:val="HTML1"/>
              <w:widowControl/>
              <w:jc w:val="center"/>
              <w:rPr>
                <w:rFonts w:hint="default"/>
                <w:color w:val="000000"/>
                <w:sz w:val="21"/>
                <w:szCs w:val="21"/>
              </w:rPr>
            </w:pPr>
            <w:r>
              <w:rPr>
                <w:color w:val="000000"/>
                <w:sz w:val="21"/>
                <w:szCs w:val="21"/>
              </w:rPr>
              <w:t>≤0.5%</w:t>
            </w:r>
          </w:p>
        </w:tc>
        <w:tc>
          <w:tcPr>
            <w:tcW w:w="1335" w:type="dxa"/>
            <w:vAlign w:val="center"/>
          </w:tcPr>
          <w:p w14:paraId="2DE7F448" w14:textId="77777777" w:rsidR="00EC2C51" w:rsidRDefault="00A971AA">
            <w:pPr>
              <w:widowControl/>
              <w:jc w:val="center"/>
              <w:rPr>
                <w:rFonts w:ascii="宋体" w:hAnsi="宋体" w:cs="宋体"/>
                <w:color w:val="000000"/>
                <w:szCs w:val="21"/>
              </w:rPr>
            </w:pPr>
            <w:r>
              <w:rPr>
                <w:rFonts w:ascii="宋体" w:hAnsi="宋体" w:cs="宋体" w:hint="eastAsia"/>
                <w:color w:val="000000"/>
                <w:szCs w:val="21"/>
              </w:rPr>
              <w:t>约束性</w:t>
            </w:r>
          </w:p>
        </w:tc>
      </w:tr>
      <w:tr w:rsidR="00EC2C51" w14:paraId="3607CC68" w14:textId="77777777">
        <w:tc>
          <w:tcPr>
            <w:tcW w:w="925" w:type="dxa"/>
            <w:vMerge/>
            <w:vAlign w:val="center"/>
          </w:tcPr>
          <w:p w14:paraId="477ADEA2" w14:textId="77777777" w:rsidR="00EC2C51" w:rsidRDefault="00EC2C51">
            <w:pPr>
              <w:pStyle w:val="HTML1"/>
              <w:widowControl/>
              <w:jc w:val="center"/>
              <w:rPr>
                <w:rFonts w:hint="default"/>
                <w:color w:val="000000"/>
                <w:sz w:val="21"/>
                <w:szCs w:val="21"/>
              </w:rPr>
            </w:pPr>
          </w:p>
        </w:tc>
        <w:tc>
          <w:tcPr>
            <w:tcW w:w="1380" w:type="dxa"/>
            <w:vMerge/>
            <w:vAlign w:val="center"/>
          </w:tcPr>
          <w:p w14:paraId="4FBBC5B7" w14:textId="77777777" w:rsidR="00EC2C51" w:rsidRDefault="00EC2C51">
            <w:pPr>
              <w:pStyle w:val="HTML1"/>
              <w:widowControl/>
              <w:jc w:val="center"/>
              <w:rPr>
                <w:rFonts w:hint="default"/>
                <w:color w:val="000000"/>
                <w:sz w:val="21"/>
                <w:szCs w:val="21"/>
              </w:rPr>
            </w:pPr>
          </w:p>
        </w:tc>
        <w:tc>
          <w:tcPr>
            <w:tcW w:w="2550" w:type="dxa"/>
            <w:vAlign w:val="center"/>
          </w:tcPr>
          <w:p w14:paraId="719CE7A7" w14:textId="77777777" w:rsidR="00EC2C51" w:rsidRDefault="00A971AA">
            <w:pPr>
              <w:pStyle w:val="HTML1"/>
              <w:widowControl/>
              <w:jc w:val="center"/>
              <w:rPr>
                <w:rFonts w:hint="default"/>
                <w:color w:val="000000"/>
                <w:sz w:val="21"/>
                <w:szCs w:val="21"/>
              </w:rPr>
            </w:pPr>
            <w:r>
              <w:rPr>
                <w:color w:val="000000"/>
                <w:sz w:val="21"/>
                <w:szCs w:val="21"/>
              </w:rPr>
              <w:t>亿元 GDP 事故灾害经济损失率</w:t>
            </w:r>
          </w:p>
        </w:tc>
        <w:tc>
          <w:tcPr>
            <w:tcW w:w="1380" w:type="dxa"/>
            <w:vAlign w:val="center"/>
          </w:tcPr>
          <w:p w14:paraId="2B6FDA45" w14:textId="77777777" w:rsidR="00EC2C51" w:rsidRDefault="00A971AA">
            <w:pPr>
              <w:pStyle w:val="HTML1"/>
              <w:widowControl/>
              <w:jc w:val="center"/>
              <w:rPr>
                <w:rFonts w:hint="default"/>
                <w:color w:val="000000"/>
                <w:sz w:val="21"/>
                <w:szCs w:val="21"/>
              </w:rPr>
            </w:pPr>
            <w:r>
              <w:rPr>
                <w:color w:val="000000"/>
                <w:sz w:val="21"/>
                <w:szCs w:val="21"/>
              </w:rPr>
              <w:t>下降20%</w:t>
            </w:r>
          </w:p>
        </w:tc>
        <w:tc>
          <w:tcPr>
            <w:tcW w:w="1335" w:type="dxa"/>
            <w:vAlign w:val="center"/>
          </w:tcPr>
          <w:p w14:paraId="7D15526B" w14:textId="77777777" w:rsidR="00EC2C51" w:rsidRDefault="00A971AA">
            <w:pPr>
              <w:widowControl/>
              <w:jc w:val="center"/>
              <w:rPr>
                <w:rFonts w:ascii="宋体" w:hAnsi="宋体" w:cs="宋体"/>
                <w:color w:val="000000"/>
                <w:szCs w:val="21"/>
              </w:rPr>
            </w:pPr>
            <w:r>
              <w:rPr>
                <w:rFonts w:ascii="宋体" w:hAnsi="宋体" w:cs="宋体" w:hint="eastAsia"/>
                <w:color w:val="000000"/>
                <w:szCs w:val="21"/>
              </w:rPr>
              <w:t>约束性</w:t>
            </w:r>
          </w:p>
        </w:tc>
      </w:tr>
      <w:tr w:rsidR="00EC2C51" w14:paraId="09A4623E" w14:textId="77777777">
        <w:tc>
          <w:tcPr>
            <w:tcW w:w="925" w:type="dxa"/>
            <w:vMerge/>
            <w:vAlign w:val="center"/>
          </w:tcPr>
          <w:p w14:paraId="64397D3B" w14:textId="77777777" w:rsidR="00EC2C51" w:rsidRDefault="00EC2C51">
            <w:pPr>
              <w:pStyle w:val="HTML1"/>
              <w:widowControl/>
              <w:jc w:val="center"/>
              <w:rPr>
                <w:rFonts w:hint="default"/>
                <w:color w:val="000000"/>
                <w:sz w:val="21"/>
                <w:szCs w:val="21"/>
              </w:rPr>
            </w:pPr>
          </w:p>
        </w:tc>
        <w:tc>
          <w:tcPr>
            <w:tcW w:w="1380" w:type="dxa"/>
            <w:vMerge w:val="restart"/>
            <w:vAlign w:val="center"/>
          </w:tcPr>
          <w:p w14:paraId="0C863D45" w14:textId="77777777" w:rsidR="00EC2C51" w:rsidRDefault="00EC2C51">
            <w:pPr>
              <w:pStyle w:val="HTML1"/>
              <w:widowControl/>
              <w:jc w:val="center"/>
              <w:rPr>
                <w:rFonts w:hint="default"/>
                <w:color w:val="000000"/>
                <w:sz w:val="21"/>
                <w:szCs w:val="21"/>
              </w:rPr>
            </w:pPr>
          </w:p>
          <w:p w14:paraId="14E924B6" w14:textId="77777777" w:rsidR="00EC2C51" w:rsidRDefault="00A971AA">
            <w:pPr>
              <w:pStyle w:val="HTML1"/>
              <w:widowControl/>
              <w:jc w:val="center"/>
              <w:rPr>
                <w:rFonts w:hint="default"/>
                <w:color w:val="000000"/>
                <w:sz w:val="21"/>
                <w:szCs w:val="21"/>
              </w:rPr>
            </w:pPr>
            <w:r>
              <w:rPr>
                <w:color w:val="000000"/>
                <w:sz w:val="21"/>
                <w:szCs w:val="21"/>
              </w:rPr>
              <w:t>安全</w:t>
            </w:r>
          </w:p>
          <w:p w14:paraId="4F3206C6" w14:textId="77777777" w:rsidR="00EC2C51" w:rsidRDefault="00EC2C51">
            <w:pPr>
              <w:pStyle w:val="HTML1"/>
              <w:widowControl/>
              <w:jc w:val="center"/>
              <w:rPr>
                <w:rFonts w:hint="default"/>
                <w:color w:val="000000"/>
                <w:sz w:val="21"/>
                <w:szCs w:val="21"/>
              </w:rPr>
            </w:pPr>
          </w:p>
          <w:p w14:paraId="4D3ABDA9" w14:textId="77777777" w:rsidR="00EC2C51" w:rsidRDefault="00A971AA">
            <w:pPr>
              <w:pStyle w:val="HTML1"/>
              <w:widowControl/>
              <w:jc w:val="center"/>
              <w:rPr>
                <w:rFonts w:hint="default"/>
                <w:color w:val="000000"/>
                <w:sz w:val="21"/>
                <w:szCs w:val="21"/>
              </w:rPr>
            </w:pPr>
            <w:r>
              <w:rPr>
                <w:color w:val="000000"/>
                <w:sz w:val="21"/>
                <w:szCs w:val="21"/>
              </w:rPr>
              <w:t>生产</w:t>
            </w:r>
          </w:p>
        </w:tc>
        <w:tc>
          <w:tcPr>
            <w:tcW w:w="2550" w:type="dxa"/>
            <w:vAlign w:val="center"/>
          </w:tcPr>
          <w:p w14:paraId="618ACD2A" w14:textId="77777777" w:rsidR="00EC2C51" w:rsidRDefault="00A971AA">
            <w:pPr>
              <w:pStyle w:val="HTML1"/>
              <w:widowControl/>
              <w:jc w:val="center"/>
              <w:rPr>
                <w:rFonts w:hint="default"/>
                <w:color w:val="000000"/>
                <w:sz w:val="21"/>
                <w:szCs w:val="21"/>
              </w:rPr>
            </w:pPr>
            <w:r>
              <w:rPr>
                <w:color w:val="000000"/>
                <w:sz w:val="21"/>
                <w:szCs w:val="21"/>
              </w:rPr>
              <w:t>重特大生产安全事故起数</w:t>
            </w:r>
          </w:p>
        </w:tc>
        <w:tc>
          <w:tcPr>
            <w:tcW w:w="1380" w:type="dxa"/>
            <w:vAlign w:val="center"/>
          </w:tcPr>
          <w:p w14:paraId="24EDBD1E" w14:textId="77777777" w:rsidR="00EC2C51" w:rsidRDefault="00A971AA">
            <w:pPr>
              <w:pStyle w:val="HTML1"/>
              <w:widowControl/>
              <w:jc w:val="center"/>
              <w:rPr>
                <w:rFonts w:hint="default"/>
                <w:color w:val="000000"/>
                <w:sz w:val="21"/>
                <w:szCs w:val="21"/>
              </w:rPr>
            </w:pPr>
            <w:r>
              <w:rPr>
                <w:color w:val="000000"/>
                <w:sz w:val="21"/>
                <w:szCs w:val="21"/>
              </w:rPr>
              <w:t>0</w:t>
            </w:r>
          </w:p>
        </w:tc>
        <w:tc>
          <w:tcPr>
            <w:tcW w:w="1335" w:type="dxa"/>
            <w:vAlign w:val="center"/>
          </w:tcPr>
          <w:p w14:paraId="4F7D0136" w14:textId="77777777" w:rsidR="00EC2C51" w:rsidRDefault="00A971AA">
            <w:pPr>
              <w:widowControl/>
              <w:jc w:val="center"/>
              <w:rPr>
                <w:rFonts w:ascii="宋体" w:hAnsi="宋体" w:cs="宋体"/>
                <w:color w:val="000000"/>
                <w:szCs w:val="21"/>
              </w:rPr>
            </w:pPr>
            <w:r>
              <w:rPr>
                <w:rFonts w:ascii="宋体" w:hAnsi="宋体" w:cs="宋体" w:hint="eastAsia"/>
                <w:color w:val="000000"/>
                <w:szCs w:val="21"/>
              </w:rPr>
              <w:t>约束性</w:t>
            </w:r>
          </w:p>
        </w:tc>
      </w:tr>
      <w:tr w:rsidR="00EC2C51" w14:paraId="4743A6B3" w14:textId="77777777">
        <w:tc>
          <w:tcPr>
            <w:tcW w:w="925" w:type="dxa"/>
            <w:vMerge/>
            <w:vAlign w:val="center"/>
          </w:tcPr>
          <w:p w14:paraId="02598E0A" w14:textId="77777777" w:rsidR="00EC2C51" w:rsidRDefault="00EC2C51">
            <w:pPr>
              <w:pStyle w:val="HTML1"/>
              <w:widowControl/>
              <w:jc w:val="center"/>
              <w:rPr>
                <w:rFonts w:hint="default"/>
                <w:color w:val="000000"/>
                <w:sz w:val="21"/>
                <w:szCs w:val="21"/>
              </w:rPr>
            </w:pPr>
          </w:p>
        </w:tc>
        <w:tc>
          <w:tcPr>
            <w:tcW w:w="1380" w:type="dxa"/>
            <w:vMerge/>
            <w:vAlign w:val="center"/>
          </w:tcPr>
          <w:p w14:paraId="40AABADF" w14:textId="77777777" w:rsidR="00EC2C51" w:rsidRDefault="00EC2C51">
            <w:pPr>
              <w:pStyle w:val="HTML1"/>
              <w:widowControl/>
              <w:jc w:val="center"/>
              <w:rPr>
                <w:rFonts w:hint="default"/>
                <w:color w:val="000000"/>
                <w:sz w:val="21"/>
                <w:szCs w:val="21"/>
              </w:rPr>
            </w:pPr>
          </w:p>
        </w:tc>
        <w:tc>
          <w:tcPr>
            <w:tcW w:w="2550" w:type="dxa"/>
            <w:vAlign w:val="center"/>
          </w:tcPr>
          <w:p w14:paraId="70CFE16A" w14:textId="77777777" w:rsidR="00EC2C51" w:rsidRDefault="00A971AA">
            <w:pPr>
              <w:pStyle w:val="HTML1"/>
              <w:widowControl/>
              <w:jc w:val="center"/>
              <w:rPr>
                <w:rFonts w:hint="default"/>
                <w:color w:val="000000"/>
                <w:sz w:val="21"/>
                <w:szCs w:val="21"/>
              </w:rPr>
            </w:pPr>
            <w:r>
              <w:rPr>
                <w:color w:val="000000"/>
                <w:sz w:val="21"/>
                <w:szCs w:val="21"/>
              </w:rPr>
              <w:t>生产安全事故死亡人数</w:t>
            </w:r>
          </w:p>
        </w:tc>
        <w:tc>
          <w:tcPr>
            <w:tcW w:w="1380" w:type="dxa"/>
            <w:vAlign w:val="center"/>
          </w:tcPr>
          <w:p w14:paraId="72079FA2" w14:textId="77777777" w:rsidR="00EC2C51" w:rsidRDefault="00A971AA">
            <w:pPr>
              <w:pStyle w:val="HTML1"/>
              <w:widowControl/>
              <w:jc w:val="center"/>
              <w:rPr>
                <w:rFonts w:hint="default"/>
                <w:color w:val="000000"/>
                <w:sz w:val="21"/>
                <w:szCs w:val="21"/>
              </w:rPr>
            </w:pPr>
            <w:r>
              <w:rPr>
                <w:color w:val="000000"/>
                <w:sz w:val="21"/>
                <w:szCs w:val="21"/>
              </w:rPr>
              <w:t>≤11</w:t>
            </w:r>
          </w:p>
        </w:tc>
        <w:tc>
          <w:tcPr>
            <w:tcW w:w="1335" w:type="dxa"/>
            <w:vAlign w:val="center"/>
          </w:tcPr>
          <w:p w14:paraId="2983FB12" w14:textId="77777777" w:rsidR="00EC2C51" w:rsidRDefault="00A971AA">
            <w:pPr>
              <w:widowControl/>
              <w:jc w:val="center"/>
              <w:rPr>
                <w:rFonts w:ascii="宋体" w:hAnsi="宋体" w:cs="宋体"/>
                <w:color w:val="000000"/>
                <w:szCs w:val="21"/>
              </w:rPr>
            </w:pPr>
            <w:r>
              <w:rPr>
                <w:rFonts w:ascii="宋体" w:hAnsi="宋体" w:cs="宋体" w:hint="eastAsia"/>
                <w:color w:val="000000"/>
                <w:szCs w:val="21"/>
              </w:rPr>
              <w:t>约束性</w:t>
            </w:r>
          </w:p>
        </w:tc>
      </w:tr>
      <w:tr w:rsidR="00EC2C51" w14:paraId="65EB0C96" w14:textId="77777777">
        <w:tc>
          <w:tcPr>
            <w:tcW w:w="925" w:type="dxa"/>
            <w:vMerge/>
            <w:vAlign w:val="center"/>
          </w:tcPr>
          <w:p w14:paraId="095EED9C" w14:textId="77777777" w:rsidR="00EC2C51" w:rsidRDefault="00EC2C51">
            <w:pPr>
              <w:pStyle w:val="HTML1"/>
              <w:widowControl/>
              <w:jc w:val="center"/>
              <w:rPr>
                <w:rFonts w:hint="default"/>
                <w:color w:val="000000"/>
                <w:sz w:val="21"/>
                <w:szCs w:val="21"/>
              </w:rPr>
            </w:pPr>
          </w:p>
        </w:tc>
        <w:tc>
          <w:tcPr>
            <w:tcW w:w="1380" w:type="dxa"/>
            <w:vMerge/>
            <w:vAlign w:val="center"/>
          </w:tcPr>
          <w:p w14:paraId="19CE1F37" w14:textId="77777777" w:rsidR="00EC2C51" w:rsidRDefault="00EC2C51">
            <w:pPr>
              <w:pStyle w:val="HTML1"/>
              <w:widowControl/>
              <w:jc w:val="center"/>
              <w:rPr>
                <w:rFonts w:hint="default"/>
                <w:color w:val="000000"/>
                <w:sz w:val="21"/>
                <w:szCs w:val="21"/>
              </w:rPr>
            </w:pPr>
          </w:p>
        </w:tc>
        <w:tc>
          <w:tcPr>
            <w:tcW w:w="2550" w:type="dxa"/>
            <w:vAlign w:val="center"/>
          </w:tcPr>
          <w:p w14:paraId="13903489" w14:textId="77777777" w:rsidR="00EC2C51" w:rsidRDefault="00A971AA">
            <w:pPr>
              <w:pStyle w:val="HTML1"/>
              <w:widowControl/>
              <w:jc w:val="center"/>
              <w:rPr>
                <w:rFonts w:hint="default"/>
                <w:color w:val="000000"/>
                <w:sz w:val="21"/>
                <w:szCs w:val="21"/>
              </w:rPr>
            </w:pPr>
            <w:r>
              <w:rPr>
                <w:color w:val="000000"/>
                <w:sz w:val="21"/>
                <w:szCs w:val="21"/>
              </w:rPr>
              <w:t>工矿商贸就业人员十万人生产安全事故死亡率</w:t>
            </w:r>
          </w:p>
        </w:tc>
        <w:tc>
          <w:tcPr>
            <w:tcW w:w="1380" w:type="dxa"/>
            <w:vAlign w:val="center"/>
          </w:tcPr>
          <w:p w14:paraId="1E3C1E0C" w14:textId="77777777" w:rsidR="00EC2C51" w:rsidRDefault="00A971AA">
            <w:pPr>
              <w:pStyle w:val="HTML1"/>
              <w:widowControl/>
              <w:jc w:val="center"/>
              <w:rPr>
                <w:rFonts w:hint="default"/>
                <w:color w:val="000000"/>
                <w:sz w:val="21"/>
                <w:szCs w:val="21"/>
              </w:rPr>
            </w:pPr>
            <w:r>
              <w:rPr>
                <w:color w:val="000000"/>
                <w:sz w:val="21"/>
                <w:szCs w:val="21"/>
              </w:rPr>
              <w:t>下降20%</w:t>
            </w:r>
          </w:p>
          <w:p w14:paraId="035987A2" w14:textId="77777777" w:rsidR="00EC2C51" w:rsidRDefault="00EC2C51">
            <w:pPr>
              <w:pStyle w:val="HTML1"/>
              <w:widowControl/>
              <w:jc w:val="center"/>
              <w:rPr>
                <w:rFonts w:hint="default"/>
                <w:color w:val="000000"/>
                <w:sz w:val="21"/>
                <w:szCs w:val="21"/>
              </w:rPr>
            </w:pPr>
          </w:p>
        </w:tc>
        <w:tc>
          <w:tcPr>
            <w:tcW w:w="1335" w:type="dxa"/>
            <w:vAlign w:val="center"/>
          </w:tcPr>
          <w:p w14:paraId="1CB4FA17" w14:textId="77777777" w:rsidR="00EC2C51" w:rsidRDefault="00A971AA">
            <w:pPr>
              <w:widowControl/>
              <w:jc w:val="center"/>
              <w:rPr>
                <w:rFonts w:ascii="宋体" w:hAnsi="宋体" w:cs="宋体"/>
                <w:color w:val="000000"/>
                <w:szCs w:val="21"/>
              </w:rPr>
            </w:pPr>
            <w:r>
              <w:rPr>
                <w:rFonts w:ascii="宋体" w:hAnsi="宋体" w:cs="宋体" w:hint="eastAsia"/>
                <w:color w:val="000000"/>
                <w:szCs w:val="21"/>
              </w:rPr>
              <w:t>约束性</w:t>
            </w:r>
          </w:p>
        </w:tc>
      </w:tr>
      <w:tr w:rsidR="00EC2C51" w14:paraId="343F36D5" w14:textId="77777777">
        <w:tc>
          <w:tcPr>
            <w:tcW w:w="925" w:type="dxa"/>
            <w:vMerge/>
            <w:vAlign w:val="center"/>
          </w:tcPr>
          <w:p w14:paraId="054EB43B" w14:textId="77777777" w:rsidR="00EC2C51" w:rsidRDefault="00EC2C51">
            <w:pPr>
              <w:pStyle w:val="HTML1"/>
              <w:widowControl/>
              <w:jc w:val="center"/>
              <w:rPr>
                <w:rFonts w:hint="default"/>
                <w:color w:val="000000"/>
                <w:sz w:val="21"/>
                <w:szCs w:val="21"/>
              </w:rPr>
            </w:pPr>
          </w:p>
        </w:tc>
        <w:tc>
          <w:tcPr>
            <w:tcW w:w="1380" w:type="dxa"/>
            <w:vMerge/>
            <w:vAlign w:val="center"/>
          </w:tcPr>
          <w:p w14:paraId="3764F7D4" w14:textId="77777777" w:rsidR="00EC2C51" w:rsidRDefault="00EC2C51">
            <w:pPr>
              <w:pStyle w:val="HTML1"/>
              <w:widowControl/>
              <w:jc w:val="center"/>
              <w:rPr>
                <w:rFonts w:hint="default"/>
                <w:color w:val="000000"/>
                <w:sz w:val="21"/>
                <w:szCs w:val="21"/>
              </w:rPr>
            </w:pPr>
          </w:p>
        </w:tc>
        <w:tc>
          <w:tcPr>
            <w:tcW w:w="2550" w:type="dxa"/>
            <w:vAlign w:val="center"/>
          </w:tcPr>
          <w:p w14:paraId="378442ED" w14:textId="77777777" w:rsidR="00EC2C51" w:rsidRDefault="00A971AA">
            <w:pPr>
              <w:pStyle w:val="HTML1"/>
              <w:widowControl/>
              <w:jc w:val="center"/>
              <w:rPr>
                <w:rFonts w:hint="default"/>
                <w:color w:val="000000"/>
                <w:sz w:val="21"/>
                <w:szCs w:val="21"/>
              </w:rPr>
            </w:pPr>
            <w:r>
              <w:rPr>
                <w:color w:val="000000"/>
                <w:sz w:val="21"/>
                <w:szCs w:val="21"/>
              </w:rPr>
              <w:t>道路交通万车死亡率</w:t>
            </w:r>
          </w:p>
        </w:tc>
        <w:tc>
          <w:tcPr>
            <w:tcW w:w="1380" w:type="dxa"/>
            <w:vAlign w:val="center"/>
          </w:tcPr>
          <w:p w14:paraId="68085FCD" w14:textId="77777777" w:rsidR="00EC2C51" w:rsidRDefault="00A971AA">
            <w:pPr>
              <w:pStyle w:val="HTML1"/>
              <w:widowControl/>
              <w:jc w:val="center"/>
              <w:rPr>
                <w:rFonts w:hint="default"/>
                <w:color w:val="000000"/>
                <w:sz w:val="21"/>
                <w:szCs w:val="21"/>
              </w:rPr>
            </w:pPr>
            <w:r>
              <w:rPr>
                <w:color w:val="000000"/>
                <w:sz w:val="21"/>
                <w:szCs w:val="21"/>
              </w:rPr>
              <w:t>≤0.38</w:t>
            </w:r>
          </w:p>
        </w:tc>
        <w:tc>
          <w:tcPr>
            <w:tcW w:w="1335" w:type="dxa"/>
            <w:vAlign w:val="center"/>
          </w:tcPr>
          <w:p w14:paraId="24503648" w14:textId="77777777" w:rsidR="00EC2C51" w:rsidRDefault="00A971AA">
            <w:pPr>
              <w:widowControl/>
              <w:jc w:val="center"/>
              <w:rPr>
                <w:rFonts w:ascii="宋体" w:hAnsi="宋体" w:cs="宋体"/>
                <w:color w:val="000000"/>
                <w:szCs w:val="21"/>
              </w:rPr>
            </w:pPr>
            <w:r>
              <w:rPr>
                <w:rFonts w:ascii="宋体" w:hAnsi="宋体" w:cs="宋体" w:hint="eastAsia"/>
                <w:color w:val="000000"/>
                <w:szCs w:val="21"/>
              </w:rPr>
              <w:t>约束性</w:t>
            </w:r>
          </w:p>
        </w:tc>
      </w:tr>
      <w:tr w:rsidR="00EC2C51" w14:paraId="7DBF9B82" w14:textId="77777777">
        <w:tc>
          <w:tcPr>
            <w:tcW w:w="925" w:type="dxa"/>
            <w:vMerge/>
            <w:vAlign w:val="center"/>
          </w:tcPr>
          <w:p w14:paraId="78275893" w14:textId="77777777" w:rsidR="00EC2C51" w:rsidRDefault="00EC2C51">
            <w:pPr>
              <w:pStyle w:val="HTML1"/>
              <w:widowControl/>
              <w:jc w:val="center"/>
              <w:rPr>
                <w:rFonts w:hint="default"/>
                <w:color w:val="000000"/>
                <w:sz w:val="21"/>
                <w:szCs w:val="21"/>
              </w:rPr>
            </w:pPr>
          </w:p>
        </w:tc>
        <w:tc>
          <w:tcPr>
            <w:tcW w:w="1380" w:type="dxa"/>
            <w:vMerge w:val="restart"/>
            <w:vAlign w:val="center"/>
          </w:tcPr>
          <w:p w14:paraId="187DFF62" w14:textId="77777777" w:rsidR="00EC2C51" w:rsidRDefault="00EC2C51">
            <w:pPr>
              <w:pStyle w:val="HTML1"/>
              <w:widowControl/>
              <w:jc w:val="center"/>
              <w:rPr>
                <w:rFonts w:hint="default"/>
                <w:color w:val="000000"/>
                <w:sz w:val="21"/>
                <w:szCs w:val="21"/>
              </w:rPr>
            </w:pPr>
          </w:p>
          <w:p w14:paraId="34BB0F5F" w14:textId="77777777" w:rsidR="00EC2C51" w:rsidRDefault="00EC2C51">
            <w:pPr>
              <w:pStyle w:val="HTML1"/>
              <w:widowControl/>
              <w:jc w:val="center"/>
              <w:rPr>
                <w:rFonts w:hint="default"/>
                <w:color w:val="000000"/>
                <w:sz w:val="21"/>
                <w:szCs w:val="21"/>
              </w:rPr>
            </w:pPr>
          </w:p>
          <w:p w14:paraId="07496EE8" w14:textId="77777777" w:rsidR="00EC2C51" w:rsidRDefault="00A971AA">
            <w:pPr>
              <w:pStyle w:val="HTML1"/>
              <w:widowControl/>
              <w:jc w:val="center"/>
              <w:rPr>
                <w:rFonts w:hint="default"/>
                <w:color w:val="000000"/>
                <w:sz w:val="21"/>
                <w:szCs w:val="21"/>
              </w:rPr>
            </w:pPr>
            <w:r>
              <w:rPr>
                <w:color w:val="000000"/>
                <w:sz w:val="21"/>
                <w:szCs w:val="21"/>
              </w:rPr>
              <w:t>防灾</w:t>
            </w:r>
          </w:p>
          <w:p w14:paraId="27306105" w14:textId="77777777" w:rsidR="00EC2C51" w:rsidRDefault="00EC2C51">
            <w:pPr>
              <w:pStyle w:val="HTML1"/>
              <w:widowControl/>
              <w:jc w:val="both"/>
              <w:rPr>
                <w:rFonts w:hint="default"/>
                <w:color w:val="000000"/>
                <w:sz w:val="21"/>
                <w:szCs w:val="21"/>
              </w:rPr>
            </w:pPr>
          </w:p>
          <w:p w14:paraId="0606D323" w14:textId="77777777" w:rsidR="00EC2C51" w:rsidRDefault="00A971AA">
            <w:pPr>
              <w:pStyle w:val="HTML1"/>
              <w:widowControl/>
              <w:jc w:val="center"/>
              <w:rPr>
                <w:rFonts w:hint="default"/>
                <w:color w:val="000000"/>
                <w:sz w:val="21"/>
                <w:szCs w:val="21"/>
              </w:rPr>
            </w:pPr>
            <w:r>
              <w:rPr>
                <w:color w:val="000000"/>
                <w:sz w:val="21"/>
                <w:szCs w:val="21"/>
              </w:rPr>
              <w:t>减灾</w:t>
            </w:r>
          </w:p>
        </w:tc>
        <w:tc>
          <w:tcPr>
            <w:tcW w:w="2550" w:type="dxa"/>
            <w:vAlign w:val="center"/>
          </w:tcPr>
          <w:p w14:paraId="4EDEA2C8" w14:textId="77777777" w:rsidR="00EC2C51" w:rsidRDefault="00A971AA">
            <w:pPr>
              <w:pStyle w:val="HTML1"/>
              <w:widowControl/>
              <w:jc w:val="center"/>
              <w:rPr>
                <w:rFonts w:hint="default"/>
                <w:color w:val="000000"/>
                <w:sz w:val="21"/>
                <w:szCs w:val="21"/>
              </w:rPr>
            </w:pPr>
            <w:r>
              <w:rPr>
                <w:color w:val="000000"/>
                <w:sz w:val="21"/>
                <w:szCs w:val="21"/>
              </w:rPr>
              <w:t>因灾死亡人数</w:t>
            </w:r>
          </w:p>
        </w:tc>
        <w:tc>
          <w:tcPr>
            <w:tcW w:w="1380" w:type="dxa"/>
            <w:vAlign w:val="center"/>
          </w:tcPr>
          <w:p w14:paraId="4E17ADEB" w14:textId="77777777" w:rsidR="00EC2C51" w:rsidRDefault="00A971AA">
            <w:pPr>
              <w:pStyle w:val="HTML1"/>
              <w:widowControl/>
              <w:jc w:val="center"/>
              <w:rPr>
                <w:rFonts w:hint="default"/>
                <w:color w:val="000000"/>
                <w:sz w:val="21"/>
                <w:szCs w:val="21"/>
              </w:rPr>
            </w:pPr>
            <w:r>
              <w:rPr>
                <w:color w:val="000000"/>
                <w:sz w:val="21"/>
                <w:szCs w:val="21"/>
              </w:rPr>
              <w:t>0人</w:t>
            </w:r>
          </w:p>
        </w:tc>
        <w:tc>
          <w:tcPr>
            <w:tcW w:w="1335" w:type="dxa"/>
            <w:vAlign w:val="center"/>
          </w:tcPr>
          <w:p w14:paraId="7D77F359" w14:textId="77777777" w:rsidR="00EC2C51" w:rsidRDefault="00A971AA">
            <w:pPr>
              <w:widowControl/>
              <w:jc w:val="center"/>
              <w:rPr>
                <w:rFonts w:ascii="宋体" w:hAnsi="宋体" w:cs="宋体"/>
                <w:color w:val="000000"/>
                <w:szCs w:val="21"/>
              </w:rPr>
            </w:pPr>
            <w:r>
              <w:rPr>
                <w:rFonts w:ascii="宋体" w:hAnsi="宋体" w:cs="宋体" w:hint="eastAsia"/>
                <w:color w:val="000000"/>
                <w:szCs w:val="21"/>
              </w:rPr>
              <w:t>约束性</w:t>
            </w:r>
          </w:p>
        </w:tc>
      </w:tr>
      <w:tr w:rsidR="00EC2C51" w14:paraId="33264DD3" w14:textId="77777777">
        <w:tc>
          <w:tcPr>
            <w:tcW w:w="925" w:type="dxa"/>
            <w:vMerge/>
            <w:vAlign w:val="center"/>
          </w:tcPr>
          <w:p w14:paraId="3ABDC5EF" w14:textId="77777777" w:rsidR="00EC2C51" w:rsidRDefault="00EC2C51">
            <w:pPr>
              <w:pStyle w:val="HTML1"/>
              <w:widowControl/>
              <w:jc w:val="center"/>
              <w:rPr>
                <w:rFonts w:hint="default"/>
                <w:color w:val="000000"/>
                <w:sz w:val="21"/>
                <w:szCs w:val="21"/>
              </w:rPr>
            </w:pPr>
          </w:p>
        </w:tc>
        <w:tc>
          <w:tcPr>
            <w:tcW w:w="1380" w:type="dxa"/>
            <w:vMerge/>
            <w:vAlign w:val="center"/>
          </w:tcPr>
          <w:p w14:paraId="1D5F3778" w14:textId="77777777" w:rsidR="00EC2C51" w:rsidRDefault="00EC2C51">
            <w:pPr>
              <w:pStyle w:val="HTML1"/>
              <w:widowControl/>
              <w:jc w:val="center"/>
              <w:rPr>
                <w:rFonts w:hint="default"/>
                <w:color w:val="000000"/>
                <w:sz w:val="21"/>
                <w:szCs w:val="21"/>
              </w:rPr>
            </w:pPr>
          </w:p>
        </w:tc>
        <w:tc>
          <w:tcPr>
            <w:tcW w:w="2550" w:type="dxa"/>
            <w:vAlign w:val="center"/>
          </w:tcPr>
          <w:p w14:paraId="68DFC1AB" w14:textId="77777777" w:rsidR="00EC2C51" w:rsidRDefault="00A971AA">
            <w:pPr>
              <w:pStyle w:val="HTML1"/>
              <w:widowControl/>
              <w:jc w:val="center"/>
              <w:rPr>
                <w:rFonts w:hint="default"/>
                <w:color w:val="000000"/>
                <w:sz w:val="21"/>
                <w:szCs w:val="21"/>
              </w:rPr>
            </w:pPr>
            <w:r>
              <w:rPr>
                <w:color w:val="000000"/>
                <w:sz w:val="21"/>
                <w:szCs w:val="21"/>
              </w:rPr>
              <w:t>农作物受灾面积</w:t>
            </w:r>
          </w:p>
        </w:tc>
        <w:tc>
          <w:tcPr>
            <w:tcW w:w="1380" w:type="dxa"/>
            <w:vAlign w:val="center"/>
          </w:tcPr>
          <w:p w14:paraId="6B15BD79" w14:textId="77777777" w:rsidR="00EC2C51" w:rsidRDefault="00A971AA">
            <w:pPr>
              <w:pStyle w:val="HTML1"/>
              <w:widowControl/>
              <w:jc w:val="center"/>
              <w:rPr>
                <w:rFonts w:hint="default"/>
                <w:color w:val="000000"/>
                <w:sz w:val="21"/>
                <w:szCs w:val="21"/>
              </w:rPr>
            </w:pPr>
            <w:r>
              <w:rPr>
                <w:color w:val="000000"/>
                <w:sz w:val="21"/>
                <w:szCs w:val="21"/>
              </w:rPr>
              <w:t>≤30</w:t>
            </w:r>
          </w:p>
        </w:tc>
        <w:tc>
          <w:tcPr>
            <w:tcW w:w="1335" w:type="dxa"/>
            <w:vAlign w:val="center"/>
          </w:tcPr>
          <w:p w14:paraId="3C12AA91" w14:textId="77777777" w:rsidR="00EC2C51" w:rsidRDefault="00A971AA">
            <w:pPr>
              <w:widowControl/>
              <w:jc w:val="center"/>
              <w:rPr>
                <w:rFonts w:ascii="宋体" w:hAnsi="宋体" w:cs="宋体"/>
                <w:color w:val="000000"/>
                <w:szCs w:val="21"/>
              </w:rPr>
            </w:pPr>
            <w:r>
              <w:rPr>
                <w:rFonts w:ascii="宋体" w:hAnsi="宋体" w:cs="宋体" w:hint="eastAsia"/>
                <w:color w:val="000000"/>
                <w:szCs w:val="21"/>
              </w:rPr>
              <w:t>约束性</w:t>
            </w:r>
          </w:p>
        </w:tc>
      </w:tr>
      <w:tr w:rsidR="00EC2C51" w14:paraId="2E09A938" w14:textId="77777777">
        <w:tc>
          <w:tcPr>
            <w:tcW w:w="925" w:type="dxa"/>
            <w:vMerge/>
            <w:vAlign w:val="center"/>
          </w:tcPr>
          <w:p w14:paraId="5F8466A0" w14:textId="77777777" w:rsidR="00EC2C51" w:rsidRDefault="00EC2C51">
            <w:pPr>
              <w:pStyle w:val="HTML1"/>
              <w:widowControl/>
              <w:jc w:val="center"/>
              <w:rPr>
                <w:rFonts w:hint="default"/>
                <w:color w:val="000000"/>
                <w:sz w:val="21"/>
                <w:szCs w:val="21"/>
              </w:rPr>
            </w:pPr>
          </w:p>
        </w:tc>
        <w:tc>
          <w:tcPr>
            <w:tcW w:w="1380" w:type="dxa"/>
            <w:vMerge/>
            <w:vAlign w:val="center"/>
          </w:tcPr>
          <w:p w14:paraId="7561F332" w14:textId="77777777" w:rsidR="00EC2C51" w:rsidRDefault="00EC2C51">
            <w:pPr>
              <w:pStyle w:val="HTML1"/>
              <w:widowControl/>
              <w:jc w:val="center"/>
              <w:rPr>
                <w:rFonts w:hint="default"/>
                <w:color w:val="000000"/>
                <w:sz w:val="21"/>
                <w:szCs w:val="21"/>
              </w:rPr>
            </w:pPr>
          </w:p>
        </w:tc>
        <w:tc>
          <w:tcPr>
            <w:tcW w:w="2550" w:type="dxa"/>
            <w:vAlign w:val="center"/>
          </w:tcPr>
          <w:p w14:paraId="49BBB4A8" w14:textId="77777777" w:rsidR="00EC2C51" w:rsidRDefault="00A971AA">
            <w:pPr>
              <w:pStyle w:val="HTML1"/>
              <w:widowControl/>
              <w:jc w:val="center"/>
              <w:rPr>
                <w:rFonts w:hint="default"/>
                <w:color w:val="000000"/>
                <w:sz w:val="21"/>
                <w:szCs w:val="21"/>
              </w:rPr>
            </w:pPr>
            <w:r>
              <w:rPr>
                <w:color w:val="000000"/>
                <w:sz w:val="21"/>
                <w:szCs w:val="21"/>
              </w:rPr>
              <w:t>森林火灾受害率</w:t>
            </w:r>
          </w:p>
        </w:tc>
        <w:tc>
          <w:tcPr>
            <w:tcW w:w="1380" w:type="dxa"/>
            <w:vAlign w:val="center"/>
          </w:tcPr>
          <w:p w14:paraId="410E75A9" w14:textId="77777777" w:rsidR="00EC2C51" w:rsidRDefault="00A971AA">
            <w:pPr>
              <w:pStyle w:val="HTML1"/>
              <w:widowControl/>
              <w:jc w:val="center"/>
              <w:rPr>
                <w:rFonts w:hint="default"/>
                <w:color w:val="000000"/>
                <w:sz w:val="21"/>
                <w:szCs w:val="21"/>
              </w:rPr>
            </w:pPr>
            <w:r>
              <w:rPr>
                <w:color w:val="000000"/>
                <w:sz w:val="21"/>
                <w:szCs w:val="21"/>
              </w:rPr>
              <w:t>＜0.5‰</w:t>
            </w:r>
          </w:p>
        </w:tc>
        <w:tc>
          <w:tcPr>
            <w:tcW w:w="1335" w:type="dxa"/>
            <w:vAlign w:val="center"/>
          </w:tcPr>
          <w:p w14:paraId="62C4AC0F" w14:textId="77777777" w:rsidR="00EC2C51" w:rsidRDefault="00A971AA">
            <w:pPr>
              <w:widowControl/>
              <w:jc w:val="center"/>
              <w:rPr>
                <w:rFonts w:ascii="宋体" w:hAnsi="宋体" w:cs="宋体"/>
                <w:color w:val="000000"/>
                <w:szCs w:val="21"/>
              </w:rPr>
            </w:pPr>
            <w:r>
              <w:rPr>
                <w:rFonts w:ascii="宋体" w:hAnsi="宋体" w:cs="宋体" w:hint="eastAsia"/>
                <w:color w:val="000000"/>
                <w:szCs w:val="21"/>
              </w:rPr>
              <w:t>约束性</w:t>
            </w:r>
          </w:p>
        </w:tc>
      </w:tr>
      <w:tr w:rsidR="00EC2C51" w14:paraId="3B9D3957" w14:textId="77777777">
        <w:tc>
          <w:tcPr>
            <w:tcW w:w="925" w:type="dxa"/>
            <w:vMerge/>
            <w:vAlign w:val="center"/>
          </w:tcPr>
          <w:p w14:paraId="43ADA727" w14:textId="77777777" w:rsidR="00EC2C51" w:rsidRDefault="00EC2C51">
            <w:pPr>
              <w:pStyle w:val="HTML1"/>
              <w:widowControl/>
              <w:jc w:val="center"/>
              <w:rPr>
                <w:rFonts w:hint="default"/>
                <w:color w:val="000000"/>
                <w:sz w:val="21"/>
                <w:szCs w:val="21"/>
              </w:rPr>
            </w:pPr>
          </w:p>
        </w:tc>
        <w:tc>
          <w:tcPr>
            <w:tcW w:w="1380" w:type="dxa"/>
            <w:vMerge/>
            <w:vAlign w:val="center"/>
          </w:tcPr>
          <w:p w14:paraId="77F26CE4" w14:textId="77777777" w:rsidR="00EC2C51" w:rsidRDefault="00EC2C51">
            <w:pPr>
              <w:pStyle w:val="HTML1"/>
              <w:widowControl/>
              <w:jc w:val="center"/>
              <w:rPr>
                <w:rFonts w:hint="default"/>
                <w:color w:val="000000"/>
                <w:sz w:val="21"/>
                <w:szCs w:val="21"/>
              </w:rPr>
            </w:pPr>
          </w:p>
        </w:tc>
        <w:tc>
          <w:tcPr>
            <w:tcW w:w="2550" w:type="dxa"/>
            <w:vAlign w:val="center"/>
          </w:tcPr>
          <w:p w14:paraId="2A484BFC" w14:textId="77777777" w:rsidR="00EC2C51" w:rsidRDefault="00A971AA">
            <w:pPr>
              <w:pStyle w:val="HTML1"/>
              <w:widowControl/>
              <w:jc w:val="center"/>
              <w:rPr>
                <w:rFonts w:hint="default"/>
                <w:color w:val="000000"/>
                <w:sz w:val="21"/>
                <w:szCs w:val="21"/>
              </w:rPr>
            </w:pPr>
            <w:r>
              <w:rPr>
                <w:color w:val="000000"/>
                <w:sz w:val="21"/>
                <w:szCs w:val="21"/>
              </w:rPr>
              <w:t>地质灾害威胁人口率</w:t>
            </w:r>
          </w:p>
        </w:tc>
        <w:tc>
          <w:tcPr>
            <w:tcW w:w="1380" w:type="dxa"/>
            <w:vAlign w:val="center"/>
          </w:tcPr>
          <w:p w14:paraId="3297BE6A" w14:textId="77777777" w:rsidR="00EC2C51" w:rsidRDefault="00A971AA">
            <w:pPr>
              <w:pStyle w:val="HTML1"/>
              <w:widowControl/>
              <w:jc w:val="center"/>
              <w:rPr>
                <w:rFonts w:hint="default"/>
                <w:color w:val="000000"/>
                <w:sz w:val="21"/>
                <w:szCs w:val="21"/>
              </w:rPr>
            </w:pPr>
            <w:r>
              <w:rPr>
                <w:color w:val="000000"/>
                <w:sz w:val="21"/>
                <w:szCs w:val="21"/>
              </w:rPr>
              <w:t>≤1%</w:t>
            </w:r>
          </w:p>
        </w:tc>
        <w:tc>
          <w:tcPr>
            <w:tcW w:w="1335" w:type="dxa"/>
            <w:vAlign w:val="center"/>
          </w:tcPr>
          <w:p w14:paraId="0270C75F" w14:textId="77777777" w:rsidR="00EC2C51" w:rsidRDefault="00A971AA">
            <w:pPr>
              <w:widowControl/>
              <w:jc w:val="center"/>
              <w:rPr>
                <w:rFonts w:ascii="宋体" w:hAnsi="宋体" w:cs="宋体"/>
                <w:color w:val="000000"/>
                <w:szCs w:val="21"/>
              </w:rPr>
            </w:pPr>
            <w:r>
              <w:rPr>
                <w:rFonts w:ascii="宋体" w:hAnsi="宋体" w:cs="宋体" w:hint="eastAsia"/>
                <w:color w:val="000000"/>
                <w:szCs w:val="21"/>
              </w:rPr>
              <w:t>约束性</w:t>
            </w:r>
          </w:p>
        </w:tc>
      </w:tr>
      <w:tr w:rsidR="00EC2C51" w14:paraId="5EA61DD6" w14:textId="77777777">
        <w:tc>
          <w:tcPr>
            <w:tcW w:w="925" w:type="dxa"/>
            <w:vMerge/>
            <w:vAlign w:val="center"/>
          </w:tcPr>
          <w:p w14:paraId="19AD906F" w14:textId="77777777" w:rsidR="00EC2C51" w:rsidRDefault="00EC2C51">
            <w:pPr>
              <w:pStyle w:val="HTML1"/>
              <w:widowControl/>
              <w:jc w:val="center"/>
              <w:rPr>
                <w:rFonts w:hint="default"/>
                <w:color w:val="000000"/>
                <w:sz w:val="21"/>
                <w:szCs w:val="21"/>
              </w:rPr>
            </w:pPr>
          </w:p>
        </w:tc>
        <w:tc>
          <w:tcPr>
            <w:tcW w:w="1380" w:type="dxa"/>
            <w:vMerge/>
            <w:vAlign w:val="center"/>
          </w:tcPr>
          <w:p w14:paraId="328AA3EE" w14:textId="77777777" w:rsidR="00EC2C51" w:rsidRDefault="00EC2C51">
            <w:pPr>
              <w:pStyle w:val="HTML1"/>
              <w:widowControl/>
              <w:jc w:val="center"/>
              <w:rPr>
                <w:rFonts w:hint="default"/>
                <w:color w:val="000000"/>
                <w:sz w:val="21"/>
                <w:szCs w:val="21"/>
              </w:rPr>
            </w:pPr>
          </w:p>
        </w:tc>
        <w:tc>
          <w:tcPr>
            <w:tcW w:w="2550" w:type="dxa"/>
            <w:vAlign w:val="center"/>
          </w:tcPr>
          <w:p w14:paraId="0BBF9E62" w14:textId="77777777" w:rsidR="00EC2C51" w:rsidRDefault="00A971AA">
            <w:pPr>
              <w:pStyle w:val="HTML1"/>
              <w:widowControl/>
              <w:jc w:val="center"/>
              <w:rPr>
                <w:rFonts w:hint="default"/>
                <w:color w:val="000000"/>
                <w:sz w:val="21"/>
                <w:szCs w:val="21"/>
              </w:rPr>
            </w:pPr>
            <w:r>
              <w:rPr>
                <w:color w:val="000000"/>
                <w:sz w:val="21"/>
                <w:szCs w:val="21"/>
              </w:rPr>
              <w:t>林业有害生物成灾率</w:t>
            </w:r>
          </w:p>
        </w:tc>
        <w:tc>
          <w:tcPr>
            <w:tcW w:w="1380" w:type="dxa"/>
            <w:vAlign w:val="center"/>
          </w:tcPr>
          <w:p w14:paraId="512BBC90" w14:textId="77777777" w:rsidR="00EC2C51" w:rsidRDefault="00A971AA">
            <w:pPr>
              <w:pStyle w:val="HTML1"/>
              <w:widowControl/>
              <w:jc w:val="center"/>
              <w:rPr>
                <w:rFonts w:hint="default"/>
                <w:color w:val="000000"/>
                <w:sz w:val="21"/>
                <w:szCs w:val="21"/>
              </w:rPr>
            </w:pPr>
            <w:r>
              <w:rPr>
                <w:color w:val="000000"/>
                <w:sz w:val="21"/>
                <w:szCs w:val="21"/>
              </w:rPr>
              <w:t>≤4‰</w:t>
            </w:r>
          </w:p>
        </w:tc>
        <w:tc>
          <w:tcPr>
            <w:tcW w:w="1335" w:type="dxa"/>
            <w:vAlign w:val="center"/>
          </w:tcPr>
          <w:p w14:paraId="15EDCB8A" w14:textId="77777777" w:rsidR="00EC2C51" w:rsidRDefault="00A971AA">
            <w:pPr>
              <w:widowControl/>
              <w:jc w:val="center"/>
              <w:rPr>
                <w:rFonts w:ascii="宋体" w:hAnsi="宋体" w:cs="宋体"/>
                <w:color w:val="000000"/>
                <w:szCs w:val="21"/>
              </w:rPr>
            </w:pPr>
            <w:r>
              <w:rPr>
                <w:rFonts w:ascii="宋体" w:hAnsi="宋体" w:cs="宋体" w:hint="eastAsia"/>
                <w:color w:val="000000"/>
                <w:szCs w:val="21"/>
              </w:rPr>
              <w:t>约束性</w:t>
            </w:r>
          </w:p>
        </w:tc>
      </w:tr>
      <w:tr w:rsidR="00EC2C51" w14:paraId="5B9731C3" w14:textId="77777777">
        <w:tc>
          <w:tcPr>
            <w:tcW w:w="925" w:type="dxa"/>
            <w:vMerge/>
            <w:vAlign w:val="center"/>
          </w:tcPr>
          <w:p w14:paraId="25D37721" w14:textId="77777777" w:rsidR="00EC2C51" w:rsidRDefault="00EC2C51">
            <w:pPr>
              <w:pStyle w:val="HTML1"/>
              <w:widowControl/>
              <w:jc w:val="center"/>
              <w:rPr>
                <w:rFonts w:hint="default"/>
                <w:color w:val="000000"/>
                <w:sz w:val="21"/>
                <w:szCs w:val="21"/>
              </w:rPr>
            </w:pPr>
          </w:p>
        </w:tc>
        <w:tc>
          <w:tcPr>
            <w:tcW w:w="1380" w:type="dxa"/>
            <w:vMerge/>
            <w:vAlign w:val="center"/>
          </w:tcPr>
          <w:p w14:paraId="3C8E0567" w14:textId="77777777" w:rsidR="00EC2C51" w:rsidRDefault="00EC2C51">
            <w:pPr>
              <w:pStyle w:val="HTML1"/>
              <w:widowControl/>
              <w:jc w:val="center"/>
              <w:rPr>
                <w:rFonts w:hint="default"/>
                <w:color w:val="000000"/>
                <w:sz w:val="21"/>
                <w:szCs w:val="21"/>
              </w:rPr>
            </w:pPr>
          </w:p>
        </w:tc>
        <w:tc>
          <w:tcPr>
            <w:tcW w:w="2550" w:type="dxa"/>
            <w:vAlign w:val="center"/>
          </w:tcPr>
          <w:p w14:paraId="2F722725" w14:textId="77777777" w:rsidR="00EC2C51" w:rsidRDefault="00A971AA">
            <w:pPr>
              <w:pStyle w:val="HTML1"/>
              <w:widowControl/>
              <w:jc w:val="center"/>
              <w:rPr>
                <w:rFonts w:hint="default"/>
                <w:color w:val="000000"/>
                <w:sz w:val="21"/>
                <w:szCs w:val="21"/>
              </w:rPr>
            </w:pPr>
            <w:r>
              <w:rPr>
                <w:color w:val="000000"/>
                <w:sz w:val="21"/>
                <w:szCs w:val="21"/>
              </w:rPr>
              <w:t>无公害防治率</w:t>
            </w:r>
          </w:p>
        </w:tc>
        <w:tc>
          <w:tcPr>
            <w:tcW w:w="1380" w:type="dxa"/>
            <w:vAlign w:val="center"/>
          </w:tcPr>
          <w:p w14:paraId="49549167" w14:textId="77777777" w:rsidR="00EC2C51" w:rsidRDefault="00A971AA">
            <w:pPr>
              <w:pStyle w:val="HTML1"/>
              <w:widowControl/>
              <w:jc w:val="center"/>
              <w:rPr>
                <w:rFonts w:hint="default"/>
                <w:color w:val="000000"/>
                <w:sz w:val="21"/>
                <w:szCs w:val="21"/>
              </w:rPr>
            </w:pPr>
            <w:r>
              <w:rPr>
                <w:color w:val="000000"/>
                <w:sz w:val="21"/>
                <w:szCs w:val="21"/>
              </w:rPr>
              <w:t>80%</w:t>
            </w:r>
          </w:p>
        </w:tc>
        <w:tc>
          <w:tcPr>
            <w:tcW w:w="1335" w:type="dxa"/>
            <w:vAlign w:val="center"/>
          </w:tcPr>
          <w:p w14:paraId="4C5B09E3" w14:textId="77777777" w:rsidR="00EC2C51" w:rsidRDefault="00A971AA">
            <w:pPr>
              <w:widowControl/>
              <w:jc w:val="center"/>
              <w:rPr>
                <w:rFonts w:ascii="宋体" w:hAnsi="宋体" w:cs="宋体"/>
                <w:color w:val="000000"/>
                <w:szCs w:val="21"/>
              </w:rPr>
            </w:pPr>
            <w:r>
              <w:rPr>
                <w:rFonts w:ascii="宋体" w:hAnsi="宋体" w:cs="宋体" w:hint="eastAsia"/>
                <w:color w:val="000000"/>
                <w:szCs w:val="21"/>
              </w:rPr>
              <w:t>约束性</w:t>
            </w:r>
          </w:p>
        </w:tc>
      </w:tr>
    </w:tbl>
    <w:p w14:paraId="525D000C" w14:textId="77777777" w:rsidR="00EC2C51" w:rsidRDefault="00EC2C51">
      <w:pPr>
        <w:pStyle w:val="HTML1"/>
        <w:widowControl/>
        <w:rPr>
          <w:rFonts w:hint="default"/>
          <w:color w:val="000000"/>
          <w:sz w:val="21"/>
          <w:szCs w:val="21"/>
        </w:rPr>
      </w:pPr>
    </w:p>
    <w:p w14:paraId="54D7B003" w14:textId="77777777" w:rsidR="00EC2C51" w:rsidRDefault="00A971AA">
      <w:pPr>
        <w:pStyle w:val="HTML1"/>
        <w:widowControl/>
        <w:ind w:firstLine="640"/>
        <w:outlineLvl w:val="0"/>
        <w:rPr>
          <w:rFonts w:hint="default"/>
        </w:rPr>
      </w:pPr>
      <w:bookmarkStart w:id="13" w:name="_Toc9607"/>
      <w:r>
        <w:rPr>
          <w:rFonts w:ascii="黑体" w:eastAsia="黑体" w:cs="黑体"/>
          <w:color w:val="000000"/>
          <w:sz w:val="31"/>
          <w:szCs w:val="31"/>
        </w:rPr>
        <w:t>三、主要建设任务</w:t>
      </w:r>
      <w:bookmarkEnd w:id="13"/>
    </w:p>
    <w:p w14:paraId="71885341" w14:textId="77777777" w:rsidR="00EC2C51" w:rsidRDefault="00A971AA">
      <w:pPr>
        <w:pStyle w:val="HTML1"/>
        <w:widowControl/>
        <w:ind w:firstLine="640"/>
        <w:outlineLvl w:val="1"/>
        <w:rPr>
          <w:rFonts w:hint="default"/>
        </w:rPr>
      </w:pPr>
      <w:bookmarkStart w:id="14" w:name="_Toc17172"/>
      <w:r>
        <w:rPr>
          <w:rFonts w:ascii="楷体_GB2312" w:eastAsia="楷体_GB2312" w:cs="楷体_GB2312"/>
          <w:color w:val="000000"/>
          <w:sz w:val="31"/>
          <w:szCs w:val="31"/>
        </w:rPr>
        <w:t>（一）健全完善应急管理体制机制</w:t>
      </w:r>
      <w:bookmarkEnd w:id="14"/>
    </w:p>
    <w:p w14:paraId="15EEE199" w14:textId="77777777" w:rsidR="00EC2C51" w:rsidRDefault="00A971AA">
      <w:pPr>
        <w:pStyle w:val="HTML1"/>
        <w:widowControl/>
        <w:ind w:firstLine="640"/>
        <w:rPr>
          <w:rFonts w:ascii="仿宋_GB2312" w:eastAsia="仿宋_GB2312" w:cs="仿宋_GB2312" w:hint="default"/>
          <w:color w:val="000000"/>
          <w:sz w:val="31"/>
          <w:szCs w:val="31"/>
        </w:rPr>
      </w:pPr>
      <w:r>
        <w:rPr>
          <w:rFonts w:ascii="仿宋_GB2312" w:eastAsia="仿宋_GB2312" w:cs="仿宋_GB2312"/>
          <w:color w:val="000000"/>
          <w:sz w:val="31"/>
          <w:szCs w:val="31"/>
        </w:rPr>
        <w:t>1.完善应急管理体制。进一步完善体制，充分发挥应急管理部门综合协调机构职能，补充完善应急管理领导机构、指挥</w:t>
      </w:r>
      <w:r>
        <w:rPr>
          <w:rFonts w:ascii="仿宋_GB2312" w:eastAsia="仿宋_GB2312" w:cs="仿宋_GB2312"/>
          <w:color w:val="000000"/>
          <w:sz w:val="31"/>
          <w:szCs w:val="31"/>
        </w:rPr>
        <w:lastRenderedPageBreak/>
        <w:t>机构和办事机构，健全组织管理体系实现应急管理工作常态化。积极推动各部门、街道、企业成立应急管理委员会，充分依托并运用好现有网格化管理工作机制，建立健全“全面覆盖、网格管理、多网合一”的应急管理基层治理机制，探索推进基层应急治理体系和治理能力现代化路径。严格落实国家有关职业保障政策，建立健全应急管理职业保障制度，将应急管理纳入干部教育培训内容，定期开展应急演练和培训。充分发挥应急管理局牵头抓总作用，加强与公安、气象、住建、交通、自然资源、卫健等部门的协调联系，根据职责分工承担各自责任，衔接好“防”与“救”、“统”与“分”的责任链条，确保责任链条无缝对接，形成整体合力，发挥好应急部门的综合优势和各相关部门的专业优势。</w:t>
      </w:r>
    </w:p>
    <w:p w14:paraId="08515D2A" w14:textId="77777777" w:rsidR="00EC2C51" w:rsidRDefault="00A971AA">
      <w:pPr>
        <w:pStyle w:val="HTML1"/>
        <w:widowControl/>
        <w:ind w:firstLine="640"/>
        <w:rPr>
          <w:rFonts w:ascii="仿宋_GB2312" w:eastAsia="仿宋_GB2312" w:cs="仿宋_GB2312" w:hint="default"/>
          <w:color w:val="000000"/>
          <w:sz w:val="31"/>
          <w:szCs w:val="31"/>
        </w:rPr>
      </w:pPr>
      <w:r>
        <w:rPr>
          <w:rFonts w:ascii="仿宋_GB2312" w:eastAsia="仿宋_GB2312" w:cs="仿宋_GB2312"/>
          <w:color w:val="000000"/>
          <w:sz w:val="31"/>
          <w:szCs w:val="31"/>
        </w:rPr>
        <w:t>2.优化应急协同机制。根据“多灾种、大应急”的要求，健全应急联动机制，有效整合和共享区域内应急资源，增强应急管理工作的系统性、整体性、协调性。探索建立健全涵盖自然灾害、事故灾难、公共卫生事件和社会安全事件的综合应急管理体系。围绕开展事前预防与应急准备机制，落实风险调查、隐患排查和调查评估机制；完善监测与预警机制，增强早期监测的灵敏性和准确性，提高完善信息报告机制，保证信息的时效性；重点推进事中应急处置与救援机制，降低突发事件灾害损失率；规范事后恢复重建机制，科学开展重特大自然灾害恢复重建规划编制和资金管理；建立应急评估机制，改进应急管</w:t>
      </w:r>
      <w:r>
        <w:rPr>
          <w:rFonts w:ascii="仿宋_GB2312" w:eastAsia="仿宋_GB2312" w:cs="仿宋_GB2312"/>
          <w:color w:val="000000"/>
          <w:sz w:val="31"/>
          <w:szCs w:val="31"/>
        </w:rPr>
        <w:lastRenderedPageBreak/>
        <w:t>理、健全应急体系；健全资金保障机制，引导多方资金参与应急体系项目建设；完善风险分担机制，逐步形成多层次、多品种的巨灾风险分散机制。促进形成统一指挥、部门联动、运转顺畅、处置高效的应急管理协同机制。</w:t>
      </w:r>
    </w:p>
    <w:p w14:paraId="346FB8AD" w14:textId="77777777" w:rsidR="00EC2C51" w:rsidRDefault="00A971AA">
      <w:pPr>
        <w:pStyle w:val="HTML1"/>
        <w:widowControl/>
        <w:ind w:firstLine="640"/>
        <w:rPr>
          <w:rFonts w:ascii="仿宋_GB2312" w:eastAsia="仿宋_GB2312" w:hAnsi="仿宋_GB2312" w:cs="仿宋_GB2312" w:hint="default"/>
          <w:sz w:val="32"/>
          <w:szCs w:val="32"/>
        </w:rPr>
      </w:pPr>
      <w:r>
        <w:rPr>
          <w:rFonts w:ascii="仿宋_GB2312" w:eastAsia="仿宋_GB2312" w:cs="仿宋_GB2312"/>
          <w:color w:val="000000"/>
          <w:sz w:val="31"/>
          <w:szCs w:val="31"/>
        </w:rPr>
        <w:t>3.增加机构及编制。康巴什区应急管理局于2019年3月14日挂牌成立，先后整合了</w:t>
      </w:r>
      <w:r>
        <w:rPr>
          <w:rFonts w:ascii="仿宋_GB2312" w:eastAsia="仿宋_GB2312" w:hAnsi="仿宋_GB2312" w:cs="仿宋_GB2312"/>
          <w:sz w:val="32"/>
          <w:szCs w:val="32"/>
        </w:rPr>
        <w:t>原区安监局的职责，区政府办公室的应急管理职责，区发展和改革委的地震及震灾应急救援职责，区民政局的救灾职责，区统筹城乡发展管理局的水旱灾害防治职责，区防汛抗旱、减灾、抗震救灾等指挥部（委员会）的职责</w:t>
      </w:r>
      <w:r>
        <w:rPr>
          <w:rFonts w:ascii="仿宋_GB2312" w:eastAsia="仿宋_GB2312" w:cs="仿宋_GB2312"/>
          <w:color w:val="000000"/>
          <w:sz w:val="31"/>
          <w:szCs w:val="31"/>
        </w:rPr>
        <w:t>。到目前只设置了两个科室：</w:t>
      </w:r>
      <w:r>
        <w:rPr>
          <w:rFonts w:ascii="仿宋_GB2312" w:eastAsia="仿宋_GB2312" w:hAnsi="仿宋_GB2312" w:cs="仿宋_GB2312"/>
          <w:sz w:val="32"/>
          <w:szCs w:val="32"/>
        </w:rPr>
        <w:t>综合业务室、综合办公室。为了贯彻落实构建“大安全大应急框架”精神，进一步健全应急体制机制，应急管理局计划增设9个科室：政治部（副科建制）、应急救援指挥中心（副科建制）、地震中心（副科建制）、应急办公室、安全生产综合调度室、政策法规宣传和规划科技室（行政审批室）、危险化学品安全监督管理室、安全生产基础室、综合减灾室。增加后的科室及专业人员负责承接落实区指挥部（委员会）各项工作任务、运行管理指挥协调保障、运行安全监测预警分析</w:t>
      </w:r>
      <w:proofErr w:type="gramStart"/>
      <w:r>
        <w:rPr>
          <w:rFonts w:ascii="仿宋_GB2312" w:eastAsia="仿宋_GB2312" w:hAnsi="仿宋_GB2312" w:cs="仿宋_GB2312"/>
          <w:sz w:val="32"/>
          <w:szCs w:val="32"/>
        </w:rPr>
        <w:t>研判以及</w:t>
      </w:r>
      <w:proofErr w:type="gramEnd"/>
      <w:r>
        <w:rPr>
          <w:rFonts w:ascii="仿宋_GB2312" w:eastAsia="仿宋_GB2312" w:hAnsi="仿宋_GB2312" w:cs="仿宋_GB2312"/>
          <w:sz w:val="32"/>
          <w:szCs w:val="32"/>
        </w:rPr>
        <w:t>应急联勤联动、大</w:t>
      </w:r>
      <w:proofErr w:type="gramStart"/>
      <w:r>
        <w:rPr>
          <w:rFonts w:ascii="仿宋_GB2312" w:eastAsia="仿宋_GB2312" w:hAnsi="仿宋_GB2312" w:cs="仿宋_GB2312"/>
          <w:sz w:val="32"/>
          <w:szCs w:val="32"/>
        </w:rPr>
        <w:t>值守保障</w:t>
      </w:r>
      <w:proofErr w:type="gramEnd"/>
      <w:r>
        <w:rPr>
          <w:rFonts w:ascii="仿宋_GB2312" w:eastAsia="仿宋_GB2312" w:hAnsi="仿宋_GB2312" w:cs="仿宋_GB2312"/>
          <w:sz w:val="32"/>
          <w:szCs w:val="32"/>
        </w:rPr>
        <w:t>等工作。</w:t>
      </w:r>
    </w:p>
    <w:p w14:paraId="3D0C82F7" w14:textId="77777777" w:rsidR="00EC2C51" w:rsidRDefault="00A971AA">
      <w:pPr>
        <w:pStyle w:val="HTML1"/>
        <w:widowControl/>
        <w:ind w:firstLine="640"/>
        <w:outlineLvl w:val="1"/>
        <w:rPr>
          <w:rFonts w:hint="default"/>
        </w:rPr>
      </w:pPr>
      <w:bookmarkStart w:id="15" w:name="_Toc30543"/>
      <w:r>
        <w:rPr>
          <w:rFonts w:ascii="楷体_GB2312" w:eastAsia="楷体_GB2312" w:cs="楷体_GB2312"/>
          <w:color w:val="000000"/>
          <w:sz w:val="31"/>
          <w:szCs w:val="31"/>
        </w:rPr>
        <w:t>（二）强化基层应急体系建设</w:t>
      </w:r>
      <w:bookmarkEnd w:id="15"/>
    </w:p>
    <w:p w14:paraId="24090776" w14:textId="77777777" w:rsidR="00EC2C51" w:rsidRDefault="00A971AA">
      <w:pPr>
        <w:pStyle w:val="HTML1"/>
        <w:widowControl/>
        <w:ind w:firstLine="640"/>
        <w:rPr>
          <w:rFonts w:ascii="仿宋_GB2312" w:eastAsia="仿宋_GB2312" w:cs="仿宋_GB2312" w:hint="default"/>
          <w:color w:val="000000"/>
          <w:sz w:val="31"/>
          <w:szCs w:val="31"/>
        </w:rPr>
      </w:pPr>
      <w:r>
        <w:rPr>
          <w:rFonts w:ascii="仿宋_GB2312" w:eastAsia="仿宋_GB2312" w:cs="仿宋_GB2312"/>
          <w:color w:val="000000"/>
          <w:sz w:val="31"/>
          <w:szCs w:val="31"/>
        </w:rPr>
        <w:t>1.健全基层应急体制。各街道和社区党组织实施网格化管理，着力构建区域统筹、条块协同、上下联动、共建共享的基</w:t>
      </w:r>
      <w:r>
        <w:rPr>
          <w:rFonts w:ascii="仿宋_GB2312" w:eastAsia="仿宋_GB2312" w:cs="仿宋_GB2312"/>
          <w:color w:val="000000"/>
          <w:sz w:val="31"/>
          <w:szCs w:val="31"/>
        </w:rPr>
        <w:lastRenderedPageBreak/>
        <w:t xml:space="preserve">层应急管理体系，按照街道机构改革和《内蒙古自治区党委自治区人民政府关于加强和完善城乡社区治理的实施意见》（内党发〔2017〕40号要求，以“划全分净、全面覆盖”为基本原则，整合现有网格资源和力量，将全区 4 </w:t>
      </w:r>
      <w:proofErr w:type="gramStart"/>
      <w:r>
        <w:rPr>
          <w:rFonts w:ascii="仿宋_GB2312" w:eastAsia="仿宋_GB2312" w:cs="仿宋_GB2312"/>
          <w:color w:val="000000"/>
          <w:sz w:val="31"/>
          <w:szCs w:val="31"/>
        </w:rPr>
        <w:t>个</w:t>
      </w:r>
      <w:proofErr w:type="gramEnd"/>
      <w:r>
        <w:rPr>
          <w:rFonts w:ascii="仿宋_GB2312" w:eastAsia="仿宋_GB2312" w:cs="仿宋_GB2312"/>
          <w:color w:val="000000"/>
          <w:sz w:val="31"/>
          <w:szCs w:val="31"/>
        </w:rPr>
        <w:t xml:space="preserve">街道办事处共计 19 </w:t>
      </w:r>
      <w:proofErr w:type="gramStart"/>
      <w:r>
        <w:rPr>
          <w:rFonts w:ascii="仿宋_GB2312" w:eastAsia="仿宋_GB2312" w:cs="仿宋_GB2312"/>
          <w:color w:val="000000"/>
          <w:sz w:val="31"/>
          <w:szCs w:val="31"/>
        </w:rPr>
        <w:t>个</w:t>
      </w:r>
      <w:proofErr w:type="gramEnd"/>
      <w:r>
        <w:rPr>
          <w:rFonts w:ascii="仿宋_GB2312" w:eastAsia="仿宋_GB2312" w:cs="仿宋_GB2312"/>
          <w:color w:val="000000"/>
          <w:sz w:val="31"/>
          <w:szCs w:val="31"/>
        </w:rPr>
        <w:t>社区逐一划分为1-3个网格，每个网格配置1名网格员，开展网格巡查，承担网格内安全生产、消防安全、灾情观测等职责，打通灾害预警和应急救援“最后一公里”。</w:t>
      </w:r>
      <w:proofErr w:type="gramStart"/>
      <w:r>
        <w:rPr>
          <w:rFonts w:ascii="仿宋_GB2312" w:eastAsia="仿宋_GB2312" w:cs="仿宋_GB2312"/>
          <w:color w:val="000000"/>
          <w:sz w:val="31"/>
          <w:szCs w:val="31"/>
        </w:rPr>
        <w:t>网格员</w:t>
      </w:r>
      <w:proofErr w:type="gramEnd"/>
      <w:r>
        <w:rPr>
          <w:rFonts w:ascii="仿宋_GB2312" w:eastAsia="仿宋_GB2312" w:cs="仿宋_GB2312"/>
          <w:color w:val="000000"/>
          <w:sz w:val="31"/>
          <w:szCs w:val="31"/>
        </w:rPr>
        <w:t>收集信息并通过手机“APP”上报，构建应急管理网格化管控体系，与平安建设网格制相结合，形成联防联控、群防群治、全社会共同参与的网格</w:t>
      </w:r>
      <w:proofErr w:type="gramStart"/>
      <w:r>
        <w:rPr>
          <w:rFonts w:ascii="仿宋_GB2312" w:eastAsia="仿宋_GB2312" w:cs="仿宋_GB2312"/>
          <w:color w:val="000000"/>
          <w:sz w:val="31"/>
          <w:szCs w:val="31"/>
        </w:rPr>
        <w:t>化治理</w:t>
      </w:r>
      <w:proofErr w:type="gramEnd"/>
      <w:r>
        <w:rPr>
          <w:rFonts w:ascii="仿宋_GB2312" w:eastAsia="仿宋_GB2312" w:cs="仿宋_GB2312"/>
          <w:color w:val="000000"/>
          <w:sz w:val="31"/>
          <w:szCs w:val="31"/>
        </w:rPr>
        <w:t>格局。</w:t>
      </w:r>
    </w:p>
    <w:p w14:paraId="09700985" w14:textId="77777777" w:rsidR="00EC2C51" w:rsidRDefault="00A971AA">
      <w:pPr>
        <w:pStyle w:val="HTML1"/>
        <w:widowControl/>
        <w:ind w:firstLine="640"/>
        <w:rPr>
          <w:rFonts w:hint="default"/>
        </w:rPr>
      </w:pPr>
      <w:r>
        <w:rPr>
          <w:rFonts w:ascii="仿宋_GB2312" w:eastAsia="仿宋_GB2312" w:cs="仿宋_GB2312"/>
          <w:color w:val="000000"/>
          <w:sz w:val="31"/>
          <w:szCs w:val="31"/>
        </w:rPr>
        <w:t>2.推进基层应急队伍建设。依托地方优势救援力量和民兵等，推进“专兼结合、一队多能”的综合性街道社区应急队伍建设，加强通信等装备配备和物资储备。发展灾害信息员、气象信息员、群测群防员、</w:t>
      </w:r>
      <w:proofErr w:type="gramStart"/>
      <w:r>
        <w:rPr>
          <w:rFonts w:ascii="仿宋_GB2312" w:eastAsia="仿宋_GB2312" w:cs="仿宋_GB2312"/>
          <w:color w:val="000000"/>
          <w:sz w:val="31"/>
          <w:szCs w:val="31"/>
        </w:rPr>
        <w:t>网格员</w:t>
      </w:r>
      <w:proofErr w:type="gramEnd"/>
      <w:r>
        <w:rPr>
          <w:rFonts w:ascii="仿宋_GB2312" w:eastAsia="仿宋_GB2312" w:cs="仿宋_GB2312"/>
          <w:color w:val="000000"/>
          <w:sz w:val="31"/>
          <w:szCs w:val="31"/>
        </w:rPr>
        <w:t>等应急信息员队伍，加强综合性业务培训，鼓励“一员多职”，给予必要经费补助。加强民兵应急力量建设。开展以有班子、有队伍、有机制、有预案、有物资、有培训演练等为主要内容的街道基层应急管理能力标准化建设，推进以有场地设施、有装备物资、有工作制度等为主要内容的社区应急服务站（点）建设，推动面向公众和基层应急人员的移动客户端软件开发与推广应用，强化基层风险评估、隐患排查、预警信息传播、信息报告和先期处置能力。</w:t>
      </w:r>
    </w:p>
    <w:p w14:paraId="2A29EA04" w14:textId="77777777" w:rsidR="00EC2C51" w:rsidRDefault="00A971AA">
      <w:pPr>
        <w:pStyle w:val="HTML1"/>
        <w:widowControl/>
        <w:ind w:firstLine="640"/>
        <w:outlineLvl w:val="1"/>
        <w:rPr>
          <w:rFonts w:hint="default"/>
        </w:rPr>
      </w:pPr>
      <w:bookmarkStart w:id="16" w:name="_Toc11308"/>
      <w:r>
        <w:rPr>
          <w:rFonts w:ascii="楷体_GB2312" w:eastAsia="楷体_GB2312" w:cs="楷体_GB2312"/>
          <w:color w:val="000000"/>
          <w:sz w:val="31"/>
          <w:szCs w:val="31"/>
        </w:rPr>
        <w:t>（三）完善突发事件法规预案体系建设</w:t>
      </w:r>
      <w:bookmarkEnd w:id="16"/>
    </w:p>
    <w:p w14:paraId="250365DC" w14:textId="77777777" w:rsidR="00EC2C51" w:rsidRDefault="00A971AA">
      <w:pPr>
        <w:pStyle w:val="HTML1"/>
        <w:widowControl/>
        <w:ind w:firstLine="640"/>
        <w:rPr>
          <w:rFonts w:ascii="仿宋_GB2312" w:eastAsia="仿宋_GB2312" w:cs="仿宋_GB2312" w:hint="default"/>
          <w:color w:val="000000"/>
          <w:sz w:val="31"/>
          <w:szCs w:val="31"/>
        </w:rPr>
      </w:pPr>
      <w:r>
        <w:rPr>
          <w:rFonts w:ascii="仿宋_GB2312" w:eastAsia="仿宋_GB2312" w:cs="仿宋_GB2312"/>
          <w:color w:val="000000"/>
          <w:sz w:val="31"/>
          <w:szCs w:val="31"/>
        </w:rPr>
        <w:lastRenderedPageBreak/>
        <w:t>1.健全应急政策法规。推进专项应急法规体系建设，适时启动地方性法规和规章的修订工作，积极推动相关制度固化为法规规章。加大执法力度，加强行政监督。建立健全重要时期应急服务保障长效机制，逐步实现制度化、程序化。加强对《中华人民共和国突发事件应对法》《中华人民共和国安全生产法》《中华人民共和国消防法》等有关法律法规的宣传贯彻落实，确保应急管理工作各项工作依法开展。建立灾情报告、会商</w:t>
      </w:r>
      <w:proofErr w:type="gramStart"/>
      <w:r>
        <w:rPr>
          <w:rFonts w:ascii="仿宋_GB2312" w:eastAsia="仿宋_GB2312" w:cs="仿宋_GB2312"/>
          <w:color w:val="000000"/>
          <w:sz w:val="31"/>
          <w:szCs w:val="31"/>
        </w:rPr>
        <w:t>研</w:t>
      </w:r>
      <w:proofErr w:type="gramEnd"/>
      <w:r>
        <w:rPr>
          <w:rFonts w:ascii="仿宋_GB2312" w:eastAsia="仿宋_GB2312" w:cs="仿宋_GB2312"/>
          <w:color w:val="000000"/>
          <w:sz w:val="31"/>
          <w:szCs w:val="31"/>
        </w:rPr>
        <w:t>判、监测预警、应急响应、现场指挥、物资征用、信息发布、舆情应对等一批工作制度，为应急管理提供制度保障。</w:t>
      </w:r>
    </w:p>
    <w:p w14:paraId="0E676A90" w14:textId="77777777" w:rsidR="00EC2C51" w:rsidRDefault="00A971AA">
      <w:pPr>
        <w:pStyle w:val="HTML1"/>
        <w:widowControl/>
        <w:ind w:firstLine="640"/>
        <w:rPr>
          <w:rFonts w:ascii="仿宋_GB2312" w:eastAsia="仿宋_GB2312" w:cs="仿宋_GB2312" w:hint="default"/>
          <w:color w:val="000000"/>
          <w:sz w:val="31"/>
          <w:szCs w:val="31"/>
        </w:rPr>
      </w:pPr>
      <w:r>
        <w:rPr>
          <w:rFonts w:ascii="仿宋_GB2312" w:eastAsia="仿宋_GB2312" w:cs="仿宋_GB2312"/>
          <w:color w:val="000000"/>
          <w:sz w:val="31"/>
          <w:szCs w:val="31"/>
        </w:rPr>
        <w:t>2.完善应急预案体系。应急预案编制遵循“以人为本、依法依规、符合实际、注重实效”的原则。制定和完善全区应急预案管理办法，开展街道、社区应急预案编制试点，进一步加强区、街道两级总体应急预案、专项应急预案、部门应急预案修编工作，不断完善全区应急预案体系。做好各级、各类应急预案评估、备案、修订、宣教培训等管理工作。推进应急预案数字化系统建设，实现应急预案文本电子化、流程可视化、决策指挥智能化，具备应急需求下的快速查询、识别、筛选与匹配等辅助指挥决策功能。应急管理中的规划、预案和演练三项工作在目标和方向上能够保持协调一致，使预案所涉及的部门以及不同部门、不同功能和不同层次的预案之间能够实现有效衔接联动，每年组织一次应急准备评估，每两年(法律规定)组</w:t>
      </w:r>
      <w:r>
        <w:rPr>
          <w:rFonts w:ascii="仿宋_GB2312" w:eastAsia="仿宋_GB2312" w:cs="仿宋_GB2312"/>
          <w:color w:val="000000"/>
          <w:sz w:val="31"/>
          <w:szCs w:val="31"/>
        </w:rPr>
        <w:lastRenderedPageBreak/>
        <w:t>织一次应对高度逼真事件情景的应急演练，发现并跟踪解决问题，检验和提高应急能力。</w:t>
      </w:r>
    </w:p>
    <w:p w14:paraId="306FCE49" w14:textId="77777777" w:rsidR="00EC2C51" w:rsidRDefault="00A971AA">
      <w:pPr>
        <w:pStyle w:val="HTML1"/>
        <w:widowControl/>
        <w:ind w:firstLine="640"/>
        <w:rPr>
          <w:rFonts w:hint="default"/>
        </w:rPr>
      </w:pPr>
      <w:r>
        <w:rPr>
          <w:rFonts w:ascii="仿宋_GB2312" w:eastAsia="仿宋_GB2312" w:cs="仿宋_GB2312"/>
          <w:color w:val="000000"/>
          <w:sz w:val="31"/>
          <w:szCs w:val="31"/>
        </w:rPr>
        <w:t>3.强化应急预案演练。组织开展年度跨部门、跨系统、跨区域的综合应急演练。推进各行业、各领域的应急演练。创新演练方式，应用桌面推演和“双盲”演练，增强应急演练的针对性、考核性和实效性。进一步规范和完善应急演练规划、组织、评估等环节的管理，加强应急演练的标准化组织与实施。</w:t>
      </w:r>
    </w:p>
    <w:p w14:paraId="4C49944B" w14:textId="77777777" w:rsidR="00EC2C51" w:rsidRDefault="00A971AA">
      <w:pPr>
        <w:pStyle w:val="HTML1"/>
        <w:widowControl/>
        <w:ind w:firstLine="640"/>
        <w:outlineLvl w:val="1"/>
        <w:rPr>
          <w:rFonts w:ascii="楷体_GB2312" w:eastAsia="楷体_GB2312" w:cs="楷体_GB2312" w:hint="default"/>
          <w:color w:val="000000"/>
          <w:sz w:val="31"/>
          <w:szCs w:val="31"/>
        </w:rPr>
      </w:pPr>
      <w:bookmarkStart w:id="17" w:name="_Toc28761"/>
      <w:r>
        <w:rPr>
          <w:rFonts w:ascii="楷体_GB2312" w:eastAsia="楷体_GB2312" w:cs="楷体_GB2312"/>
          <w:color w:val="000000"/>
          <w:sz w:val="31"/>
          <w:szCs w:val="31"/>
        </w:rPr>
        <w:t>（四）加强应急处置体系建设</w:t>
      </w:r>
      <w:bookmarkEnd w:id="17"/>
    </w:p>
    <w:p w14:paraId="3DCAEFEA" w14:textId="77777777" w:rsidR="00EC2C51" w:rsidRDefault="00A971AA">
      <w:pPr>
        <w:pStyle w:val="HTML1"/>
        <w:widowControl/>
        <w:ind w:firstLine="640"/>
        <w:rPr>
          <w:rFonts w:hint="default"/>
        </w:rPr>
      </w:pPr>
      <w:r>
        <w:rPr>
          <w:rFonts w:ascii="仿宋_GB2312" w:eastAsia="仿宋_GB2312" w:cs="仿宋_GB2312"/>
          <w:color w:val="000000"/>
          <w:sz w:val="31"/>
          <w:szCs w:val="31"/>
        </w:rPr>
        <w:t>1.健全应急决策支持机制。建立统一、高效的应急决策和快速评估系统，及时</w:t>
      </w:r>
      <w:proofErr w:type="gramStart"/>
      <w:r>
        <w:rPr>
          <w:rFonts w:ascii="仿宋_GB2312" w:eastAsia="仿宋_GB2312" w:cs="仿宋_GB2312"/>
          <w:color w:val="000000"/>
          <w:sz w:val="31"/>
          <w:szCs w:val="31"/>
        </w:rPr>
        <w:t>研</w:t>
      </w:r>
      <w:proofErr w:type="gramEnd"/>
      <w:r>
        <w:rPr>
          <w:rFonts w:ascii="仿宋_GB2312" w:eastAsia="仿宋_GB2312" w:cs="仿宋_GB2312"/>
          <w:color w:val="000000"/>
          <w:sz w:val="31"/>
          <w:szCs w:val="31"/>
        </w:rPr>
        <w:t>判突发事件的影响范围、损失程度、人员伤亡等信息。建立完备的专家队伍体系，根据需要聘请相关领域的专家、学者和专业人员，协助制定突发事件现场处置方案，指导开展现场处置工作。</w:t>
      </w:r>
    </w:p>
    <w:p w14:paraId="2D62C8B7" w14:textId="77777777" w:rsidR="00EC2C51" w:rsidRDefault="00A971AA">
      <w:pPr>
        <w:pStyle w:val="HTML1"/>
        <w:widowControl/>
        <w:ind w:firstLine="640"/>
        <w:rPr>
          <w:rFonts w:hint="default"/>
        </w:rPr>
      </w:pPr>
      <w:r>
        <w:rPr>
          <w:rFonts w:ascii="仿宋_GB2312" w:eastAsia="仿宋_GB2312" w:cs="仿宋_GB2312"/>
          <w:color w:val="000000"/>
          <w:sz w:val="31"/>
          <w:szCs w:val="31"/>
        </w:rPr>
        <w:t>2.完善现场指挥与协调机制。进一步完善现场指挥机构的设置和分工，规范现场指挥权交接方式和程序，优化应急决策和处置机制。明确应急机构综合管理与专业处置的职能定位，强化条块之间的协调配合。有效整合应急力量和应急资源，建立各单位横向沟通机制。完善与周边旗区的信息沟通和应急协作机制，形成多层次的应急联动体系。</w:t>
      </w:r>
    </w:p>
    <w:p w14:paraId="41BACCC0" w14:textId="77777777" w:rsidR="00EC2C51" w:rsidRDefault="00A971AA">
      <w:pPr>
        <w:pStyle w:val="HTML1"/>
        <w:widowControl/>
        <w:ind w:firstLine="640"/>
        <w:rPr>
          <w:rFonts w:hint="default"/>
        </w:rPr>
      </w:pPr>
      <w:r>
        <w:rPr>
          <w:rFonts w:ascii="仿宋_GB2312" w:eastAsia="仿宋_GB2312" w:cs="仿宋_GB2312"/>
          <w:color w:val="000000"/>
          <w:sz w:val="31"/>
          <w:szCs w:val="31"/>
        </w:rPr>
        <w:t>3.强化应急联动与协作机制。强化信息沟通与应急协作，逐步建立各级应急管理联席会议、应急管理工作机构负责人联络会商等工作制度，强化联合监测预警、信息沟通、技术支持、</w:t>
      </w:r>
      <w:r>
        <w:rPr>
          <w:rFonts w:ascii="仿宋_GB2312" w:eastAsia="仿宋_GB2312" w:cs="仿宋_GB2312"/>
          <w:color w:val="000000"/>
          <w:sz w:val="31"/>
          <w:szCs w:val="31"/>
        </w:rPr>
        <w:lastRenderedPageBreak/>
        <w:t>队伍和物资统一调配，形成多层次的全区应急联动体系。建立应急指挥中心突发事件定期分析评估制度，为科学应对突发事件提供决策参考和帮助，提高应急联动能力和处置效率。</w:t>
      </w:r>
    </w:p>
    <w:p w14:paraId="364DCB66" w14:textId="77777777" w:rsidR="00EC2C51" w:rsidRDefault="00A971AA">
      <w:pPr>
        <w:pStyle w:val="HTML1"/>
        <w:widowControl/>
        <w:ind w:firstLine="640"/>
        <w:outlineLvl w:val="1"/>
        <w:rPr>
          <w:rFonts w:hint="default"/>
        </w:rPr>
      </w:pPr>
      <w:bookmarkStart w:id="18" w:name="_Toc13626"/>
      <w:r>
        <w:rPr>
          <w:rFonts w:ascii="楷体_GB2312" w:eastAsia="楷体_GB2312" w:cs="楷体_GB2312"/>
          <w:color w:val="000000"/>
          <w:sz w:val="31"/>
          <w:szCs w:val="31"/>
        </w:rPr>
        <w:t>（五）提升风险管控与监测预警能力</w:t>
      </w:r>
      <w:bookmarkEnd w:id="18"/>
    </w:p>
    <w:p w14:paraId="6180E63D" w14:textId="77777777" w:rsidR="00EC2C51" w:rsidRDefault="00A971AA">
      <w:pPr>
        <w:pStyle w:val="HTML1"/>
        <w:widowControl/>
        <w:ind w:firstLine="640"/>
        <w:rPr>
          <w:rFonts w:hint="default"/>
        </w:rPr>
      </w:pPr>
      <w:r>
        <w:rPr>
          <w:rFonts w:ascii="仿宋_GB2312" w:eastAsia="仿宋_GB2312" w:cs="仿宋_GB2312"/>
          <w:color w:val="000000"/>
          <w:sz w:val="31"/>
          <w:szCs w:val="31"/>
        </w:rPr>
        <w:t>1.加强隐患排查治理体系建设。深入开展全区安全运行风险隐患排查和整改工作，推进风险管理体系建设，完善隐患排查整改工作机制，加强各类风险控制和隐患治理。重点抓好自然灾害、安全生产等方面风险隐患排查，建立风险隐患数据库，有针对性制定应急预案。健全并落实社会稳定风险评估机制，进一步完善群体性事件预防处置机制。开展环境污染基本情况调查，建立重点区域（水域）、重点行业、重点污染物档案库。开展环保重大危险源普查辨识和登记建档工作，统一全区重大危险源监管和监测预警标准。</w:t>
      </w:r>
    </w:p>
    <w:p w14:paraId="290D985D" w14:textId="77777777" w:rsidR="00EC2C51" w:rsidRDefault="00A971AA">
      <w:pPr>
        <w:pStyle w:val="HTML1"/>
        <w:widowControl/>
        <w:ind w:firstLine="640"/>
        <w:rPr>
          <w:rFonts w:ascii="仿宋_GB2312" w:eastAsia="仿宋_GB2312" w:cs="仿宋_GB2312" w:hint="default"/>
          <w:color w:val="000000"/>
          <w:sz w:val="31"/>
          <w:szCs w:val="31"/>
        </w:rPr>
      </w:pPr>
      <w:r>
        <w:rPr>
          <w:rFonts w:ascii="仿宋_GB2312" w:eastAsia="仿宋_GB2312" w:cs="仿宋_GB2312"/>
          <w:color w:val="000000"/>
          <w:sz w:val="31"/>
          <w:szCs w:val="31"/>
        </w:rPr>
        <w:t>2.完善监测预警服务体系。建立健全预警指标体系和管理制度，完善预警信息快速发布机制，规范预警级别的动态调整及解除程序。进一步加强康巴什区预警信息发布平台建设，充分利用多形式、多备份的预警信息发布手段，拓宽预警发布渠道，着力解决预警发布的“最后一公里”问题。加强气象、地震、防汛、地质灾害、森林火灾等自然灾害监测预警预报能力建设，调整优化监测站点布局，完善监测网络，完善区、街道、社区三级突发事件信息报告网络系统。完善全区气象、农牧水利、自然资源、民政、林业、卫生、交通、环保等</w:t>
      </w:r>
      <w:proofErr w:type="gramStart"/>
      <w:r>
        <w:rPr>
          <w:rFonts w:ascii="仿宋_GB2312" w:eastAsia="仿宋_GB2312" w:cs="仿宋_GB2312"/>
          <w:color w:val="000000"/>
          <w:sz w:val="31"/>
          <w:szCs w:val="31"/>
        </w:rPr>
        <w:t>涉灾部门</w:t>
      </w:r>
      <w:proofErr w:type="gramEnd"/>
      <w:r>
        <w:rPr>
          <w:rFonts w:ascii="仿宋_GB2312" w:eastAsia="仿宋_GB2312" w:cs="仿宋_GB2312"/>
          <w:color w:val="000000"/>
          <w:sz w:val="31"/>
          <w:szCs w:val="31"/>
        </w:rPr>
        <w:t>应</w:t>
      </w:r>
      <w:r>
        <w:rPr>
          <w:rFonts w:ascii="仿宋_GB2312" w:eastAsia="仿宋_GB2312" w:cs="仿宋_GB2312"/>
          <w:color w:val="000000"/>
          <w:sz w:val="31"/>
          <w:szCs w:val="31"/>
        </w:rPr>
        <w:lastRenderedPageBreak/>
        <w:t>急指挥和应急信息平台、实现信息共享、预警信息汇总、分析</w:t>
      </w:r>
      <w:proofErr w:type="gramStart"/>
      <w:r>
        <w:rPr>
          <w:rFonts w:ascii="仿宋_GB2312" w:eastAsia="仿宋_GB2312" w:cs="仿宋_GB2312"/>
          <w:color w:val="000000"/>
          <w:sz w:val="31"/>
          <w:szCs w:val="31"/>
        </w:rPr>
        <w:t>研</w:t>
      </w:r>
      <w:proofErr w:type="gramEnd"/>
      <w:r>
        <w:rPr>
          <w:rFonts w:ascii="仿宋_GB2312" w:eastAsia="仿宋_GB2312" w:cs="仿宋_GB2312"/>
          <w:color w:val="000000"/>
          <w:sz w:val="31"/>
          <w:szCs w:val="31"/>
        </w:rPr>
        <w:t>判和发布等功能。</w:t>
      </w:r>
    </w:p>
    <w:p w14:paraId="099AF856" w14:textId="77777777" w:rsidR="00EC2C51" w:rsidRDefault="00A971AA">
      <w:pPr>
        <w:pStyle w:val="HTML1"/>
        <w:widowControl/>
        <w:ind w:firstLine="640"/>
        <w:rPr>
          <w:rFonts w:hint="default"/>
        </w:rPr>
      </w:pPr>
      <w:r>
        <w:rPr>
          <w:rFonts w:ascii="仿宋_GB2312" w:eastAsia="仿宋_GB2312" w:cs="仿宋_GB2312"/>
          <w:color w:val="000000"/>
          <w:sz w:val="31"/>
          <w:szCs w:val="31"/>
        </w:rPr>
        <w:t>3.强化城市公共安全风险管理。开展城市公共安全风险评估，编制基于地理信息系统的城市风险管控“一张图”，对城市“生命线”等重大风险源进行实时监控和全生命周期风险管理。积极有序推进韧性城市、海绵城市、城市地下综合管廊、城市备用饮用水水源地等基础设施建设，提高综合防灾能力。推行城市网格化管理模式，建立健全城市应急管理网格单元，规范网格巡查标准化操作流程。探索完善城市应急联动等综合应急管理模式，加强城市应急指挥调度平台和应急联动工作机制建设。</w:t>
      </w:r>
    </w:p>
    <w:p w14:paraId="1935B8D6" w14:textId="77777777" w:rsidR="00EC2C51" w:rsidRDefault="00A971AA">
      <w:pPr>
        <w:pStyle w:val="HTML1"/>
        <w:widowControl/>
        <w:ind w:firstLine="640"/>
        <w:outlineLvl w:val="1"/>
        <w:rPr>
          <w:rFonts w:hint="default"/>
        </w:rPr>
      </w:pPr>
      <w:bookmarkStart w:id="19" w:name="_Toc17742"/>
      <w:r>
        <w:rPr>
          <w:rFonts w:ascii="楷体_GB2312" w:eastAsia="楷体_GB2312" w:cs="楷体_GB2312"/>
          <w:color w:val="000000"/>
          <w:sz w:val="31"/>
          <w:szCs w:val="31"/>
        </w:rPr>
        <w:t>（六）全面推动应急管理信息化建设</w:t>
      </w:r>
      <w:bookmarkEnd w:id="19"/>
    </w:p>
    <w:p w14:paraId="3D00A90F" w14:textId="77777777" w:rsidR="00EC2C51" w:rsidRDefault="00A971AA">
      <w:pPr>
        <w:pStyle w:val="HTML1"/>
        <w:widowControl/>
        <w:ind w:firstLine="640"/>
        <w:rPr>
          <w:rFonts w:ascii="仿宋_GB2312" w:eastAsia="仿宋_GB2312" w:cs="仿宋_GB2312" w:hint="default"/>
          <w:color w:val="000000"/>
          <w:sz w:val="31"/>
          <w:szCs w:val="31"/>
        </w:rPr>
      </w:pPr>
      <w:r>
        <w:rPr>
          <w:rFonts w:ascii="仿宋_GB2312" w:eastAsia="仿宋_GB2312" w:cs="仿宋_GB2312"/>
          <w:color w:val="000000"/>
          <w:sz w:val="31"/>
          <w:szCs w:val="31"/>
        </w:rPr>
        <w:t>1.推动应急管理指挥平台建设。全面统筹推进应急管理指挥平台建设，加快以应急管理信息化为重点内容的应急管理体系和能力建设，认真贯彻落实《应急管理信息化发展战略规划框架（2018-2022年）》要求，结合自身实际，强化统筹指导，加快推进感知网络建设，围绕自然灾害监测、城市安全监测、行业领域生产安全监测、区域风险隐患监测、应急救援现场实时动态监测等应用需求，利用物联网、卫星遥感、视频识别、航空感知、视频感知和全民感知等五类感知途径，建设覆盖全区的感知网络。实现对辖区内自然灾害易发多发频发地区和高危行业全方位、立体化、无盲区动态监测，多维</w:t>
      </w:r>
      <w:proofErr w:type="gramStart"/>
      <w:r>
        <w:rPr>
          <w:rFonts w:ascii="仿宋_GB2312" w:eastAsia="仿宋_GB2312" w:cs="仿宋_GB2312"/>
          <w:color w:val="000000"/>
          <w:sz w:val="31"/>
          <w:szCs w:val="31"/>
        </w:rPr>
        <w:t>度全面</w:t>
      </w:r>
      <w:proofErr w:type="gramEnd"/>
      <w:r>
        <w:rPr>
          <w:rFonts w:ascii="仿宋_GB2312" w:eastAsia="仿宋_GB2312" w:cs="仿宋_GB2312"/>
          <w:color w:val="000000"/>
          <w:sz w:val="31"/>
          <w:szCs w:val="31"/>
        </w:rPr>
        <w:t>分</w:t>
      </w:r>
      <w:r>
        <w:rPr>
          <w:rFonts w:ascii="仿宋_GB2312" w:eastAsia="仿宋_GB2312" w:cs="仿宋_GB2312"/>
          <w:color w:val="000000"/>
          <w:sz w:val="31"/>
          <w:szCs w:val="31"/>
        </w:rPr>
        <w:lastRenderedPageBreak/>
        <w:t>析本地区风险信息提供数据。积极推行集约化建设模式，在充分构建系统化、扁平化、立体化、智能化应急指挥体系基础上，设计建设全区综合性应急指挥中心。</w:t>
      </w:r>
    </w:p>
    <w:p w14:paraId="5D626A95" w14:textId="77777777" w:rsidR="00EC2C51" w:rsidRDefault="00A971AA">
      <w:pPr>
        <w:pStyle w:val="HTML1"/>
        <w:widowControl/>
        <w:ind w:firstLine="640"/>
        <w:rPr>
          <w:rFonts w:hint="default"/>
        </w:rPr>
      </w:pPr>
      <w:r>
        <w:rPr>
          <w:rFonts w:ascii="仿宋_GB2312" w:eastAsia="仿宋_GB2312" w:cs="仿宋_GB2312"/>
          <w:color w:val="000000"/>
          <w:sz w:val="31"/>
          <w:szCs w:val="31"/>
        </w:rPr>
        <w:t>结合风险防范、监督执法、指挥协调、救援处置等工作需要，运用大数据、云计算、物联网、人工智能、机器人、移动互联等新一代信息技术与应急管理深度融合，提升应急基础信息整合、现场信息获取、灾情</w:t>
      </w:r>
      <w:proofErr w:type="gramStart"/>
      <w:r>
        <w:rPr>
          <w:rFonts w:ascii="仿宋_GB2312" w:eastAsia="仿宋_GB2312" w:cs="仿宋_GB2312"/>
          <w:color w:val="000000"/>
          <w:sz w:val="31"/>
          <w:szCs w:val="31"/>
        </w:rPr>
        <w:t>研判等</w:t>
      </w:r>
      <w:proofErr w:type="gramEnd"/>
      <w:r>
        <w:rPr>
          <w:rFonts w:ascii="仿宋_GB2312" w:eastAsia="仿宋_GB2312" w:cs="仿宋_GB2312"/>
          <w:color w:val="000000"/>
          <w:sz w:val="31"/>
          <w:szCs w:val="31"/>
        </w:rPr>
        <w:t>能力。充分利用北斗导航、物联网技术和5G（第五代移动通信技术）在监测预警、灾害信息获取等方面的优势，实现监督管理、监测预警、指挥救援、决策支持、政务管理等应急管理业务，加快推进应急管理能力现代化建设。</w:t>
      </w:r>
    </w:p>
    <w:p w14:paraId="239FB092" w14:textId="77777777" w:rsidR="00EC2C51" w:rsidRDefault="00A971AA">
      <w:pPr>
        <w:pStyle w:val="HTML1"/>
        <w:widowControl/>
        <w:ind w:firstLine="640"/>
        <w:rPr>
          <w:rFonts w:hint="default"/>
        </w:rPr>
      </w:pPr>
      <w:r>
        <w:rPr>
          <w:rFonts w:ascii="仿宋_GB2312" w:eastAsia="仿宋_GB2312" w:cs="仿宋_GB2312"/>
          <w:color w:val="000000"/>
          <w:sz w:val="31"/>
          <w:szCs w:val="31"/>
        </w:rPr>
        <w:t>2.强化应急信息资源整合和共享。根据应急管理部对全国应急管理一盘棋</w:t>
      </w:r>
      <w:proofErr w:type="gramStart"/>
      <w:r>
        <w:rPr>
          <w:rFonts w:ascii="仿宋_GB2312" w:eastAsia="仿宋_GB2312" w:cs="仿宋_GB2312"/>
          <w:color w:val="000000"/>
          <w:sz w:val="31"/>
          <w:szCs w:val="31"/>
        </w:rPr>
        <w:t>一</w:t>
      </w:r>
      <w:proofErr w:type="gramEnd"/>
      <w:r>
        <w:rPr>
          <w:rFonts w:ascii="仿宋_GB2312" w:eastAsia="仿宋_GB2312" w:cs="仿宋_GB2312"/>
          <w:color w:val="000000"/>
          <w:sz w:val="31"/>
          <w:szCs w:val="31"/>
        </w:rPr>
        <w:t>张网的要求，按照国家政务平台“互联网+监管”系统建设方案，各地区、各有关部门、各行业企业要在加强自身信息化建设、健全完善相关系统的基础上，将本地区、本部门掌握的安全生产、自然灾害防治领域的风险和隐患信息以及灾害事故信息逐步接入，形成纵向贯通、横向集成、安全可靠、覆盖安全生产和自然灾害防治全部行业领域的全国应急管理大数据应用平台。加强</w:t>
      </w:r>
      <w:proofErr w:type="gramStart"/>
      <w:r>
        <w:rPr>
          <w:rFonts w:ascii="仿宋_GB2312" w:eastAsia="仿宋_GB2312" w:cs="仿宋_GB2312"/>
          <w:color w:val="000000"/>
          <w:sz w:val="31"/>
          <w:szCs w:val="31"/>
        </w:rPr>
        <w:t>涉灾部门</w:t>
      </w:r>
      <w:proofErr w:type="gramEnd"/>
      <w:r>
        <w:rPr>
          <w:rFonts w:ascii="仿宋_GB2312" w:eastAsia="仿宋_GB2312" w:cs="仿宋_GB2312"/>
          <w:color w:val="000000"/>
          <w:sz w:val="31"/>
          <w:szCs w:val="31"/>
        </w:rPr>
        <w:t>之间的数据、资源共享，实现资源的最大化效用，稳步推进全区应急管理信息化“一张图”。大力整合各类风险隐患信息和自然灾害数据以及应急资源基础设施等，充分利用政府大数据应用支撑平台的运行数据</w:t>
      </w:r>
      <w:r>
        <w:rPr>
          <w:rFonts w:ascii="仿宋_GB2312" w:eastAsia="仿宋_GB2312" w:cs="仿宋_GB2312"/>
          <w:color w:val="000000"/>
          <w:sz w:val="31"/>
          <w:szCs w:val="31"/>
        </w:rPr>
        <w:lastRenderedPageBreak/>
        <w:t>和综合分析成果，建立建设应急管理数据中心，努力实现监测监控、预测预警、信息报送、综合</w:t>
      </w:r>
      <w:proofErr w:type="gramStart"/>
      <w:r>
        <w:rPr>
          <w:rFonts w:ascii="仿宋_GB2312" w:eastAsia="仿宋_GB2312" w:cs="仿宋_GB2312"/>
          <w:color w:val="000000"/>
          <w:sz w:val="31"/>
          <w:szCs w:val="31"/>
        </w:rPr>
        <w:t>研</w:t>
      </w:r>
      <w:proofErr w:type="gramEnd"/>
      <w:r>
        <w:rPr>
          <w:rFonts w:ascii="仿宋_GB2312" w:eastAsia="仿宋_GB2312" w:cs="仿宋_GB2312"/>
          <w:color w:val="000000"/>
          <w:sz w:val="31"/>
          <w:szCs w:val="31"/>
        </w:rPr>
        <w:t>判、辅助决策、指挥调度等功能，满足应急管理工作的快速反应、统一指挥、综合协调的机制。各地区、各有关部门根据自身职责权限使用全国应急管理大数据应用平台，协同做好灾害事故的防范处置工作，全面提升应急管理能力水平。</w:t>
      </w:r>
    </w:p>
    <w:p w14:paraId="40458DBB" w14:textId="77777777" w:rsidR="00EC2C51" w:rsidRDefault="00A971AA">
      <w:pPr>
        <w:pStyle w:val="HTML1"/>
        <w:widowControl/>
        <w:ind w:firstLine="640"/>
        <w:outlineLvl w:val="1"/>
        <w:rPr>
          <w:rFonts w:hint="default"/>
        </w:rPr>
      </w:pPr>
      <w:bookmarkStart w:id="20" w:name="_Toc26"/>
      <w:r>
        <w:rPr>
          <w:rFonts w:ascii="楷体_GB2312" w:eastAsia="楷体_GB2312" w:cs="楷体_GB2312"/>
          <w:color w:val="000000"/>
          <w:sz w:val="31"/>
          <w:szCs w:val="31"/>
        </w:rPr>
        <w:t>（七）加强应急救援队伍建设</w:t>
      </w:r>
      <w:bookmarkEnd w:id="20"/>
    </w:p>
    <w:p w14:paraId="475B1DB8" w14:textId="77777777" w:rsidR="00EC2C51" w:rsidRDefault="00A971AA">
      <w:pPr>
        <w:pStyle w:val="HTML1"/>
        <w:widowControl/>
        <w:ind w:firstLine="640"/>
        <w:rPr>
          <w:rFonts w:ascii="仿宋_GB2312" w:eastAsia="仿宋_GB2312" w:cs="仿宋_GB2312" w:hint="default"/>
          <w:color w:val="000000"/>
          <w:sz w:val="31"/>
          <w:szCs w:val="31"/>
        </w:rPr>
      </w:pPr>
      <w:r>
        <w:rPr>
          <w:rFonts w:ascii="仿宋_GB2312" w:eastAsia="仿宋_GB2312" w:cs="仿宋_GB2312"/>
          <w:color w:val="000000"/>
          <w:sz w:val="31"/>
          <w:szCs w:val="31"/>
        </w:rPr>
        <w:t>1.加强综合应急救援队伍建设。整合现有专业救援力量，加强防汛抗旱、森林防火、消防救援等应急救援队伍建设，推动高风险行业生产经营单位和街道、学校、社区等基层单位加强专兼职应急队伍建设，充分发挥基层应急救援队伍在防范和应对突发事件中的重要作用。建设以消防救援队伍、综合救援队伍等2支队伍为主力，以基干民兵应急队伍、行业救援队伍、街道应急救援队伍等3类队伍为补充，以社会救援力量、社区级网格员、社区级灾情信息员、第三方力量为辅助的三级应急救援队伍体系。加强干部职工能力建设，开展多层次、多领域的应急理论知识培训，提高应急队伍人员知识水平，建设忠诚干净担当的高素质干部职工队伍。建立专家人才库，充分发挥专家在突发公共事件的信息</w:t>
      </w:r>
      <w:proofErr w:type="gramStart"/>
      <w:r>
        <w:rPr>
          <w:rFonts w:ascii="仿宋_GB2312" w:eastAsia="仿宋_GB2312" w:cs="仿宋_GB2312"/>
          <w:color w:val="000000"/>
          <w:sz w:val="31"/>
          <w:szCs w:val="31"/>
        </w:rPr>
        <w:t>研</w:t>
      </w:r>
      <w:proofErr w:type="gramEnd"/>
      <w:r>
        <w:rPr>
          <w:rFonts w:ascii="仿宋_GB2312" w:eastAsia="仿宋_GB2312" w:cs="仿宋_GB2312"/>
          <w:color w:val="000000"/>
          <w:sz w:val="31"/>
          <w:szCs w:val="31"/>
        </w:rPr>
        <w:t>判、决策咨询、专业救援、事件评估等方面的作用。多渠道争取资金，逐步提高应急队伍装备、技术水平。建设</w:t>
      </w:r>
      <w:proofErr w:type="gramStart"/>
      <w:r>
        <w:rPr>
          <w:rFonts w:ascii="仿宋_GB2312" w:eastAsia="仿宋_GB2312" w:cs="仿宋_GB2312"/>
          <w:color w:val="000000"/>
          <w:sz w:val="31"/>
          <w:szCs w:val="31"/>
        </w:rPr>
        <w:t>一支专常兼备</w:t>
      </w:r>
      <w:proofErr w:type="gramEnd"/>
      <w:r>
        <w:rPr>
          <w:rFonts w:ascii="仿宋_GB2312" w:eastAsia="仿宋_GB2312" w:cs="仿宋_GB2312"/>
          <w:color w:val="000000"/>
          <w:sz w:val="31"/>
          <w:szCs w:val="31"/>
        </w:rPr>
        <w:t>、反应灵敏、作风过硬、本领高强的应急救援队伍。</w:t>
      </w:r>
    </w:p>
    <w:p w14:paraId="0D8FED12" w14:textId="77777777" w:rsidR="00EC2C51" w:rsidRDefault="00A971AA">
      <w:pPr>
        <w:pStyle w:val="HTML1"/>
        <w:widowControl/>
        <w:ind w:firstLine="640"/>
        <w:rPr>
          <w:rFonts w:hint="default"/>
        </w:rPr>
      </w:pPr>
      <w:r>
        <w:rPr>
          <w:rFonts w:ascii="仿宋_GB2312" w:eastAsia="仿宋_GB2312" w:cs="仿宋_GB2312"/>
          <w:color w:val="000000"/>
          <w:sz w:val="31"/>
          <w:szCs w:val="31"/>
        </w:rPr>
        <w:lastRenderedPageBreak/>
        <w:t>2.强化公众和社会力量参与应急管理。在突发事件风险防控的人民战争中，只有发动起全社会的公众积极参与、全民联动，才能构筑起最坚固的人民防线，全面提升突发事件应急管理体系的群众基础。依托红十字会、蓝天救援队、基层社区以及其他组织，建立形式多样的应急志愿者队伍，重点加强青年志愿者队伍建设，发挥志愿者队伍在科普宣教、应急救助和恢复重建等方面的重要作用。健全政府和企业购买应急服务机制，支持社会应急救援力量发展壮大。推进社会组织、社区组建志愿消防队或微型消防站。坚持群众路线，在基层社区、学校、企事业单位开展应急安全教育，增强人民群众的风险防范意识，把安全健康等公共安全和教育纳入国民教育和精神文明建设体系。</w:t>
      </w:r>
    </w:p>
    <w:p w14:paraId="65867B1E" w14:textId="77777777" w:rsidR="00EC2C51" w:rsidRDefault="00A971AA">
      <w:pPr>
        <w:pStyle w:val="HTML1"/>
        <w:widowControl/>
        <w:ind w:firstLine="640"/>
        <w:outlineLvl w:val="1"/>
        <w:rPr>
          <w:rFonts w:hint="default"/>
        </w:rPr>
      </w:pPr>
      <w:bookmarkStart w:id="21" w:name="_Toc14607"/>
      <w:r>
        <w:rPr>
          <w:rFonts w:ascii="楷体_GB2312" w:eastAsia="楷体_GB2312" w:cs="楷体_GB2312"/>
          <w:color w:val="000000"/>
          <w:sz w:val="31"/>
          <w:szCs w:val="31"/>
        </w:rPr>
        <w:t>（八）完善应急物资保障体系</w:t>
      </w:r>
      <w:bookmarkEnd w:id="21"/>
    </w:p>
    <w:p w14:paraId="732E14D9" w14:textId="77777777" w:rsidR="00EC2C51" w:rsidRDefault="00A971AA">
      <w:pPr>
        <w:pStyle w:val="HTML1"/>
        <w:widowControl/>
        <w:ind w:firstLine="640"/>
        <w:rPr>
          <w:rFonts w:hint="default"/>
        </w:rPr>
      </w:pPr>
      <w:r>
        <w:rPr>
          <w:rFonts w:ascii="仿宋_GB2312" w:eastAsia="仿宋_GB2312" w:cs="仿宋_GB2312"/>
          <w:color w:val="000000"/>
          <w:sz w:val="31"/>
          <w:szCs w:val="31"/>
        </w:rPr>
        <w:t>理顺应急物资管理体制，加快构建以政府实物储备为基础，企业（商业）储备、产能储备、社会化储备为支撑的应急物资储备体系和快速调运机制，构建应急物资智慧化管理体系，提高应急物资保障能力和管理水平。</w:t>
      </w:r>
    </w:p>
    <w:p w14:paraId="49E2B8B3" w14:textId="77777777" w:rsidR="00EC2C51" w:rsidRDefault="00A971AA">
      <w:pPr>
        <w:pStyle w:val="HTML1"/>
        <w:widowControl/>
        <w:ind w:firstLineChars="200" w:firstLine="620"/>
        <w:rPr>
          <w:rFonts w:hint="default"/>
        </w:rPr>
      </w:pPr>
      <w:r>
        <w:rPr>
          <w:rFonts w:ascii="仿宋_GB2312" w:eastAsia="仿宋_GB2312" w:cs="仿宋_GB2312"/>
          <w:color w:val="000000"/>
          <w:sz w:val="31"/>
          <w:szCs w:val="31"/>
        </w:rPr>
        <w:t>1.健全应急物资管理体制机制。建立健全党委、政府统一领导、应急管理部门统筹协调，统分结合的应急物资管理保障体制。强化应急管理部门组织协调职能，建立健全应急物资分级分类管理体系，制定应急物资分级分类储备目录，明确各级各部门应急物资管理、储备范围和权限，完善应急物资管理保</w:t>
      </w:r>
      <w:r>
        <w:rPr>
          <w:rFonts w:ascii="仿宋_GB2312" w:eastAsia="仿宋_GB2312" w:cs="仿宋_GB2312"/>
          <w:color w:val="000000"/>
          <w:sz w:val="31"/>
          <w:szCs w:val="31"/>
        </w:rPr>
        <w:lastRenderedPageBreak/>
        <w:t>障工作运行机制。完善区、街道应急救援装备和物资储备库建设，健全区、街道的二级政府应急救援装备与物资储备体系。推进多灾易灾街道、社区应急物资储备点建设，推动形成以区级保障为依托、街道和社区储备为补充的应急物资储备保障网络。指导高危行业重点企业加强应急物资储备，从采购、验收和库存管理方面给予具体意见，使其成为全区应急物资储备保障网络的一部分。建立健全应急物资综合保障能力评估和应急物资生产调度、采购、储备、管理、调配、运输、回收、报废等各项制度，完善应急物资管理保障制度体系。健全应急物资紧急征用和补偿等制度。规范捐赠物资管理和使用。</w:t>
      </w:r>
    </w:p>
    <w:p w14:paraId="19D48C36" w14:textId="77777777" w:rsidR="00EC2C51" w:rsidRDefault="00A971AA">
      <w:pPr>
        <w:pStyle w:val="HTML1"/>
        <w:widowControl/>
        <w:ind w:firstLineChars="200" w:firstLine="620"/>
        <w:rPr>
          <w:rFonts w:ascii="仿宋_GB2312" w:eastAsia="仿宋_GB2312" w:cs="仿宋_GB2312" w:hint="default"/>
          <w:color w:val="000000"/>
          <w:sz w:val="31"/>
          <w:szCs w:val="31"/>
        </w:rPr>
      </w:pPr>
      <w:r>
        <w:rPr>
          <w:rFonts w:ascii="仿宋_GB2312" w:eastAsia="仿宋_GB2312" w:cs="仿宋_GB2312"/>
          <w:color w:val="000000"/>
          <w:sz w:val="31"/>
          <w:szCs w:val="31"/>
        </w:rPr>
        <w:t>2.完善应急物资采储调配体系。分级分类评估应急物资需求，制定应急物资储备计划，健全应急物资分级分类储备标准，完善应急物资储备目录。科学确定各类应急物资政府实物储备、企业（商业）储备、产能储备和社会化储备的比例及数量，优化应急物资储备布局，积极探索建立以政府储备为主，商业和企业生产能力储备为辅的应急救灾物资储备机制。其一，政府实物储备。按照统分结合和</w:t>
      </w:r>
      <w:proofErr w:type="gramStart"/>
      <w:r>
        <w:rPr>
          <w:rFonts w:ascii="仿宋_GB2312" w:eastAsia="仿宋_GB2312" w:cs="仿宋_GB2312"/>
          <w:color w:val="000000"/>
          <w:sz w:val="31"/>
          <w:szCs w:val="31"/>
        </w:rPr>
        <w:t>仓配</w:t>
      </w:r>
      <w:proofErr w:type="gramEnd"/>
      <w:r>
        <w:rPr>
          <w:rFonts w:ascii="仿宋_GB2312" w:eastAsia="仿宋_GB2312" w:cs="仿宋_GB2312"/>
          <w:color w:val="000000"/>
          <w:sz w:val="31"/>
          <w:szCs w:val="31"/>
        </w:rPr>
        <w:t>一体化模式，优化提升仓储设施建设布局，加快综合应急物资储备库、专业性应急物资仓库、部门应急物资储备点建设。依托专业救援队伍加强应急救援装备储备。拓宽应急物资采储渠道，加强政府储备物资管理，强化物资储备和管理情况督导检查。其二，企业（商业）储备和产能储备。全面系统开展重要应急物资区域产能布局调查，</w:t>
      </w:r>
      <w:r>
        <w:rPr>
          <w:rFonts w:ascii="仿宋_GB2312" w:eastAsia="仿宋_GB2312" w:cs="仿宋_GB2312"/>
          <w:color w:val="000000"/>
          <w:sz w:val="31"/>
          <w:szCs w:val="31"/>
        </w:rPr>
        <w:lastRenderedPageBreak/>
        <w:t>大力支持产能备份建设，优化重要应急物资生产能力布局，健全应急物资生产、供销企业名录和重点企业储备数据库，编制应急物资供应链分布图。建立完善平战转换机制，增强应急物资转产能力，畅通应急物资生产供应渠道，实现产品储备与产能储备相衔接，确保极端情况下应急物资峰值需求的生产供应。其三，社会化储备。建立应急物资社会化储备制度，统筹利用企业、个人仓储设施，采取协议储备、协议供货、委托代储等多种方式，实施应急物资社会化储备。推广应急物资集装单元化，鼓励、引导、指导企事业单位、社会组织和家庭储备必要的应急物资。</w:t>
      </w:r>
    </w:p>
    <w:p w14:paraId="0A13BDA6" w14:textId="77777777" w:rsidR="00EC2C51" w:rsidRDefault="00A971AA">
      <w:pPr>
        <w:pStyle w:val="HTML1"/>
        <w:widowControl/>
        <w:ind w:firstLineChars="200" w:firstLine="620"/>
        <w:rPr>
          <w:rFonts w:hint="default"/>
        </w:rPr>
      </w:pPr>
      <w:r>
        <w:rPr>
          <w:rFonts w:ascii="仿宋_GB2312" w:eastAsia="仿宋_GB2312" w:cs="仿宋_GB2312"/>
          <w:color w:val="000000"/>
          <w:sz w:val="31"/>
          <w:szCs w:val="31"/>
        </w:rPr>
        <w:t>3.加强应急通信保障体系建设。在现有专业信息与指挥系统基础上，着力推进全区综合应急平台的建设，形成完整、统一、高效的应急管理信息与指挥协调体系，实现各级政府间应急平台之间的互联互通，应急信息资源整合与共享，健全信息综合</w:t>
      </w:r>
      <w:proofErr w:type="gramStart"/>
      <w:r>
        <w:rPr>
          <w:rFonts w:ascii="仿宋_GB2312" w:eastAsia="仿宋_GB2312" w:cs="仿宋_GB2312"/>
          <w:color w:val="000000"/>
          <w:sz w:val="31"/>
          <w:szCs w:val="31"/>
        </w:rPr>
        <w:t>研</w:t>
      </w:r>
      <w:proofErr w:type="gramEnd"/>
      <w:r>
        <w:rPr>
          <w:rFonts w:ascii="仿宋_GB2312" w:eastAsia="仿宋_GB2312" w:cs="仿宋_GB2312"/>
          <w:color w:val="000000"/>
          <w:sz w:val="31"/>
          <w:szCs w:val="31"/>
        </w:rPr>
        <w:t>判、指挥调度、辅助决策和总结评估等功能。启动建设全区应急资源“一张图”，建立应急数据动态管理和实时更新机制，实现跨平台、跨部门信息共享。加强应急平台应用终端采集能力建设，通过应急指挥车、移动应急小平台、无人飞机、应急手机等装备实现突发事件视频、图像、灾情等信息的快速传递和报送。</w:t>
      </w:r>
    </w:p>
    <w:p w14:paraId="325F4E77" w14:textId="77777777" w:rsidR="00EC2C51" w:rsidRDefault="00A971AA">
      <w:pPr>
        <w:pStyle w:val="HTML1"/>
        <w:widowControl/>
        <w:ind w:firstLine="640"/>
        <w:outlineLvl w:val="1"/>
        <w:rPr>
          <w:rFonts w:hint="default"/>
        </w:rPr>
      </w:pPr>
      <w:bookmarkStart w:id="22" w:name="_Toc4822"/>
      <w:r>
        <w:rPr>
          <w:rFonts w:ascii="楷体_GB2312" w:eastAsia="楷体_GB2312" w:cs="楷体_GB2312"/>
          <w:color w:val="000000"/>
          <w:sz w:val="31"/>
          <w:szCs w:val="31"/>
        </w:rPr>
        <w:t>（九）加强恢复重建体系建设</w:t>
      </w:r>
      <w:bookmarkEnd w:id="22"/>
    </w:p>
    <w:p w14:paraId="0D51F7D0" w14:textId="77777777" w:rsidR="00EC2C51" w:rsidRDefault="00A971AA">
      <w:pPr>
        <w:pStyle w:val="HTML1"/>
        <w:widowControl/>
        <w:ind w:firstLine="640"/>
        <w:rPr>
          <w:rFonts w:hint="default"/>
        </w:rPr>
      </w:pPr>
      <w:r>
        <w:rPr>
          <w:rFonts w:ascii="仿宋_GB2312" w:eastAsia="仿宋_GB2312" w:cs="仿宋_GB2312"/>
          <w:color w:val="000000"/>
          <w:sz w:val="31"/>
          <w:szCs w:val="31"/>
        </w:rPr>
        <w:lastRenderedPageBreak/>
        <w:t>1.提升灾害现场恢复能力。建立健全抗灾救灾快速反应机制，保证灾后24小时安置和救助措施基本到位。重点加强供水、供电、供气、排水、交通、通信等生命线工程紧急抢修和临时转移安置能力建设，尽快恢复受影响地区的生产生活和社会治安秩序。建立健全现场灾情信息通报机制，提供必要的心理疏导服务。加强灾害现场疫病防治和环境污染消除能力建设，配备必要的防护装备与处理设备，防止次生、衍生事件的发生。</w:t>
      </w:r>
    </w:p>
    <w:p w14:paraId="1C9C8C1B" w14:textId="77777777" w:rsidR="00EC2C51" w:rsidRDefault="00A971AA">
      <w:pPr>
        <w:widowControl/>
        <w:ind w:firstLineChars="200" w:firstLine="620"/>
        <w:jc w:val="left"/>
      </w:pPr>
      <w:r>
        <w:rPr>
          <w:rFonts w:ascii="仿宋_GB2312" w:eastAsia="仿宋_GB2312" w:cs="仿宋_GB2312" w:hint="eastAsia"/>
          <w:color w:val="000000"/>
          <w:sz w:val="31"/>
          <w:szCs w:val="31"/>
        </w:rPr>
        <w:t>2.加强恢复重建机制建设。建立健全灾情损失评估机制，完善报灾核灾流程和方式，因地制宜、科学制定恢复重建和发展规</w:t>
      </w:r>
      <w:r>
        <w:rPr>
          <w:rFonts w:ascii="仿宋_GB2312" w:eastAsia="仿宋_GB2312" w:hAnsi="宋体" w:cs="仿宋_GB2312"/>
          <w:color w:val="000000"/>
          <w:kern w:val="0"/>
          <w:sz w:val="31"/>
          <w:szCs w:val="31"/>
        </w:rPr>
        <w:t>划，落实资金、物资和技术保障，有序开展恢复重建工作。建立</w:t>
      </w:r>
      <w:r>
        <w:rPr>
          <w:rFonts w:ascii="仿宋_GB2312" w:eastAsia="仿宋_GB2312" w:cs="仿宋_GB2312" w:hint="eastAsia"/>
          <w:color w:val="000000"/>
          <w:sz w:val="31"/>
          <w:szCs w:val="31"/>
        </w:rPr>
        <w:t>健全救灾减灾协调会办机制，积极开展对口支援。健全重大灾害快速拨付机制和财政救灾资金投入机制，全面落实恢复重建项目管理制度和恢复重建资金监管制度。</w:t>
      </w:r>
    </w:p>
    <w:p w14:paraId="3CB79B5C" w14:textId="77777777" w:rsidR="00EC2C51" w:rsidRDefault="00A971AA">
      <w:pPr>
        <w:pStyle w:val="HTML1"/>
        <w:widowControl/>
        <w:ind w:firstLine="640"/>
        <w:rPr>
          <w:rFonts w:hint="default"/>
        </w:rPr>
      </w:pPr>
      <w:r>
        <w:rPr>
          <w:rFonts w:ascii="仿宋_GB2312" w:eastAsia="仿宋_GB2312" w:cs="仿宋_GB2312"/>
          <w:color w:val="000000"/>
          <w:sz w:val="31"/>
          <w:szCs w:val="31"/>
        </w:rPr>
        <w:t>3.健全调查评估机制。建立健全各类突发事件调查评估机制，规范调查评估程序、内容和方法。建立灾害评估专家会商制度，探索建立依托相关科研院所、专家团体和企业的第三</w:t>
      </w:r>
      <w:proofErr w:type="gramStart"/>
      <w:r>
        <w:rPr>
          <w:rFonts w:ascii="仿宋_GB2312" w:eastAsia="仿宋_GB2312" w:cs="仿宋_GB2312"/>
          <w:color w:val="000000"/>
          <w:sz w:val="31"/>
          <w:szCs w:val="31"/>
        </w:rPr>
        <w:t>方专业</w:t>
      </w:r>
      <w:proofErr w:type="gramEnd"/>
      <w:r>
        <w:rPr>
          <w:rFonts w:ascii="仿宋_GB2312" w:eastAsia="仿宋_GB2312" w:cs="仿宋_GB2312"/>
          <w:color w:val="000000"/>
          <w:sz w:val="31"/>
          <w:szCs w:val="31"/>
        </w:rPr>
        <w:t>风险评估机制。加强灾害评估和恢复重建规划能力建设，开展地震、洪涝、干旱、暴雪、大风、地质灾害、森林火灾、突发环境事件、重大传染病疫情、群体性不明原因疾病等调查评估。建立健全突发事件应对总结评估报告机制和突发事件案例库，落实事故灾难调查和责任追究制度。</w:t>
      </w:r>
    </w:p>
    <w:p w14:paraId="6ACFF10F" w14:textId="77777777" w:rsidR="00EC2C51" w:rsidRDefault="00A971AA">
      <w:pPr>
        <w:pStyle w:val="HTML1"/>
        <w:widowControl/>
        <w:ind w:firstLine="640"/>
        <w:rPr>
          <w:rFonts w:hint="default"/>
        </w:rPr>
      </w:pPr>
      <w:r>
        <w:rPr>
          <w:rFonts w:ascii="仿宋_GB2312" w:eastAsia="仿宋_GB2312" w:cs="仿宋_GB2312"/>
          <w:color w:val="000000"/>
          <w:sz w:val="31"/>
          <w:szCs w:val="31"/>
        </w:rPr>
        <w:lastRenderedPageBreak/>
        <w:t>4.完善社会救助体系。充分调动多方面积极性，倡导社会互助，整合利用社会资源力量，构建全社会救助服务体系。进一步完善自然灾害保险制度，拓宽资金筹措渠道，逐步建立政府财政投入、社会保险和捐助相结合，多种资金来源共同支撑的救灾和恢复重建投入机制。完善全区社会救助平台和激励机制，支持鼓励社会组织、专家和志愿者参与恢复重建工作。</w:t>
      </w:r>
    </w:p>
    <w:p w14:paraId="465FC815" w14:textId="77777777" w:rsidR="00EC2C51" w:rsidRDefault="00A971AA">
      <w:pPr>
        <w:pStyle w:val="HTML1"/>
        <w:widowControl/>
        <w:ind w:firstLine="640"/>
        <w:outlineLvl w:val="1"/>
        <w:rPr>
          <w:rFonts w:ascii="楷体_GB2312" w:eastAsia="楷体_GB2312" w:cs="楷体_GB2312" w:hint="default"/>
          <w:color w:val="000000"/>
          <w:sz w:val="31"/>
          <w:szCs w:val="31"/>
        </w:rPr>
      </w:pPr>
      <w:bookmarkStart w:id="23" w:name="_Toc30076"/>
      <w:r>
        <w:rPr>
          <w:rFonts w:ascii="楷体_GB2312" w:eastAsia="楷体_GB2312" w:cs="楷体_GB2312"/>
          <w:color w:val="000000"/>
          <w:sz w:val="31"/>
          <w:szCs w:val="31"/>
        </w:rPr>
        <w:t>（十）夯实应急宣教培训体系建设</w:t>
      </w:r>
      <w:bookmarkEnd w:id="23"/>
    </w:p>
    <w:p w14:paraId="638B9C60" w14:textId="77777777" w:rsidR="00EC2C51" w:rsidRDefault="00A971AA">
      <w:pPr>
        <w:pStyle w:val="HTML1"/>
        <w:widowControl/>
        <w:ind w:firstLine="640"/>
        <w:rPr>
          <w:rFonts w:hint="default"/>
        </w:rPr>
      </w:pPr>
      <w:r>
        <w:rPr>
          <w:rFonts w:ascii="仿宋_GB2312" w:eastAsia="仿宋_GB2312" w:cs="仿宋_GB2312"/>
          <w:color w:val="000000"/>
          <w:sz w:val="31"/>
          <w:szCs w:val="31"/>
        </w:rPr>
        <w:t>开展全方位、常态化的应急宣教体系，将应急宣教活动纳入到精神文明建设体系中。普及应急基础知识和基本技能，完善面向社区和公众的应急科普宣教渠道，提高公众避险逃生意识和自救互救能力。依托区属媒体，利用报刊、广播、电视、网站、</w:t>
      </w:r>
      <w:proofErr w:type="gramStart"/>
      <w:r>
        <w:rPr>
          <w:rFonts w:ascii="仿宋_GB2312" w:eastAsia="仿宋_GB2312" w:cs="仿宋_GB2312"/>
          <w:color w:val="000000"/>
          <w:sz w:val="31"/>
          <w:szCs w:val="31"/>
        </w:rPr>
        <w:t>抖音等</w:t>
      </w:r>
      <w:proofErr w:type="gramEnd"/>
      <w:r>
        <w:rPr>
          <w:rFonts w:ascii="仿宋_GB2312" w:eastAsia="仿宋_GB2312" w:cs="仿宋_GB2312"/>
          <w:color w:val="000000"/>
          <w:sz w:val="31"/>
          <w:szCs w:val="31"/>
        </w:rPr>
        <w:t>各类媒体，开展应急知识科普宣教。深入开展“安全生产月”“全国防灾减灾日”“全国消防日”、“国际减灾日”、“森林草原消防日”等系列主题宣传教育活动。拓展应急宣教手段，推动应急知识宣传片、公益广告、文艺作品的创作和制播，推动安全科普知识进家庭、进企业、进学校、进社区、进农村“五进”活动的深入开展，营造全区共同参与应急管理的良好氛围。</w:t>
      </w:r>
    </w:p>
    <w:p w14:paraId="7DFB0B67" w14:textId="77777777" w:rsidR="00EC2C51" w:rsidRDefault="00A971AA">
      <w:pPr>
        <w:pStyle w:val="HTML1"/>
        <w:widowControl/>
        <w:ind w:firstLine="640"/>
        <w:outlineLvl w:val="0"/>
        <w:rPr>
          <w:rFonts w:hint="default"/>
        </w:rPr>
      </w:pPr>
      <w:bookmarkStart w:id="24" w:name="_Toc17351"/>
      <w:r>
        <w:rPr>
          <w:rFonts w:ascii="黑体" w:eastAsia="黑体" w:cs="黑体"/>
          <w:color w:val="000000"/>
          <w:sz w:val="31"/>
          <w:szCs w:val="31"/>
        </w:rPr>
        <w:t>四、重点建设项目</w:t>
      </w:r>
      <w:bookmarkEnd w:id="24"/>
    </w:p>
    <w:p w14:paraId="22F16A47" w14:textId="77777777" w:rsidR="00EC2C51" w:rsidRDefault="00A971AA">
      <w:pPr>
        <w:pStyle w:val="HTML1"/>
        <w:widowControl/>
        <w:ind w:firstLine="640"/>
        <w:outlineLvl w:val="1"/>
        <w:rPr>
          <w:rFonts w:eastAsia="仿宋_GB2312" w:hint="default"/>
        </w:rPr>
      </w:pPr>
      <w:bookmarkStart w:id="25" w:name="_Toc25504"/>
      <w:r>
        <w:rPr>
          <w:rFonts w:ascii="楷体_GB2312" w:eastAsia="楷体_GB2312" w:cs="楷体_GB2312"/>
          <w:color w:val="000000"/>
          <w:sz w:val="31"/>
          <w:szCs w:val="31"/>
        </w:rPr>
        <w:t>（一）</w:t>
      </w:r>
      <w:r>
        <w:rPr>
          <w:rFonts w:ascii="仿宋_GB2312" w:eastAsia="仿宋_GB2312" w:cs="仿宋_GB2312"/>
          <w:color w:val="000000"/>
          <w:sz w:val="31"/>
          <w:szCs w:val="31"/>
        </w:rPr>
        <w:t>康巴什区智慧应急管理平台项目</w:t>
      </w:r>
      <w:bookmarkEnd w:id="25"/>
    </w:p>
    <w:p w14:paraId="2286E303" w14:textId="77777777" w:rsidR="00EC2C51" w:rsidRDefault="00A971AA">
      <w:pPr>
        <w:pStyle w:val="HTML1"/>
        <w:widowControl/>
        <w:ind w:firstLine="640"/>
        <w:rPr>
          <w:rFonts w:ascii="仿宋_GB2312" w:eastAsia="仿宋_GB2312" w:cs="仿宋_GB2312" w:hint="default"/>
          <w:color w:val="000000"/>
          <w:sz w:val="31"/>
          <w:szCs w:val="31"/>
        </w:rPr>
      </w:pPr>
      <w:r>
        <w:rPr>
          <w:rFonts w:ascii="仿宋_GB2312" w:eastAsia="仿宋_GB2312" w:cs="仿宋_GB2312"/>
          <w:color w:val="000000"/>
          <w:sz w:val="31"/>
          <w:szCs w:val="31"/>
        </w:rPr>
        <w:t>建设内容：主要包括完成康巴什区智慧应急管理平台数字底板建设，以会展中心为圆点完成周边半径3公里的数字底板</w:t>
      </w:r>
      <w:r>
        <w:rPr>
          <w:rFonts w:ascii="仿宋_GB2312" w:eastAsia="仿宋_GB2312" w:cs="仿宋_GB2312"/>
          <w:color w:val="000000"/>
          <w:sz w:val="31"/>
          <w:szCs w:val="31"/>
        </w:rPr>
        <w:lastRenderedPageBreak/>
        <w:t>还原建设。应急管理平台项目主要功能或目标：实现国际会展中心和康巴什区第三小学为精细化建模还原，部署智慧用电模块并完成各项应急和相关数据采集及数据可视化接入。最终满足打造“应急管理+智慧网络”基层应急管理新模式，选取“鄂尔多斯国际会展中心”和“康巴什区第三小学”作为“一网统管管理”试点单位，打造康巴什区智慧应急管理平台，为政府提供不间断的数据跟踪、安全及智慧管控服务，有效提升城市快速应对和妥善处置各类突发事件的能力，全面实现依法应急、科学应急、智慧应急，形成共建共治共享的应急管理新格局。</w:t>
      </w:r>
    </w:p>
    <w:p w14:paraId="2BBFACED" w14:textId="77777777" w:rsidR="00EC2C51" w:rsidRDefault="00EC2C51">
      <w:pPr>
        <w:pStyle w:val="HTML1"/>
        <w:widowControl/>
        <w:ind w:firstLineChars="200" w:firstLine="480"/>
        <w:rPr>
          <w:rFonts w:hint="default"/>
        </w:rPr>
      </w:pPr>
    </w:p>
    <w:p w14:paraId="7359DAD5" w14:textId="77777777" w:rsidR="00EC2C51" w:rsidRDefault="00A971AA">
      <w:pPr>
        <w:pStyle w:val="HTML1"/>
        <w:widowControl/>
        <w:ind w:firstLine="640"/>
        <w:outlineLvl w:val="1"/>
        <w:rPr>
          <w:rFonts w:hint="default"/>
        </w:rPr>
      </w:pPr>
      <w:bookmarkStart w:id="26" w:name="_Toc23447"/>
      <w:r>
        <w:rPr>
          <w:rFonts w:ascii="楷体_GB2312" w:eastAsia="楷体_GB2312" w:cs="楷体_GB2312"/>
          <w:color w:val="000000"/>
          <w:sz w:val="31"/>
          <w:szCs w:val="31"/>
        </w:rPr>
        <w:t>（二）突发事件预警信息发布系统建设工程</w:t>
      </w:r>
      <w:bookmarkEnd w:id="26"/>
    </w:p>
    <w:p w14:paraId="592D1C4E" w14:textId="77777777" w:rsidR="00EC2C51" w:rsidRDefault="00A971AA">
      <w:pPr>
        <w:pStyle w:val="HTML1"/>
        <w:widowControl/>
        <w:ind w:firstLine="640"/>
        <w:rPr>
          <w:rFonts w:hint="default"/>
        </w:rPr>
      </w:pPr>
      <w:r>
        <w:rPr>
          <w:rFonts w:ascii="仿宋_GB2312" w:eastAsia="仿宋_GB2312" w:cs="仿宋_GB2312"/>
          <w:color w:val="000000"/>
          <w:sz w:val="31"/>
          <w:szCs w:val="31"/>
        </w:rPr>
        <w:t>按照国家突发事件预警信息发布系统建设要求以及《内蒙古突发事件预警信息发布管理办法（试行）》，建设康巴什区突发事件预警信息发布平台。依托气象部门现有业务系统和气象预警发布手段，整合康巴什区级政府和各专项指挥部的预警信息发布需求和预警信息发布手段，建设康巴什区突发事件预警信息发布系统(一期)，与国家级、自治区级、市级系统业务化对接，推动各类预警信息接入，协调各</w:t>
      </w:r>
      <w:proofErr w:type="gramStart"/>
      <w:r>
        <w:rPr>
          <w:rFonts w:ascii="仿宋_GB2312" w:eastAsia="仿宋_GB2312" w:cs="仿宋_GB2312"/>
          <w:color w:val="000000"/>
          <w:sz w:val="31"/>
          <w:szCs w:val="31"/>
        </w:rPr>
        <w:t>类发布</w:t>
      </w:r>
      <w:proofErr w:type="gramEnd"/>
      <w:r>
        <w:rPr>
          <w:rFonts w:ascii="仿宋_GB2312" w:eastAsia="仿宋_GB2312" w:cs="仿宋_GB2312"/>
          <w:color w:val="000000"/>
          <w:sz w:val="31"/>
          <w:szCs w:val="31"/>
        </w:rPr>
        <w:t>渠道资源，实现多种发布渠道的互联互通。实现突发事件预警信息分灾种、分区域、分群体、分时段的及时发布。</w:t>
      </w:r>
    </w:p>
    <w:p w14:paraId="32A3D126" w14:textId="77777777" w:rsidR="00EC2C51" w:rsidRDefault="00A971AA">
      <w:pPr>
        <w:pStyle w:val="HTML1"/>
        <w:widowControl/>
        <w:ind w:firstLine="640"/>
        <w:rPr>
          <w:rFonts w:ascii="仿宋_GB2312" w:eastAsia="仿宋_GB2312" w:cs="仿宋_GB2312" w:hint="default"/>
          <w:color w:val="000000"/>
          <w:sz w:val="31"/>
          <w:szCs w:val="31"/>
        </w:rPr>
      </w:pPr>
      <w:r>
        <w:rPr>
          <w:rFonts w:ascii="仿宋_GB2312" w:eastAsia="仿宋_GB2312" w:cs="仿宋_GB2312"/>
          <w:color w:val="000000"/>
          <w:sz w:val="31"/>
          <w:szCs w:val="31"/>
        </w:rPr>
        <w:lastRenderedPageBreak/>
        <w:t>建立预警信息接入工作机制，实现与农牧水利、自然资源、民政、公安、地震、交通、环保、卫健委等部门预警信息发布的对接，定期组织政府相关部门召开部门联席会议，了解部门需求，制定“气象预报预警+部门防御指引”的联合发布信息模板，进一步完善预警联动机制，充分利用各种预警信息发布平台和各种社会资源与传播载体，促进跨部门预警信息的无障碍共享，实现突发事件预警信息发布平台“一张网”。</w:t>
      </w:r>
    </w:p>
    <w:p w14:paraId="519B7F76" w14:textId="77777777" w:rsidR="00EC2C51" w:rsidRDefault="00A971AA">
      <w:pPr>
        <w:pStyle w:val="HTML1"/>
        <w:widowControl/>
        <w:ind w:firstLine="640"/>
        <w:rPr>
          <w:rFonts w:hint="default"/>
        </w:rPr>
      </w:pPr>
      <w:r>
        <w:rPr>
          <w:rFonts w:ascii="仿宋_GB2312" w:eastAsia="仿宋_GB2312" w:cs="仿宋_GB2312"/>
          <w:color w:val="000000"/>
          <w:sz w:val="31"/>
          <w:szCs w:val="31"/>
        </w:rPr>
        <w:t>进一步完善预警信息发布集中制，规范预警信息发布程序，依托广电系统、无线网络资源等完成针对不同群体的智能手机接收系统、预警专用接收子系统、预警电子显示屏子系统、有线广播电视前端接收子系统等建设，实现预警信息一键式发布的全方位、广覆盖。</w:t>
      </w:r>
    </w:p>
    <w:p w14:paraId="5575B7D8" w14:textId="77777777" w:rsidR="00EC2C51" w:rsidRDefault="00A971AA">
      <w:pPr>
        <w:pStyle w:val="HTML1"/>
        <w:widowControl/>
        <w:ind w:firstLine="640"/>
        <w:outlineLvl w:val="1"/>
        <w:rPr>
          <w:rFonts w:hint="default"/>
        </w:rPr>
      </w:pPr>
      <w:bookmarkStart w:id="27" w:name="_Toc17948"/>
      <w:r>
        <w:rPr>
          <w:rFonts w:ascii="楷体_GB2312" w:eastAsia="楷体_GB2312" w:cs="楷体_GB2312"/>
          <w:color w:val="000000"/>
          <w:sz w:val="31"/>
          <w:szCs w:val="31"/>
        </w:rPr>
        <w:t>（三）应急避难场所建设工程</w:t>
      </w:r>
      <w:bookmarkEnd w:id="27"/>
    </w:p>
    <w:p w14:paraId="201ABB7A" w14:textId="77777777" w:rsidR="00EC2C51" w:rsidRDefault="00A971AA">
      <w:pPr>
        <w:pStyle w:val="HTML1"/>
        <w:widowControl/>
        <w:ind w:firstLine="640"/>
        <w:rPr>
          <w:rFonts w:hint="default"/>
        </w:rPr>
      </w:pPr>
      <w:r>
        <w:rPr>
          <w:rFonts w:ascii="仿宋_GB2312" w:eastAsia="仿宋_GB2312" w:cs="仿宋_GB2312"/>
          <w:color w:val="000000"/>
          <w:sz w:val="31"/>
          <w:szCs w:val="31"/>
        </w:rPr>
        <w:t>建立区、街道两级应急避难场所体系。根据《城市社区应急避难场所建设标准》（建标〔2017〕25号），编制应急避难场所建设规划，将应急避难场所建设工程纳入到城市规划、民生建设工程和居民小区建设进程规划中，合理确定应急疏散场所和应急避难场所的分布，统筹安排应急避难场所必须的交通、供水、供电、排污等基础设施建设。建设部</w:t>
      </w:r>
      <w:proofErr w:type="gramStart"/>
      <w:r>
        <w:rPr>
          <w:rFonts w:ascii="仿宋_GB2312" w:eastAsia="仿宋_GB2312" w:cs="仿宋_GB2312"/>
          <w:color w:val="000000"/>
          <w:sz w:val="31"/>
          <w:szCs w:val="31"/>
        </w:rPr>
        <w:t>门选择</w:t>
      </w:r>
      <w:proofErr w:type="gramEnd"/>
      <w:r>
        <w:rPr>
          <w:rFonts w:ascii="仿宋_GB2312" w:eastAsia="仿宋_GB2312" w:cs="仿宋_GB2312"/>
          <w:color w:val="000000"/>
          <w:sz w:val="31"/>
          <w:szCs w:val="31"/>
        </w:rPr>
        <w:t>在城市广场、公园、成块绿地、学校操场和体育运动等空间面积较大的场所拓展应急避难功能，增建必要救灾设施，储备一定数量的应急器材和物资。通过改建、扩建、新建等方式，到2025</w:t>
      </w:r>
      <w:r>
        <w:rPr>
          <w:rFonts w:ascii="仿宋_GB2312" w:eastAsia="仿宋_GB2312" w:cs="仿宋_GB2312"/>
          <w:color w:val="000000"/>
          <w:sz w:val="31"/>
          <w:szCs w:val="31"/>
        </w:rPr>
        <w:lastRenderedPageBreak/>
        <w:t>年，康巴什区至少建设或建成1个Ⅰ类应急避难场所、2个Ⅱ类应急避难场所和5个Ⅲ类应急避难场所。并为全区范围内的应急避难场所制定配套的疏散安置预案，积极开展应急演练，重点推进区和街道应急避难场所的合理规划和应急避难场所设施的标志设置，建立相关标识标牌，实现紧急状态下人员的快速就近疏散。</w:t>
      </w:r>
    </w:p>
    <w:p w14:paraId="3C970146" w14:textId="77777777" w:rsidR="00EC2C51" w:rsidRDefault="00A971AA">
      <w:pPr>
        <w:pStyle w:val="HTML1"/>
        <w:widowControl/>
        <w:ind w:firstLine="640"/>
        <w:outlineLvl w:val="1"/>
        <w:rPr>
          <w:rFonts w:hint="default"/>
        </w:rPr>
      </w:pPr>
      <w:bookmarkStart w:id="28" w:name="_Toc17532"/>
      <w:r>
        <w:rPr>
          <w:rFonts w:ascii="楷体_GB2312" w:eastAsia="楷体_GB2312" w:cs="楷体_GB2312"/>
          <w:color w:val="000000"/>
          <w:sz w:val="31"/>
          <w:szCs w:val="31"/>
        </w:rPr>
        <w:t>（四）应急物资储备库建设工程</w:t>
      </w:r>
      <w:bookmarkEnd w:id="28"/>
    </w:p>
    <w:p w14:paraId="0818BEFD" w14:textId="77777777" w:rsidR="00EC2C51" w:rsidRDefault="00A971AA">
      <w:pPr>
        <w:pStyle w:val="HTML1"/>
        <w:widowControl/>
        <w:ind w:firstLineChars="200" w:firstLine="620"/>
        <w:rPr>
          <w:rFonts w:hint="default"/>
        </w:rPr>
      </w:pPr>
      <w:r>
        <w:rPr>
          <w:rFonts w:ascii="仿宋_GB2312" w:eastAsia="仿宋_GB2312" w:cs="仿宋_GB2312"/>
          <w:color w:val="000000"/>
          <w:sz w:val="31"/>
          <w:szCs w:val="31"/>
        </w:rPr>
        <w:t>建设内容：应急物资</w:t>
      </w:r>
      <w:proofErr w:type="gramStart"/>
      <w:r>
        <w:rPr>
          <w:rFonts w:ascii="仿宋_GB2312" w:eastAsia="仿宋_GB2312" w:cs="仿宋_GB2312"/>
          <w:color w:val="000000"/>
          <w:sz w:val="31"/>
          <w:szCs w:val="31"/>
        </w:rPr>
        <w:t>采购约</w:t>
      </w:r>
      <w:proofErr w:type="gramEnd"/>
      <w:r>
        <w:rPr>
          <w:rFonts w:ascii="仿宋_GB2312" w:eastAsia="仿宋_GB2312" w:cs="仿宋_GB2312"/>
          <w:color w:val="000000"/>
          <w:sz w:val="31"/>
          <w:szCs w:val="31"/>
        </w:rPr>
        <w:t xml:space="preserve"> 1000 万元，到2025年对全区应急管理装备、物资进行补充更新。应急物资分别配置到区应急管理局、区消防救援大队、区消防站、区人武部、各街道办事处。按照集中管理、统一调拨、平时服务、灾时应急、采储结合、节约高效的原则，建立应急资源储备调拨制度，明确相关部门职责分工，建立健全协调配合机制。在康巴什区重点区域、重点节点新建、改建、扩建一批应急物资储备库，如综合救灾物资储备库和危险化学品安全生产应急救援物资储备库、交通运输应急物资储备库、农林业应急物资储备库和森林草原防火应急物资储备库。加强防汛抗旱、生产安全、环境保护、森林草原防火、重大动物疫情、救灾备荒种子等应急储备，进一步加强对粮油、医药用品、防护帐篷等应急物资储备；尝试探索和建立多元化的应急物资储备模式，建立重要物资及应急物资生产、储备、征调和紧急配送制度，与社会单位、企业签订物资储存和供应协议，充分发挥社会各方在应急物资生产</w:t>
      </w:r>
      <w:r>
        <w:rPr>
          <w:rFonts w:ascii="仿宋_GB2312" w:eastAsia="仿宋_GB2312" w:cs="仿宋_GB2312"/>
          <w:color w:val="000000"/>
          <w:sz w:val="31"/>
          <w:szCs w:val="31"/>
        </w:rPr>
        <w:lastRenderedPageBreak/>
        <w:t>和储备方面的作用，实现社会储备与专业储备的有机结合，推动应急储备工作不断深化，保证应急处置工作和恢复重建工作物资保障需求。加强区应急物资储备库建设，推进多灾易灾街道、社区应急物资储备点建设，推动形成以市级储备为支撑、区级保障为依托、街道和社区储备为补充的应急物资储备保障网络。</w:t>
      </w:r>
    </w:p>
    <w:p w14:paraId="38639A3F" w14:textId="77777777" w:rsidR="00EC2C51" w:rsidRDefault="00A971AA">
      <w:pPr>
        <w:pStyle w:val="HTML1"/>
        <w:widowControl/>
        <w:ind w:firstLine="640"/>
        <w:outlineLvl w:val="1"/>
        <w:rPr>
          <w:rFonts w:hint="default"/>
        </w:rPr>
      </w:pPr>
      <w:bookmarkStart w:id="29" w:name="_Toc12292"/>
      <w:r>
        <w:rPr>
          <w:rFonts w:ascii="楷体_GB2312" w:eastAsia="楷体_GB2312" w:cs="楷体_GB2312"/>
          <w:color w:val="000000"/>
          <w:sz w:val="31"/>
          <w:szCs w:val="31"/>
        </w:rPr>
        <w:t>（五）综合应急救援训练场、营房建设</w:t>
      </w:r>
      <w:bookmarkEnd w:id="29"/>
    </w:p>
    <w:p w14:paraId="60212E6A" w14:textId="77777777" w:rsidR="00EC2C51" w:rsidRDefault="00A971AA">
      <w:pPr>
        <w:pStyle w:val="HTML1"/>
        <w:widowControl/>
        <w:ind w:firstLine="640"/>
        <w:rPr>
          <w:rFonts w:hint="default"/>
        </w:rPr>
      </w:pPr>
      <w:r>
        <w:rPr>
          <w:rFonts w:ascii="仿宋_GB2312" w:eastAsia="仿宋_GB2312" w:cs="仿宋_GB2312"/>
          <w:color w:val="000000"/>
          <w:sz w:val="31"/>
          <w:szCs w:val="31"/>
        </w:rPr>
        <w:t>建设内容：为适应“多灾种、大应急”需要，建成具有应急反应灵敏、功能结构合理、力量规模适度的</w:t>
      </w:r>
      <w:r>
        <w:rPr>
          <w:rFonts w:ascii="楷体_GB2312" w:eastAsia="楷体_GB2312" w:cs="楷体_GB2312"/>
          <w:color w:val="000000"/>
          <w:sz w:val="31"/>
          <w:szCs w:val="31"/>
        </w:rPr>
        <w:t>训练场和营房</w:t>
      </w:r>
      <w:r>
        <w:rPr>
          <w:rFonts w:ascii="仿宋_GB2312" w:eastAsia="仿宋_GB2312" w:cs="仿宋_GB2312"/>
          <w:color w:val="000000"/>
          <w:sz w:val="31"/>
          <w:szCs w:val="31"/>
        </w:rPr>
        <w:t>，承担森林草原火灾、防汛抗旱、地震救援、自然灾害、安全生产等多灾种应急救援任务，同时满足救援人员生活、训练及必要的物资储备。</w:t>
      </w:r>
    </w:p>
    <w:p w14:paraId="73FE75F1" w14:textId="77777777" w:rsidR="00EC2C51" w:rsidRDefault="00A971AA">
      <w:pPr>
        <w:pStyle w:val="HTML1"/>
        <w:widowControl/>
        <w:ind w:firstLine="640"/>
        <w:rPr>
          <w:rFonts w:hint="default"/>
        </w:rPr>
      </w:pPr>
      <w:r>
        <w:rPr>
          <w:rFonts w:ascii="仿宋_GB2312" w:eastAsia="仿宋_GB2312" w:cs="仿宋_GB2312"/>
          <w:color w:val="000000"/>
          <w:sz w:val="31"/>
          <w:szCs w:val="31"/>
        </w:rPr>
        <w:t>逐步建立救援基地基础设施，主要包括电话接警值班室、夜间值班休息室、培训室、装备室、器材修理室、救援器材库、汽车库、宿舍、食堂、氧气充填室、机具库；体能训练场地、演习训练、心理训练、</w:t>
      </w:r>
      <w:proofErr w:type="gramStart"/>
      <w:r>
        <w:rPr>
          <w:rFonts w:ascii="仿宋_GB2312" w:eastAsia="仿宋_GB2312" w:cs="仿宋_GB2312"/>
          <w:color w:val="000000"/>
          <w:sz w:val="31"/>
          <w:szCs w:val="31"/>
        </w:rPr>
        <w:t>烟热训练</w:t>
      </w:r>
      <w:proofErr w:type="gramEnd"/>
      <w:r>
        <w:rPr>
          <w:rFonts w:ascii="仿宋_GB2312" w:eastAsia="仿宋_GB2312" w:cs="仿宋_GB2312"/>
          <w:color w:val="000000"/>
          <w:sz w:val="31"/>
          <w:szCs w:val="31"/>
        </w:rPr>
        <w:t>、燃烧训练、火幕墙训练和建筑构件破拆支撑等基础技能训练设施；干粉泡沫药剂仓库、油料库等。配置救援基地救援装备器材，主要包括交通工具、抢险灭火机具、防护装备、通讯设备、信息采集与处理设备、仪器仪表、处理各类事故的专用装备与器材、医疗急救器材、防汛抢险物料、无人机、冲锋舟、水泵、发电机、照明设施、送水车、输水管、救生器材等。</w:t>
      </w:r>
    </w:p>
    <w:p w14:paraId="03FF8BCD" w14:textId="77777777" w:rsidR="00EC2C51" w:rsidRDefault="00A971AA">
      <w:pPr>
        <w:pStyle w:val="HTML1"/>
        <w:widowControl/>
        <w:ind w:firstLine="640"/>
        <w:outlineLvl w:val="1"/>
        <w:rPr>
          <w:rFonts w:hint="default"/>
        </w:rPr>
      </w:pPr>
      <w:bookmarkStart w:id="30" w:name="_Toc6179"/>
      <w:r>
        <w:rPr>
          <w:rFonts w:ascii="楷体_GB2312" w:eastAsia="楷体_GB2312" w:cs="楷体_GB2312"/>
          <w:color w:val="000000"/>
          <w:sz w:val="31"/>
          <w:szCs w:val="31"/>
        </w:rPr>
        <w:lastRenderedPageBreak/>
        <w:t>（六）建设国家</w:t>
      </w:r>
      <w:proofErr w:type="gramStart"/>
      <w:r>
        <w:rPr>
          <w:rFonts w:ascii="楷体_GB2312" w:eastAsia="楷体_GB2312" w:cs="楷体_GB2312"/>
          <w:color w:val="000000"/>
          <w:sz w:val="31"/>
          <w:szCs w:val="31"/>
        </w:rPr>
        <w:t>安全发展</w:t>
      </w:r>
      <w:proofErr w:type="gramEnd"/>
      <w:r>
        <w:rPr>
          <w:rFonts w:ascii="楷体_GB2312" w:eastAsia="楷体_GB2312" w:cs="楷体_GB2312"/>
          <w:color w:val="000000"/>
          <w:sz w:val="31"/>
          <w:szCs w:val="31"/>
        </w:rPr>
        <w:t>示范城市</w:t>
      </w:r>
      <w:bookmarkEnd w:id="30"/>
    </w:p>
    <w:p w14:paraId="7DA2E4A7" w14:textId="77777777" w:rsidR="00EC2C51" w:rsidRDefault="00A971AA">
      <w:pPr>
        <w:pStyle w:val="HTML1"/>
        <w:widowControl/>
        <w:ind w:firstLine="640"/>
        <w:rPr>
          <w:rFonts w:hint="default"/>
        </w:rPr>
      </w:pPr>
      <w:r>
        <w:rPr>
          <w:rFonts w:ascii="仿宋_GB2312" w:eastAsia="仿宋_GB2312" w:cs="仿宋_GB2312"/>
          <w:color w:val="000000"/>
          <w:sz w:val="31"/>
          <w:szCs w:val="31"/>
        </w:rPr>
        <w:t>推进康巴什区建设国家</w:t>
      </w:r>
      <w:proofErr w:type="gramStart"/>
      <w:r>
        <w:rPr>
          <w:rFonts w:ascii="仿宋_GB2312" w:eastAsia="仿宋_GB2312" w:cs="仿宋_GB2312"/>
          <w:color w:val="000000"/>
          <w:sz w:val="31"/>
          <w:szCs w:val="31"/>
        </w:rPr>
        <w:t>安全发展</w:t>
      </w:r>
      <w:proofErr w:type="gramEnd"/>
      <w:r>
        <w:rPr>
          <w:rFonts w:ascii="仿宋_GB2312" w:eastAsia="仿宋_GB2312" w:cs="仿宋_GB2312"/>
          <w:color w:val="000000"/>
          <w:sz w:val="31"/>
          <w:szCs w:val="31"/>
        </w:rPr>
        <w:t>示范城市，防范化解城市安全风险，落实完善城市运行管理及相关安全生产责任制，健全公共安全体系，打造共建共治共享的城市安全社会治理格局。</w:t>
      </w:r>
    </w:p>
    <w:p w14:paraId="6D2AC8CF" w14:textId="77777777" w:rsidR="00EC2C51" w:rsidRDefault="00A971AA">
      <w:pPr>
        <w:widowControl/>
        <w:jc w:val="left"/>
      </w:pPr>
      <w:r>
        <w:rPr>
          <w:rFonts w:ascii="仿宋_GB2312" w:eastAsia="仿宋_GB2312" w:cs="仿宋_GB2312" w:hint="eastAsia"/>
          <w:color w:val="000000"/>
          <w:sz w:val="31"/>
          <w:szCs w:val="31"/>
        </w:rPr>
        <w:t>一是周密部署，确保市政安全。开展市政工程普查，深入推进供排水、电力、通信、广电、燃气、供热、排洪、人防、路灯、地下管网</w:t>
      </w:r>
      <w:r>
        <w:rPr>
          <w:rFonts w:ascii="仿宋_GB2312" w:eastAsia="仿宋_GB2312" w:hAnsi="宋体" w:cs="仿宋_GB2312"/>
          <w:color w:val="000000"/>
          <w:kern w:val="0"/>
          <w:sz w:val="31"/>
          <w:szCs w:val="31"/>
        </w:rPr>
        <w:t>等市政工程系统普查，摸清底数和现状，提高市政设施安全管理</w:t>
      </w:r>
      <w:r>
        <w:rPr>
          <w:rFonts w:ascii="仿宋_GB2312" w:eastAsia="仿宋_GB2312" w:cs="仿宋_GB2312" w:hint="eastAsia"/>
          <w:color w:val="000000"/>
          <w:sz w:val="31"/>
          <w:szCs w:val="31"/>
        </w:rPr>
        <w:t>水平。二是严防严控，确保消防安全。“消防安全重于泰山”，在消防安全工程实施方面，要求严防人员密集场所火灾事故。深入开展商场、宾馆、公园、歌厅等公众聚集场所及学校、幼儿园、医院、养老院等人员密集场所火灾隐患排查治理；强化建筑消防设施维护保养，确保疏散通道、安全出口保持畅通，防火门、防火卷帘等完好有效，</w:t>
      </w:r>
      <w:proofErr w:type="gramStart"/>
      <w:r>
        <w:rPr>
          <w:rFonts w:ascii="仿宋_GB2312" w:eastAsia="仿宋_GB2312" w:cs="仿宋_GB2312" w:hint="eastAsia"/>
          <w:color w:val="000000"/>
          <w:sz w:val="31"/>
          <w:szCs w:val="31"/>
        </w:rPr>
        <w:t>其中中心</w:t>
      </w:r>
      <w:proofErr w:type="gramEnd"/>
      <w:r>
        <w:rPr>
          <w:rFonts w:ascii="仿宋_GB2312" w:eastAsia="仿宋_GB2312" w:cs="仿宋_GB2312" w:hint="eastAsia"/>
          <w:color w:val="000000"/>
          <w:sz w:val="31"/>
          <w:szCs w:val="31"/>
        </w:rPr>
        <w:t>城建筑自动消防设施维保率、完好率均应达到100%。三是强化基础，保障生产作业安全。落实企业安全生产主体责任，配齐企业安全管理人员，积极探索建立政府向企业派驻安全生产监督员制度。加强安全管理制度建设，督促指导企业全面梳理完善安全管理制度和操作规程，确保各项规章制度管用实用、科学有效，并切实得到落实。</w:t>
      </w:r>
    </w:p>
    <w:p w14:paraId="1D66AE01" w14:textId="77777777" w:rsidR="00EC2C51" w:rsidRDefault="00A971AA">
      <w:pPr>
        <w:pStyle w:val="HTML1"/>
        <w:widowControl/>
        <w:ind w:firstLine="640"/>
        <w:outlineLvl w:val="1"/>
        <w:rPr>
          <w:rFonts w:hint="default"/>
        </w:rPr>
      </w:pPr>
      <w:bookmarkStart w:id="31" w:name="_Toc910"/>
      <w:r>
        <w:rPr>
          <w:rFonts w:ascii="楷体_GB2312" w:eastAsia="楷体_GB2312" w:cs="楷体_GB2312"/>
          <w:color w:val="000000"/>
          <w:sz w:val="31"/>
          <w:szCs w:val="31"/>
        </w:rPr>
        <w:t>（七）应急管理示范社区建设</w:t>
      </w:r>
      <w:bookmarkEnd w:id="31"/>
    </w:p>
    <w:p w14:paraId="072E1922" w14:textId="77777777" w:rsidR="00EC2C51" w:rsidRDefault="00A971AA">
      <w:pPr>
        <w:widowControl/>
        <w:ind w:firstLineChars="200" w:firstLine="620"/>
        <w:jc w:val="left"/>
      </w:pPr>
      <w:r>
        <w:rPr>
          <w:rFonts w:ascii="仿宋_GB2312" w:eastAsia="仿宋_GB2312" w:cs="仿宋_GB2312" w:hint="eastAsia"/>
          <w:color w:val="000000"/>
          <w:sz w:val="31"/>
          <w:szCs w:val="31"/>
        </w:rPr>
        <w:lastRenderedPageBreak/>
        <w:t>推动落实全区应急管理示范社区建设活动，应专门成立由各部门及各街道等相关单位负责人组成的区应急管理示范社区建设工作领导小组，具体负责应急管理示范社区建设的组织领导和协调指导工作，并明确各成员单位的工作分工和责任，同时各镇、街道均专门成立应急管理示范社区建设领导小组，并落实</w:t>
      </w:r>
      <w:proofErr w:type="gramStart"/>
      <w:r>
        <w:rPr>
          <w:rFonts w:ascii="仿宋_GB2312" w:eastAsia="仿宋_GB2312" w:cs="仿宋_GB2312" w:hint="eastAsia"/>
          <w:color w:val="000000"/>
          <w:sz w:val="31"/>
          <w:szCs w:val="31"/>
        </w:rPr>
        <w:t>一</w:t>
      </w:r>
      <w:proofErr w:type="gramEnd"/>
      <w:r>
        <w:rPr>
          <w:rFonts w:ascii="仿宋_GB2312" w:eastAsia="仿宋_GB2312" w:cs="仿宋_GB2312" w:hint="eastAsia"/>
          <w:color w:val="000000"/>
          <w:sz w:val="31"/>
          <w:szCs w:val="31"/>
        </w:rPr>
        <w:t>名分管领导专抓，从而保证示范社区建设工作有人抓、有人做，确保各项工作的落实。精心部署示范社区建设各项工作，明确做法、任务，对示范社区建设的内容、标准及各个阶段、完成时间</w:t>
      </w:r>
      <w:proofErr w:type="gramStart"/>
      <w:r>
        <w:rPr>
          <w:rFonts w:ascii="仿宋_GB2312" w:eastAsia="仿宋_GB2312" w:cs="仿宋_GB2312" w:hint="eastAsia"/>
          <w:color w:val="000000"/>
          <w:sz w:val="31"/>
          <w:szCs w:val="31"/>
        </w:rPr>
        <w:t>作出</w:t>
      </w:r>
      <w:proofErr w:type="gramEnd"/>
      <w:r>
        <w:rPr>
          <w:rFonts w:ascii="仿宋_GB2312" w:eastAsia="仿宋_GB2312" w:cs="仿宋_GB2312" w:hint="eastAsia"/>
          <w:color w:val="000000"/>
          <w:sz w:val="31"/>
          <w:szCs w:val="31"/>
        </w:rPr>
        <w:t>具体要求。力争每两年建设1个应急管理示范社区，以点带</w:t>
      </w:r>
      <w:r>
        <w:rPr>
          <w:rFonts w:ascii="仿宋_GB2312" w:eastAsia="仿宋_GB2312" w:hAnsi="宋体" w:cs="仿宋_GB2312"/>
          <w:color w:val="000000"/>
          <w:kern w:val="0"/>
          <w:sz w:val="31"/>
          <w:szCs w:val="31"/>
        </w:rPr>
        <w:t>面，充分发挥示范社区的辐射带动作用，定期开展对应急管理示</w:t>
      </w:r>
      <w:r>
        <w:rPr>
          <w:rFonts w:ascii="仿宋_GB2312" w:eastAsia="仿宋_GB2312" w:cs="仿宋_GB2312" w:hint="eastAsia"/>
          <w:color w:val="000000"/>
          <w:sz w:val="31"/>
          <w:szCs w:val="31"/>
        </w:rPr>
        <w:t>范社区建设的检查、指导和考核，深入探索开展“全区应急管理示范社区”创建工作，打造出一批主题突出、管理规范、特色鲜明的综合应急管理示范镇街道、社区，全面提升康巴什区预防和处置突发事件的能力。</w:t>
      </w:r>
    </w:p>
    <w:p w14:paraId="0E86ECBF" w14:textId="77777777" w:rsidR="00EC2C51" w:rsidRDefault="00A971AA">
      <w:pPr>
        <w:widowControl/>
        <w:numPr>
          <w:ilvl w:val="0"/>
          <w:numId w:val="2"/>
        </w:numPr>
        <w:ind w:firstLineChars="200" w:firstLine="620"/>
        <w:jc w:val="left"/>
        <w:outlineLvl w:val="1"/>
        <w:rPr>
          <w:rFonts w:ascii="仿宋_GB2312" w:eastAsia="仿宋_GB2312" w:cs="仿宋_GB2312"/>
          <w:color w:val="000000"/>
          <w:sz w:val="31"/>
          <w:szCs w:val="31"/>
        </w:rPr>
      </w:pPr>
      <w:bookmarkStart w:id="32" w:name="_Toc10792"/>
      <w:r>
        <w:rPr>
          <w:rFonts w:ascii="仿宋_GB2312" w:eastAsia="仿宋_GB2312" w:cs="仿宋_GB2312" w:hint="eastAsia"/>
          <w:color w:val="000000"/>
          <w:sz w:val="31"/>
          <w:szCs w:val="31"/>
        </w:rPr>
        <w:t>基层防汛预报预警平台建设</w:t>
      </w:r>
      <w:bookmarkEnd w:id="32"/>
    </w:p>
    <w:p w14:paraId="6935021F" w14:textId="77777777" w:rsidR="00EC2C51" w:rsidRDefault="00A971AA">
      <w:pPr>
        <w:widowControl/>
        <w:ind w:firstLineChars="200" w:firstLine="620"/>
        <w:jc w:val="left"/>
        <w:rPr>
          <w:rFonts w:ascii="仿宋_GB2312" w:eastAsia="仿宋_GB2312" w:cs="仿宋_GB2312"/>
          <w:color w:val="000000"/>
          <w:sz w:val="31"/>
          <w:szCs w:val="31"/>
        </w:rPr>
      </w:pPr>
      <w:r>
        <w:rPr>
          <w:rFonts w:ascii="仿宋_GB2312" w:eastAsia="仿宋_GB2312" w:cs="仿宋_GB2312" w:hint="eastAsia"/>
          <w:color w:val="000000"/>
          <w:sz w:val="31"/>
          <w:szCs w:val="31"/>
        </w:rPr>
        <w:t>主要建设内容为：自动监测系统（4处自动雨</w:t>
      </w:r>
      <w:proofErr w:type="gramStart"/>
      <w:r>
        <w:rPr>
          <w:rFonts w:ascii="仿宋_GB2312" w:eastAsia="仿宋_GB2312" w:cs="仿宋_GB2312" w:hint="eastAsia"/>
          <w:color w:val="000000"/>
          <w:sz w:val="31"/>
          <w:szCs w:val="31"/>
        </w:rPr>
        <w:t>墒</w:t>
      </w:r>
      <w:proofErr w:type="gramEnd"/>
      <w:r>
        <w:rPr>
          <w:rFonts w:ascii="仿宋_GB2312" w:eastAsia="仿宋_GB2312" w:cs="仿宋_GB2312" w:hint="eastAsia"/>
          <w:color w:val="000000"/>
          <w:sz w:val="31"/>
          <w:szCs w:val="31"/>
        </w:rPr>
        <w:t>共享站、10处自动水位站、22处视频站、9处图像站）；预警设施设备（10处预警广播站、5处简易雨量站、15处简易水位站）；监测预警平台（监测预警平台、智慧河湖监管系统、洪涝系统的软件开发，无纸化会商系统等）。</w:t>
      </w:r>
    </w:p>
    <w:p w14:paraId="319F5BF2" w14:textId="77777777" w:rsidR="00EC2C51" w:rsidRDefault="00A971AA">
      <w:pPr>
        <w:pStyle w:val="21"/>
        <w:ind w:firstLineChars="200" w:firstLine="620"/>
        <w:rPr>
          <w:rFonts w:ascii="仿宋_GB2312" w:eastAsia="仿宋_GB2312" w:hAnsi="仿宋_GB2312" w:cs="仿宋_GB2312"/>
          <w:sz w:val="32"/>
          <w:szCs w:val="32"/>
        </w:rPr>
      </w:pPr>
      <w:r>
        <w:rPr>
          <w:rFonts w:ascii="仿宋_GB2312" w:eastAsia="仿宋_GB2312" w:cs="仿宋_GB2312" w:hint="eastAsia"/>
          <w:color w:val="000000"/>
          <w:sz w:val="31"/>
          <w:szCs w:val="31"/>
        </w:rPr>
        <w:t>主要功能为对主要河段、水库的雨水情监测通过智能可视化管理平台，实现河湖视频可视化管理、数据意图展示，实时</w:t>
      </w:r>
      <w:r>
        <w:rPr>
          <w:rFonts w:ascii="仿宋_GB2312" w:eastAsia="仿宋_GB2312" w:cs="仿宋_GB2312" w:hint="eastAsia"/>
          <w:color w:val="000000"/>
          <w:sz w:val="31"/>
          <w:szCs w:val="31"/>
        </w:rPr>
        <w:lastRenderedPageBreak/>
        <w:t xml:space="preserve">掌握河湖情况，实现全流域可监控、可视化、可监督、可喊话。      </w:t>
      </w:r>
      <w:r>
        <w:rPr>
          <w:rFonts w:ascii="仿宋_GB2312" w:eastAsia="仿宋_GB2312" w:hAnsi="仿宋_GB2312" w:cs="仿宋_GB2312" w:hint="eastAsia"/>
          <w:sz w:val="32"/>
          <w:szCs w:val="32"/>
        </w:rPr>
        <w:t>电子围栏系统服务：水库电子围栏系统，包含23台AI摄像机和配套供电系统及网络传输线路。在乌兰木伦水库周边布设电子围栏，对库区异常情况进行实时监测，包括对人员闯入、车辆驶入、异常船只等情况进行智能监测，提升乌兰木伦水库的安全等级，并降低巡护人员的管理压力。</w:t>
      </w:r>
    </w:p>
    <w:p w14:paraId="49970FFB" w14:textId="77777777" w:rsidR="00EC2C51" w:rsidRDefault="00A971AA">
      <w:pPr>
        <w:pStyle w:val="21"/>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淤地坝警戒系统服务：淤地坝警戒系统，主要包括视频监控、水位监测和喊话广播。建设水位监测系统并配套现场实时监控，可实现对淤地坝区的实时喊话，防止出现异常闯入带来的人员伤亡。</w:t>
      </w:r>
    </w:p>
    <w:p w14:paraId="434CEB72" w14:textId="77777777" w:rsidR="00EC2C51" w:rsidRDefault="00A971AA">
      <w:pPr>
        <w:pStyle w:val="21"/>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无人机动态巡检系统服务：无人机动态巡检系统服务主要包括无人机、无人机机库、无人机管理平台。多功能无人机可实现最大飞行距离7km、最大飞行海拔高度7000m、最大悬停时间30分钟、可抵御小雨及7级以下大风、拍摄高</w:t>
      </w:r>
      <w:proofErr w:type="gramStart"/>
      <w:r>
        <w:rPr>
          <w:rFonts w:ascii="仿宋_GB2312" w:eastAsia="仿宋_GB2312" w:hAnsi="仿宋_GB2312" w:cs="仿宋_GB2312" w:hint="eastAsia"/>
          <w:sz w:val="32"/>
          <w:szCs w:val="32"/>
        </w:rPr>
        <w:t>清照片</w:t>
      </w:r>
      <w:proofErr w:type="gramEnd"/>
      <w:r>
        <w:rPr>
          <w:rFonts w:ascii="仿宋_GB2312" w:eastAsia="仿宋_GB2312" w:hAnsi="仿宋_GB2312" w:cs="仿宋_GB2312" w:hint="eastAsia"/>
          <w:sz w:val="32"/>
          <w:szCs w:val="32"/>
        </w:rPr>
        <w:t>视频，模块化设计可搭载不同模块开展多种任务。利用无人机高空飞行的俯瞰视野、自主飞行巡逻能力以及夜间远红外探测能力,扩大流域信息采集面,形成有效的24小时监管覆盖,提升预警能力。</w:t>
      </w:r>
    </w:p>
    <w:p w14:paraId="78F15764" w14:textId="77777777" w:rsidR="00EC2C51" w:rsidRDefault="00A971AA">
      <w:pPr>
        <w:pStyle w:val="21"/>
        <w:ind w:firstLineChars="200" w:firstLine="640"/>
        <w:rPr>
          <w:rFonts w:ascii="仿宋_GB2312" w:eastAsia="仿宋_GB2312" w:cs="仿宋_GB2312"/>
          <w:color w:val="000000"/>
          <w:sz w:val="31"/>
          <w:szCs w:val="31"/>
        </w:rPr>
      </w:pPr>
      <w:r>
        <w:rPr>
          <w:rFonts w:ascii="仿宋_GB2312" w:eastAsia="仿宋_GB2312" w:hAnsi="仿宋_GB2312" w:cs="仿宋_GB2312" w:hint="eastAsia"/>
          <w:sz w:val="32"/>
          <w:szCs w:val="32"/>
        </w:rPr>
        <w:t>街道办终端系统服务：哈巴格希、青春山、滨河和康新等4个街道办事处终端访问系统。包括专线、显示设备和智能终端，及时掌握预警信息。</w:t>
      </w:r>
    </w:p>
    <w:p w14:paraId="5DB29582" w14:textId="77777777" w:rsidR="00EC2C51" w:rsidRDefault="00A971AA">
      <w:pPr>
        <w:pStyle w:val="HTML1"/>
        <w:widowControl/>
        <w:ind w:firstLine="640"/>
        <w:outlineLvl w:val="0"/>
        <w:rPr>
          <w:rFonts w:hint="default"/>
        </w:rPr>
      </w:pPr>
      <w:bookmarkStart w:id="33" w:name="_Toc16188"/>
      <w:r>
        <w:rPr>
          <w:rFonts w:ascii="黑体" w:eastAsia="黑体" w:cs="黑体"/>
          <w:color w:val="000000"/>
          <w:sz w:val="31"/>
          <w:szCs w:val="31"/>
        </w:rPr>
        <w:lastRenderedPageBreak/>
        <w:t>五、保障措施</w:t>
      </w:r>
      <w:bookmarkEnd w:id="33"/>
    </w:p>
    <w:p w14:paraId="271E7192" w14:textId="77777777" w:rsidR="00EC2C51" w:rsidRDefault="00A971AA">
      <w:pPr>
        <w:pStyle w:val="HTML1"/>
        <w:widowControl/>
        <w:ind w:firstLine="640"/>
        <w:outlineLvl w:val="1"/>
        <w:rPr>
          <w:rFonts w:ascii="楷体_GB2312" w:eastAsia="楷体_GB2312" w:cs="楷体_GB2312" w:hint="default"/>
          <w:color w:val="000000"/>
          <w:sz w:val="31"/>
          <w:szCs w:val="31"/>
        </w:rPr>
      </w:pPr>
      <w:bookmarkStart w:id="34" w:name="_Toc23305"/>
      <w:r>
        <w:rPr>
          <w:rFonts w:ascii="楷体_GB2312" w:eastAsia="楷体_GB2312" w:cs="楷体_GB2312"/>
          <w:color w:val="000000"/>
          <w:sz w:val="31"/>
          <w:szCs w:val="31"/>
        </w:rPr>
        <w:t>（一）加强组织领导，切实发挥规划引领作用</w:t>
      </w:r>
      <w:bookmarkEnd w:id="34"/>
    </w:p>
    <w:p w14:paraId="55F7C39B" w14:textId="77777777" w:rsidR="00EC2C51" w:rsidRDefault="00A971AA">
      <w:pPr>
        <w:pStyle w:val="HTML1"/>
        <w:widowControl/>
        <w:ind w:firstLine="640"/>
        <w:rPr>
          <w:rFonts w:hint="default"/>
        </w:rPr>
      </w:pPr>
      <w:r>
        <w:rPr>
          <w:rFonts w:ascii="仿宋_GB2312" w:eastAsia="仿宋_GB2312" w:cs="仿宋_GB2312"/>
          <w:color w:val="000000"/>
          <w:sz w:val="31"/>
          <w:szCs w:val="31"/>
        </w:rPr>
        <w:t>各级有关部门要充分认识加强应急体系建设的重要意义，将应急体系建设纳入本区域和本部门经济和社会发展规划中，做到同步规划、同步实施、同步推进，实现应急管理与经济社会协调发展。建立完善应急管理组织领导和工作协调机制，强化应急指挥机构和应急管理机构职能，及时协调解决应急管理工作中出现的重大问题。</w:t>
      </w:r>
    </w:p>
    <w:p w14:paraId="1D17FBC9" w14:textId="77777777" w:rsidR="00EC2C51" w:rsidRDefault="00A971AA">
      <w:pPr>
        <w:pStyle w:val="HTML1"/>
        <w:widowControl/>
        <w:ind w:firstLine="640"/>
        <w:outlineLvl w:val="1"/>
        <w:rPr>
          <w:rFonts w:hint="default"/>
        </w:rPr>
      </w:pPr>
      <w:bookmarkStart w:id="35" w:name="_Toc21875"/>
      <w:r>
        <w:rPr>
          <w:rFonts w:ascii="楷体_GB2312" w:eastAsia="楷体_GB2312" w:cs="楷体_GB2312"/>
          <w:color w:val="000000"/>
          <w:sz w:val="31"/>
          <w:szCs w:val="31"/>
        </w:rPr>
        <w:t>（二）强化协调配合，形成应急管理工作合力</w:t>
      </w:r>
      <w:bookmarkEnd w:id="35"/>
    </w:p>
    <w:p w14:paraId="3C2305C4" w14:textId="77777777" w:rsidR="00EC2C51" w:rsidRDefault="00A971AA">
      <w:pPr>
        <w:pStyle w:val="HTML1"/>
        <w:widowControl/>
        <w:ind w:firstLine="640"/>
        <w:rPr>
          <w:rFonts w:hint="default"/>
        </w:rPr>
      </w:pPr>
      <w:r>
        <w:rPr>
          <w:rFonts w:ascii="仿宋_GB2312" w:eastAsia="仿宋_GB2312" w:cs="仿宋_GB2312"/>
          <w:color w:val="000000"/>
          <w:sz w:val="31"/>
          <w:szCs w:val="31"/>
        </w:rPr>
        <w:t>区政府要加大规划实施的综合协调、统筹安排力度，做好各级应急体系建设规划之间以及与相关规划之间的衔接，充分利用好存量资源，避免重复建设。各街道、区有关部门要加强组织领导和协调配合，明确任务，落实责任，认真研究解决规划实施过程中存在的突出问题，调动一切积极因素，保障规划主要任务和重点建设项目全面顺利完成。</w:t>
      </w:r>
    </w:p>
    <w:p w14:paraId="26A10F70" w14:textId="77777777" w:rsidR="00EC2C51" w:rsidRDefault="00A971AA">
      <w:pPr>
        <w:pStyle w:val="HTML1"/>
        <w:widowControl/>
        <w:ind w:firstLine="640"/>
        <w:outlineLvl w:val="1"/>
        <w:rPr>
          <w:rFonts w:hint="default"/>
        </w:rPr>
      </w:pPr>
      <w:bookmarkStart w:id="36" w:name="_Toc8183"/>
      <w:r>
        <w:rPr>
          <w:rFonts w:ascii="楷体_GB2312" w:eastAsia="楷体_GB2312" w:cs="楷体_GB2312"/>
          <w:color w:val="000000"/>
          <w:sz w:val="31"/>
          <w:szCs w:val="31"/>
        </w:rPr>
        <w:t>（三）加大资金保障，确保应急工作顺利开展</w:t>
      </w:r>
      <w:bookmarkEnd w:id="36"/>
    </w:p>
    <w:p w14:paraId="0BDA105C" w14:textId="77777777" w:rsidR="00EC2C51" w:rsidRDefault="00A971AA">
      <w:pPr>
        <w:pStyle w:val="HTML1"/>
        <w:widowControl/>
        <w:ind w:firstLine="640"/>
        <w:rPr>
          <w:rFonts w:hint="default"/>
        </w:rPr>
      </w:pPr>
      <w:r>
        <w:rPr>
          <w:rFonts w:ascii="仿宋_GB2312" w:eastAsia="仿宋_GB2312" w:cs="仿宋_GB2312"/>
          <w:color w:val="000000"/>
          <w:sz w:val="31"/>
          <w:szCs w:val="31"/>
        </w:rPr>
        <w:t>按照事权和支出责任相适应的原则，全区各级政府要强化财政对规划实施的保障作用，加大应急能力建设经费投入力度，将相关应急基础设施建设纳入财政预算内基本建设计划，给予优先安排和保障。落实重点项目建成后的日常运行和维护资金，加大对应急体系建设项目投资的倾斜力度。发挥政策导向作用，开辟多元化的筹资渠道，积极引导社会各方面资金投</w:t>
      </w:r>
      <w:r>
        <w:rPr>
          <w:rFonts w:ascii="仿宋_GB2312" w:eastAsia="仿宋_GB2312" w:cs="仿宋_GB2312"/>
          <w:color w:val="000000"/>
          <w:sz w:val="31"/>
          <w:szCs w:val="31"/>
        </w:rPr>
        <w:lastRenderedPageBreak/>
        <w:t>入，建立健全政府、企业、社会各方面相结合的应急保障资金投入机制。</w:t>
      </w:r>
    </w:p>
    <w:p w14:paraId="47B256A3" w14:textId="77777777" w:rsidR="00EC2C51" w:rsidRDefault="00A971AA">
      <w:pPr>
        <w:pStyle w:val="HTML1"/>
        <w:widowControl/>
        <w:numPr>
          <w:ilvl w:val="0"/>
          <w:numId w:val="3"/>
        </w:numPr>
        <w:ind w:firstLine="640"/>
        <w:outlineLvl w:val="1"/>
        <w:rPr>
          <w:rFonts w:ascii="楷体_GB2312" w:eastAsia="楷体_GB2312" w:cs="楷体_GB2312" w:hint="default"/>
          <w:color w:val="000000"/>
          <w:sz w:val="31"/>
          <w:szCs w:val="31"/>
        </w:rPr>
      </w:pPr>
      <w:bookmarkStart w:id="37" w:name="_Toc27028"/>
      <w:r>
        <w:rPr>
          <w:rFonts w:ascii="楷体_GB2312" w:eastAsia="楷体_GB2312" w:cs="楷体_GB2312"/>
          <w:color w:val="000000"/>
          <w:sz w:val="31"/>
          <w:szCs w:val="31"/>
        </w:rPr>
        <w:t>健全人才保障，加强应急队伍建设</w:t>
      </w:r>
      <w:bookmarkEnd w:id="37"/>
    </w:p>
    <w:p w14:paraId="1FB2946B" w14:textId="77777777" w:rsidR="00EC2C51" w:rsidRDefault="00A971AA">
      <w:pPr>
        <w:pStyle w:val="HTML1"/>
        <w:widowControl/>
        <w:ind w:firstLineChars="200" w:firstLine="620"/>
        <w:rPr>
          <w:rFonts w:hint="default"/>
        </w:rPr>
      </w:pPr>
      <w:r>
        <w:rPr>
          <w:rFonts w:ascii="仿宋_GB2312" w:eastAsia="仿宋_GB2312" w:cs="仿宋_GB2312"/>
          <w:color w:val="000000"/>
          <w:sz w:val="31"/>
          <w:szCs w:val="31"/>
        </w:rPr>
        <w:t>紧密结合安全生产、防灾减灾救灾、应急管理等发展战略，统揽全局抓好各类人才队伍建设。强化应急管理干部、应急管理专家、基层灾害信息员、社会救援力量、志愿者服务人员等队伍建设。加强科学研究，培养安全生产、防灾减灾救灾、应急管理工程技术、抢险救灾等方面专业人才，全方位、多层次的开展专业人才教育培训，扩充人才队伍数量，优化人才队伍结构，提高人才队伍素质，形成一支能应对不同灾种，满足安全生产、防灾减灾救灾、应急管理需要，结构合理、素质优良、专业过硬的人才队伍。</w:t>
      </w:r>
    </w:p>
    <w:p w14:paraId="20F48140" w14:textId="77777777" w:rsidR="00EC2C51" w:rsidRDefault="00A971AA">
      <w:pPr>
        <w:pStyle w:val="HTML1"/>
        <w:widowControl/>
        <w:ind w:firstLine="640"/>
        <w:outlineLvl w:val="1"/>
        <w:rPr>
          <w:rFonts w:hint="default"/>
        </w:rPr>
      </w:pPr>
      <w:bookmarkStart w:id="38" w:name="_Toc19958"/>
      <w:r>
        <w:rPr>
          <w:rFonts w:ascii="楷体_GB2312" w:eastAsia="楷体_GB2312" w:cs="楷体_GB2312"/>
          <w:color w:val="000000"/>
          <w:sz w:val="31"/>
          <w:szCs w:val="31"/>
        </w:rPr>
        <w:t>（五）严格考核评估，加强应急管理督促检查</w:t>
      </w:r>
      <w:bookmarkEnd w:id="38"/>
    </w:p>
    <w:p w14:paraId="5F0F2673" w14:textId="77777777" w:rsidR="00EC2C51" w:rsidRDefault="00A971AA">
      <w:pPr>
        <w:pStyle w:val="HTML1"/>
        <w:widowControl/>
        <w:ind w:firstLine="640"/>
        <w:rPr>
          <w:rFonts w:hint="default"/>
        </w:rPr>
      </w:pPr>
      <w:r>
        <w:rPr>
          <w:rFonts w:ascii="仿宋_GB2312" w:eastAsia="仿宋_GB2312" w:cs="仿宋_GB2312"/>
          <w:color w:val="000000"/>
          <w:sz w:val="31"/>
          <w:szCs w:val="31"/>
        </w:rPr>
        <w:t>建立应急管理工作考核评估制度，将应急管理工作指标纳入各级政府和部门工作绩效考核体系。强化应急管理行政领导负责制和责任追究制，对突发事件处置不力的，或因迟报、漏报、谎报、瞒报等造成严重后果的，严肃追究相关单位和人员的责任。建立应急体系建设规划实施的目标责任制，对应急体系建设规划中的主要目标和建设任务进行分解，明确责任单位和完成时限，确保主要目标和建设任务顺利完成。</w:t>
      </w:r>
    </w:p>
    <w:p w14:paraId="6342FE70" w14:textId="77777777" w:rsidR="00EC2C51" w:rsidRDefault="00EC2C51">
      <w:pPr>
        <w:pStyle w:val="HTML1"/>
        <w:widowControl/>
        <w:ind w:firstLine="640"/>
        <w:rPr>
          <w:rFonts w:hint="default"/>
        </w:rPr>
      </w:pPr>
    </w:p>
    <w:p w14:paraId="1C2807C6" w14:textId="77777777" w:rsidR="00EC2C51" w:rsidRDefault="00EC2C51">
      <w:pPr>
        <w:pStyle w:val="HTML1"/>
        <w:widowControl/>
        <w:rPr>
          <w:rFonts w:hint="default"/>
        </w:rPr>
      </w:pPr>
    </w:p>
    <w:p w14:paraId="46BEFEC9" w14:textId="77777777" w:rsidR="00EC2C51" w:rsidRDefault="00EC2C51">
      <w:pPr>
        <w:pStyle w:val="HTML1"/>
        <w:widowControl/>
        <w:ind w:firstLineChars="200" w:firstLine="480"/>
        <w:rPr>
          <w:rFonts w:hint="default"/>
        </w:rPr>
      </w:pPr>
    </w:p>
    <w:p w14:paraId="28414647" w14:textId="77777777" w:rsidR="00EC2C51" w:rsidRDefault="00EC2C51">
      <w:pPr>
        <w:pStyle w:val="HTML1"/>
        <w:widowControl/>
        <w:rPr>
          <w:rFonts w:hint="default"/>
        </w:rPr>
      </w:pPr>
    </w:p>
    <w:p w14:paraId="6B31E2CA" w14:textId="77777777" w:rsidR="00EC2C51" w:rsidRDefault="00EC2C51">
      <w:pPr>
        <w:pStyle w:val="HTML1"/>
        <w:widowControl/>
        <w:jc w:val="center"/>
        <w:rPr>
          <w:rFonts w:ascii="方正小标宋_GBK" w:eastAsia="方正小标宋_GBK" w:hAnsi="方正小标宋_GBK" w:cs="方正小标宋_GBK" w:hint="default"/>
          <w:color w:val="000000"/>
          <w:sz w:val="36"/>
          <w:szCs w:val="36"/>
        </w:rPr>
      </w:pPr>
    </w:p>
    <w:p w14:paraId="73D646C8" w14:textId="77777777" w:rsidR="00EC2C51" w:rsidRDefault="00EC2C51">
      <w:pPr>
        <w:pStyle w:val="HTML1"/>
        <w:widowControl/>
        <w:jc w:val="center"/>
        <w:rPr>
          <w:rFonts w:ascii="方正小标宋_GBK" w:eastAsia="方正小标宋_GBK" w:hAnsi="方正小标宋_GBK" w:cs="方正小标宋_GBK" w:hint="default"/>
          <w:color w:val="000000"/>
          <w:sz w:val="36"/>
          <w:szCs w:val="36"/>
        </w:rPr>
      </w:pPr>
    </w:p>
    <w:p w14:paraId="7E6659F8" w14:textId="77777777" w:rsidR="00EC2C51" w:rsidRDefault="00EC2C51">
      <w:pPr>
        <w:pStyle w:val="HTML1"/>
        <w:widowControl/>
        <w:jc w:val="center"/>
        <w:rPr>
          <w:rFonts w:ascii="方正小标宋_GBK" w:eastAsia="方正小标宋_GBK" w:hAnsi="方正小标宋_GBK" w:cs="方正小标宋_GBK" w:hint="default"/>
          <w:color w:val="000000"/>
          <w:sz w:val="36"/>
          <w:szCs w:val="36"/>
        </w:rPr>
      </w:pPr>
    </w:p>
    <w:p w14:paraId="37966DEA" w14:textId="77777777" w:rsidR="00EC2C51" w:rsidRDefault="00EC2C51">
      <w:pPr>
        <w:pStyle w:val="HTML1"/>
        <w:widowControl/>
        <w:jc w:val="center"/>
        <w:rPr>
          <w:rFonts w:ascii="方正小标宋_GBK" w:eastAsia="方正小标宋_GBK" w:hAnsi="方正小标宋_GBK" w:cs="方正小标宋_GBK" w:hint="default"/>
          <w:color w:val="000000"/>
          <w:sz w:val="36"/>
          <w:szCs w:val="36"/>
        </w:rPr>
      </w:pPr>
    </w:p>
    <w:p w14:paraId="2103765D" w14:textId="77777777" w:rsidR="00EC2C51" w:rsidRDefault="00A971AA">
      <w:pPr>
        <w:pStyle w:val="HTML1"/>
        <w:widowControl/>
        <w:jc w:val="center"/>
        <w:outlineLvl w:val="0"/>
        <w:rPr>
          <w:rFonts w:hint="default"/>
        </w:rPr>
      </w:pPr>
      <w:bookmarkStart w:id="39" w:name="_Toc26386"/>
      <w:r>
        <w:rPr>
          <w:rFonts w:ascii="方正小标宋_GBK" w:eastAsia="方正小标宋_GBK" w:hAnsi="方正小标宋_GBK" w:cs="方正小标宋_GBK"/>
          <w:color w:val="000000"/>
          <w:sz w:val="36"/>
          <w:szCs w:val="36"/>
        </w:rPr>
        <w:t xml:space="preserve">第二篇 </w:t>
      </w:r>
      <w:r>
        <w:rPr>
          <w:rFonts w:ascii="方正小标宋_GBK" w:eastAsia="方正小标宋_GBK" w:hAnsi="方正小标宋_GBK" w:cs="方正小标宋_GBK" w:hint="default"/>
          <w:color w:val="000000"/>
          <w:sz w:val="36"/>
          <w:szCs w:val="36"/>
        </w:rPr>
        <w:t>安全生产“十四五”规划</w:t>
      </w:r>
      <w:bookmarkEnd w:id="39"/>
    </w:p>
    <w:p w14:paraId="1CE084C9" w14:textId="77777777" w:rsidR="00EC2C51" w:rsidRDefault="00EC2C51">
      <w:pPr>
        <w:pStyle w:val="HTML1"/>
        <w:widowControl/>
        <w:ind w:firstLineChars="200" w:firstLine="620"/>
        <w:rPr>
          <w:rFonts w:ascii="仿宋_GB2312" w:eastAsia="仿宋_GB2312" w:cs="仿宋_GB2312" w:hint="default"/>
          <w:color w:val="000000"/>
          <w:sz w:val="31"/>
          <w:szCs w:val="31"/>
        </w:rPr>
      </w:pPr>
    </w:p>
    <w:p w14:paraId="6C52D2EE" w14:textId="77777777" w:rsidR="00EC2C51" w:rsidRDefault="00A971AA">
      <w:pPr>
        <w:pStyle w:val="HTML1"/>
        <w:widowControl/>
        <w:ind w:firstLineChars="200" w:firstLine="620"/>
        <w:rPr>
          <w:rFonts w:hint="default"/>
        </w:rPr>
      </w:pPr>
      <w:r>
        <w:rPr>
          <w:rFonts w:ascii="仿宋_GB2312" w:eastAsia="仿宋_GB2312" w:cs="仿宋_GB2312"/>
          <w:color w:val="000000"/>
          <w:sz w:val="31"/>
          <w:szCs w:val="31"/>
        </w:rPr>
        <w:t>安全生产事关人民群众生命财产安全，事关改革发展和社会稳定大局，事关党和政府的形象和声誉，事关千家万户幸福安康。为深入贯彻落实《中华人民共和国安全生产法》，增强全民安全意识，构建安全责任体系，遏制重特大事故，全面提升城市安全保障水平，努力建设平安康巴什，为康巴什区经济社会发展创造良好的安全环境，康巴什区应急管理局组织编制了《鄂尔多斯市康巴什区安全生产“十四五”规划》。</w:t>
      </w:r>
    </w:p>
    <w:p w14:paraId="4072F257" w14:textId="77777777" w:rsidR="00EC2C51" w:rsidRDefault="00A971AA">
      <w:pPr>
        <w:widowControl/>
        <w:ind w:firstLineChars="200" w:firstLine="620"/>
        <w:jc w:val="left"/>
      </w:pPr>
      <w:r>
        <w:rPr>
          <w:rFonts w:ascii="仿宋_GB2312" w:eastAsia="仿宋_GB2312" w:cs="仿宋_GB2312" w:hint="eastAsia"/>
          <w:color w:val="000000"/>
          <w:sz w:val="31"/>
          <w:szCs w:val="31"/>
        </w:rPr>
        <w:t>本规划是康巴什区“十四五”时期的安全生产专项规划，规划编制依据《中华人民共和国安全生产法》《地方党政领导干部安全生产责任制规定》《中华人民共和国国民经济和社会发展第十四个五年规划和2035年远景目标纲要》《内蒙古自治区安全生产条例》《内蒙古自治区落实生产经营单位安全生产主体责任规定》《内蒙古自治区国民经济和社会发展第十四个五年规划和2035年远景目标纲要》《内蒙古自治区应急体系建设“十四五”规划》</w:t>
      </w:r>
      <w:r>
        <w:rPr>
          <w:rFonts w:ascii="仿宋_GB2312" w:eastAsia="仿宋_GB2312" w:hAnsi="宋体" w:cs="仿宋_GB2312" w:hint="eastAsia"/>
          <w:color w:val="000000"/>
          <w:kern w:val="0"/>
          <w:sz w:val="31"/>
          <w:szCs w:val="31"/>
        </w:rPr>
        <w:t>《鄂尔多斯市国民经济和社会发展第十四个五年规划和2035年</w:t>
      </w:r>
      <w:r>
        <w:rPr>
          <w:rFonts w:ascii="仿宋_GB2312" w:eastAsia="仿宋_GB2312" w:cs="仿宋_GB2312" w:hint="eastAsia"/>
          <w:color w:val="000000"/>
          <w:sz w:val="31"/>
          <w:szCs w:val="31"/>
        </w:rPr>
        <w:t>远景目标纲要》《康巴什区有关部</w:t>
      </w:r>
      <w:r>
        <w:rPr>
          <w:rFonts w:ascii="仿宋_GB2312" w:eastAsia="仿宋_GB2312" w:cs="仿宋_GB2312" w:hint="eastAsia"/>
          <w:color w:val="000000"/>
          <w:sz w:val="31"/>
          <w:szCs w:val="31"/>
        </w:rPr>
        <w:lastRenderedPageBreak/>
        <w:t>门和单位安全生产工作职责暂行规定》等法律法规和文件精神，结合康巴什区安全生产工作实际，提出2021年至2025年康巴什区安全生产工作的指导思想、规划目标、主要任务、重点工程和保障措施。本规划是康巴什区各有关部门依法履行安全生产监管职责、制定实施年度工作计划和各项政</w:t>
      </w:r>
      <w:r>
        <w:rPr>
          <w:rFonts w:ascii="仿宋_GB2312" w:eastAsia="仿宋_GB2312" w:hAnsi="宋体" w:cs="仿宋_GB2312"/>
          <w:color w:val="000000"/>
          <w:kern w:val="0"/>
          <w:sz w:val="31"/>
          <w:szCs w:val="31"/>
        </w:rPr>
        <w:t>策措施的重要依据，是今后五年</w:t>
      </w:r>
      <w:r>
        <w:rPr>
          <w:rFonts w:ascii="仿宋_GB2312" w:eastAsia="仿宋_GB2312" w:hAnsi="宋体" w:cs="仿宋_GB2312" w:hint="eastAsia"/>
          <w:color w:val="000000"/>
          <w:kern w:val="0"/>
          <w:sz w:val="31"/>
          <w:szCs w:val="31"/>
        </w:rPr>
        <w:t>康巴什区</w:t>
      </w:r>
      <w:r>
        <w:rPr>
          <w:rFonts w:ascii="仿宋_GB2312" w:eastAsia="仿宋_GB2312" w:hAnsi="宋体" w:cs="仿宋_GB2312"/>
          <w:color w:val="000000"/>
          <w:kern w:val="0"/>
          <w:sz w:val="31"/>
          <w:szCs w:val="31"/>
        </w:rPr>
        <w:t>安全生产工作的指导纲领。</w:t>
      </w:r>
    </w:p>
    <w:p w14:paraId="14C7D371" w14:textId="77777777" w:rsidR="00EC2C51" w:rsidRDefault="00A971AA">
      <w:pPr>
        <w:pStyle w:val="HTML1"/>
        <w:widowControl/>
        <w:ind w:firstLine="640"/>
        <w:outlineLvl w:val="0"/>
        <w:rPr>
          <w:rFonts w:hint="default"/>
        </w:rPr>
      </w:pPr>
      <w:bookmarkStart w:id="40" w:name="_Toc27429"/>
      <w:r>
        <w:rPr>
          <w:rFonts w:ascii="黑体" w:eastAsia="黑体" w:cs="黑体"/>
          <w:color w:val="000000"/>
          <w:sz w:val="31"/>
          <w:szCs w:val="31"/>
        </w:rPr>
        <w:t>一、现状与形势</w:t>
      </w:r>
      <w:bookmarkEnd w:id="40"/>
    </w:p>
    <w:p w14:paraId="510755BD" w14:textId="77777777" w:rsidR="00EC2C51" w:rsidRDefault="00A971AA">
      <w:pPr>
        <w:pStyle w:val="HTML1"/>
        <w:widowControl/>
        <w:ind w:firstLine="640"/>
        <w:outlineLvl w:val="1"/>
        <w:rPr>
          <w:rFonts w:hint="default"/>
        </w:rPr>
      </w:pPr>
      <w:bookmarkStart w:id="41" w:name="_Toc18981"/>
      <w:r>
        <w:rPr>
          <w:rFonts w:ascii="楷体_GB2312" w:eastAsia="楷体_GB2312" w:cs="楷体_GB2312"/>
          <w:color w:val="000000"/>
          <w:sz w:val="31"/>
          <w:szCs w:val="31"/>
        </w:rPr>
        <w:t>（一）发展现状</w:t>
      </w:r>
      <w:bookmarkEnd w:id="41"/>
    </w:p>
    <w:p w14:paraId="21711CA3" w14:textId="77777777" w:rsidR="00EC2C51" w:rsidRDefault="00A971AA">
      <w:pPr>
        <w:pStyle w:val="HTML1"/>
        <w:widowControl/>
        <w:ind w:firstLine="640"/>
        <w:outlineLvl w:val="2"/>
        <w:rPr>
          <w:rFonts w:hint="default"/>
        </w:rPr>
      </w:pPr>
      <w:bookmarkStart w:id="42" w:name="_Toc7979"/>
      <w:r>
        <w:rPr>
          <w:rFonts w:ascii="仿宋_GB2312" w:eastAsia="仿宋_GB2312" w:cs="仿宋_GB2312"/>
          <w:color w:val="000000"/>
          <w:sz w:val="31"/>
          <w:szCs w:val="31"/>
        </w:rPr>
        <w:t>1.设区以来的建设成效</w:t>
      </w:r>
      <w:bookmarkEnd w:id="42"/>
    </w:p>
    <w:p w14:paraId="0B645F0D" w14:textId="77777777" w:rsidR="00EC2C51" w:rsidRDefault="00A971AA">
      <w:pPr>
        <w:pStyle w:val="HTML1"/>
        <w:widowControl/>
        <w:ind w:firstLine="640"/>
        <w:rPr>
          <w:rFonts w:hint="default"/>
        </w:rPr>
      </w:pPr>
      <w:r>
        <w:rPr>
          <w:rFonts w:ascii="仿宋_GB2312" w:eastAsia="仿宋_GB2312" w:cs="仿宋_GB2312"/>
          <w:color w:val="000000"/>
          <w:sz w:val="31"/>
          <w:szCs w:val="31"/>
        </w:rPr>
        <w:t>设区期间，在康巴什区委、区政府的正确领导下，在鄂尔多斯市应急管理局的指导帮助下，康巴什区各级各部门高度重视安全生产工作，深入</w:t>
      </w:r>
      <w:proofErr w:type="gramStart"/>
      <w:r>
        <w:rPr>
          <w:rFonts w:ascii="仿宋_GB2312" w:eastAsia="仿宋_GB2312" w:cs="仿宋_GB2312"/>
          <w:color w:val="000000"/>
          <w:sz w:val="31"/>
          <w:szCs w:val="31"/>
        </w:rPr>
        <w:t>践行</w:t>
      </w:r>
      <w:proofErr w:type="gramEnd"/>
      <w:r>
        <w:rPr>
          <w:rFonts w:ascii="仿宋_GB2312" w:eastAsia="仿宋_GB2312" w:cs="仿宋_GB2312"/>
          <w:color w:val="000000"/>
          <w:sz w:val="31"/>
          <w:szCs w:val="31"/>
        </w:rPr>
        <w:t>习近平新时代中国特色社会主义思想，强化红线意识，坚守底线思维，切实做到“党政同责、一岗双责、齐抓共管、失职追责”，坚持“安全第一、预防为主、综合治理”的方针，把安全生产与社会发展各项工作同步规划、同步部署、同步推进，相继采取了一系列重要举措，以落实安全生产责任体系为核心，以贯彻落实各级党委、政府关于加强安全生产工作的一系列批示精神和决策部署为主线，全面推进企业安全生产标准化创建达标，突出抓好安全生产监督检查、专项整治、“打非治违”等重点任务，不断加大工矿商贸、道路交通、消防、建筑施工、危险化学品、烟花爆竹、特种设备、粉尘防爆、有限空间作业等重点行业（领域）企业安全隐患排</w:t>
      </w:r>
      <w:r>
        <w:rPr>
          <w:rFonts w:ascii="仿宋_GB2312" w:eastAsia="仿宋_GB2312" w:cs="仿宋_GB2312"/>
          <w:color w:val="000000"/>
          <w:sz w:val="31"/>
          <w:szCs w:val="31"/>
        </w:rPr>
        <w:lastRenderedPageBreak/>
        <w:t>查治理力度，全力以赴做好安全生产各项工作，全区安全生产工作取得积极进展和明显成效，安全生产状况保持了总体平稳的发展态势。</w:t>
      </w:r>
    </w:p>
    <w:p w14:paraId="249F344A" w14:textId="77777777" w:rsidR="00EC2C51" w:rsidRDefault="00A971AA">
      <w:pPr>
        <w:pStyle w:val="HTML1"/>
        <w:widowControl/>
        <w:ind w:firstLineChars="200" w:firstLine="620"/>
        <w:rPr>
          <w:rFonts w:hint="default"/>
        </w:rPr>
      </w:pPr>
      <w:r>
        <w:rPr>
          <w:rFonts w:ascii="仿宋_GB2312" w:eastAsia="仿宋_GB2312" w:cs="仿宋_GB2312"/>
          <w:color w:val="000000"/>
          <w:sz w:val="31"/>
          <w:szCs w:val="31"/>
        </w:rPr>
        <w:t>安全生产总体形势持续稳定。“十三五”期间，康巴什区共发生生产安全事故14起，死亡4人，同口径下，生产安全事故起数和死亡人数连续三年下降，未发生重、特大生产安全事故，安全生产形势整体稳定。</w:t>
      </w:r>
    </w:p>
    <w:p w14:paraId="0AA5C810" w14:textId="77777777" w:rsidR="00EC2C51" w:rsidRDefault="00A971AA">
      <w:pPr>
        <w:pStyle w:val="HTML1"/>
        <w:widowControl/>
        <w:ind w:firstLine="640"/>
        <w:rPr>
          <w:rFonts w:ascii="仿宋_GB2312" w:eastAsia="仿宋_GB2312" w:cs="仿宋_GB2312" w:hint="default"/>
          <w:color w:val="000000"/>
          <w:sz w:val="31"/>
          <w:szCs w:val="31"/>
        </w:rPr>
      </w:pPr>
      <w:r>
        <w:rPr>
          <w:rFonts w:ascii="仿宋_GB2312" w:eastAsia="仿宋_GB2312" w:cs="仿宋_GB2312"/>
          <w:color w:val="000000"/>
          <w:sz w:val="31"/>
          <w:szCs w:val="31"/>
        </w:rPr>
        <w:t>安全生产监管责任体系不断完善。康巴什区区委、区政府高度重视安全生产工作，将安全生产工作列入政府重要议事日程，专题研究部署，设区期间，区安全监管责任体系不断获得完善。一是安全责任意识显著提高，安全生产“属地管理”、“谁主管、谁负责”、“管生产必须管安全”已得到各部门的广泛认同。二是安全监管责任得到层层落实，将安全生产绩效纳入“五位一体”总体考核中，每年结合实际签订责任状，推动形成了党委、政府抓总体，综合监管部门抓面，行业监管部门抓线，街道办事处抓点的安全生产监管体系，确保各项安全生产工作有效开展。三是安全生产考核量化指标不断完善，出台的《康巴什区安全生产工作考核奖惩办法》、《安全生产工作考核细则》等文件，明确了考核奖惩办法，量化并细化了考核指标，设置了更加科学合理的考核内容，使考核结果更加公平公正公开。</w:t>
      </w:r>
    </w:p>
    <w:p w14:paraId="14F8C4BD" w14:textId="77777777" w:rsidR="00EC2C51" w:rsidRDefault="00A971AA">
      <w:pPr>
        <w:pStyle w:val="HTML1"/>
        <w:widowControl/>
        <w:ind w:firstLine="640"/>
        <w:rPr>
          <w:rFonts w:ascii="仿宋_GB2312" w:eastAsia="仿宋_GB2312" w:cs="仿宋_GB2312" w:hint="default"/>
          <w:color w:val="000000"/>
          <w:sz w:val="31"/>
          <w:szCs w:val="31"/>
        </w:rPr>
      </w:pPr>
      <w:r>
        <w:rPr>
          <w:rFonts w:ascii="仿宋_GB2312" w:eastAsia="仿宋_GB2312" w:cs="仿宋_GB2312"/>
          <w:color w:val="000000"/>
          <w:sz w:val="31"/>
          <w:szCs w:val="31"/>
        </w:rPr>
        <w:lastRenderedPageBreak/>
        <w:t>重点行业（领域）安全治理长效机制初步形成。有效统筹协调了各行业各领域安全生产执法检查力量，各行业监管部门加强联合执法，将安全生产大检查、打非治违专项行动、重点行业（领域）隐患排查治理和专项整治等行动有机结合，深入推进安全风险管控和隐患排查治理双重预防机制建设。一是制定印发了《工贸企业安全风险分级管控体系建设实施指南（试用版）》等技术指导文件，为企业安全风险分级管</w:t>
      </w:r>
      <w:proofErr w:type="gramStart"/>
      <w:r>
        <w:rPr>
          <w:rFonts w:ascii="仿宋_GB2312" w:eastAsia="仿宋_GB2312" w:cs="仿宋_GB2312"/>
          <w:color w:val="000000"/>
          <w:sz w:val="31"/>
          <w:szCs w:val="31"/>
        </w:rPr>
        <w:t>控提供</w:t>
      </w:r>
      <w:proofErr w:type="gramEnd"/>
      <w:r>
        <w:rPr>
          <w:rFonts w:ascii="仿宋_GB2312" w:eastAsia="仿宋_GB2312" w:cs="仿宋_GB2312"/>
          <w:color w:val="000000"/>
          <w:sz w:val="31"/>
          <w:szCs w:val="31"/>
        </w:rPr>
        <w:t>了技术标准，在危险化学品领域全面开展风险评估，划分“红橙黄蓝”风险等级，实行分级管控。二是持续开展“两重点</w:t>
      </w:r>
      <w:proofErr w:type="gramStart"/>
      <w:r>
        <w:rPr>
          <w:rFonts w:ascii="仿宋_GB2312" w:eastAsia="仿宋_GB2312" w:cs="仿宋_GB2312"/>
          <w:color w:val="000000"/>
          <w:sz w:val="31"/>
          <w:szCs w:val="31"/>
        </w:rPr>
        <w:t>一</w:t>
      </w:r>
      <w:proofErr w:type="gramEnd"/>
      <w:r>
        <w:rPr>
          <w:rFonts w:ascii="仿宋_GB2312" w:eastAsia="仿宋_GB2312" w:cs="仿宋_GB2312"/>
          <w:color w:val="000000"/>
          <w:sz w:val="31"/>
          <w:szCs w:val="31"/>
        </w:rPr>
        <w:t>重大”及其他重点行业领域安全生产隐患专项整治行动，积极查找薄弱环节，全面提升康巴什区重点行业、重点领域、重点区域、重点监管对象本质安全水平。“十三五”期间累计检查企业565家次，排查整改隐患</w:t>
      </w:r>
      <w:proofErr w:type="gramStart"/>
      <w:r>
        <w:rPr>
          <w:rFonts w:ascii="仿宋_GB2312" w:eastAsia="仿宋_GB2312" w:cs="仿宋_GB2312"/>
          <w:color w:val="000000"/>
          <w:sz w:val="31"/>
          <w:szCs w:val="31"/>
        </w:rPr>
        <w:t>865余条</w:t>
      </w:r>
      <w:proofErr w:type="gramEnd"/>
      <w:r>
        <w:rPr>
          <w:rFonts w:ascii="仿宋_GB2312" w:eastAsia="仿宋_GB2312" w:cs="仿宋_GB2312"/>
          <w:color w:val="000000"/>
          <w:sz w:val="31"/>
          <w:szCs w:val="31"/>
        </w:rPr>
        <w:t>，不断加大专家巡查力度，仅2019年应急、住建、商务、市场等部门累计聘请专家72人次，检查企业156家次，排查整改隐患347条。三是强化了重要时期、重要节点安全监管。每逢节假日、极端气候等重要时间节点，区有关部门均及时印发通知，全面部署安全生产工作，狠抓安全防范措施落实，确保康巴什区安全生产形势平稳。四是在重点行业推行安全生产责任保险，截止到2020年，</w:t>
      </w:r>
      <w:proofErr w:type="gramStart"/>
      <w:r>
        <w:rPr>
          <w:rFonts w:ascii="仿宋_GB2312" w:eastAsia="仿宋_GB2312" w:cs="仿宋_GB2312"/>
          <w:color w:val="000000"/>
          <w:sz w:val="31"/>
          <w:szCs w:val="31"/>
        </w:rPr>
        <w:t>安责险在</w:t>
      </w:r>
      <w:proofErr w:type="gramEnd"/>
      <w:r>
        <w:rPr>
          <w:rFonts w:ascii="仿宋_GB2312" w:eastAsia="仿宋_GB2312" w:cs="仿宋_GB2312"/>
          <w:color w:val="000000"/>
          <w:sz w:val="31"/>
          <w:szCs w:val="31"/>
        </w:rPr>
        <w:t>建筑施工、危险化学品、冶金、工贸等行业领域投保企业 18家次，实现保费22.3万元，覆盖企业员工125人。</w:t>
      </w:r>
    </w:p>
    <w:p w14:paraId="26A03F9C" w14:textId="77777777" w:rsidR="00EC2C51" w:rsidRDefault="00A971AA">
      <w:pPr>
        <w:pStyle w:val="HTML1"/>
        <w:widowControl/>
        <w:ind w:firstLine="640"/>
        <w:rPr>
          <w:rFonts w:hint="default"/>
        </w:rPr>
      </w:pPr>
      <w:r>
        <w:rPr>
          <w:rFonts w:ascii="仿宋_GB2312" w:eastAsia="仿宋_GB2312" w:cs="仿宋_GB2312"/>
          <w:color w:val="000000"/>
          <w:sz w:val="31"/>
          <w:szCs w:val="31"/>
        </w:rPr>
        <w:lastRenderedPageBreak/>
        <w:t>安全生产科技化、信息化建设不断推进。康巴什区全面贯彻落实国家关于“科技兴安”战略部署，以科技化手段促进康巴什区安全生产形势实现平稳发展。一是开发完成康巴什区安全生产信息化管理平台，建立了康巴什区企业基础数据库，企业注册入库，其中重点监管企业整合接入企业监控视频，安委会、部门、企业利用手持执法终端（手机 APP ）对安全隐患进行检查、督查，实现对企业自查情况、部门检查情况、安委会督查情况的三级监管。二是安全生产动态监管系统不断建设完善，在道路运输领域实现了对长途客运、危险货物运输等车辆及驾驶人员的动态监管，强化了对驾驶员的行为规范和对全区重点车辆安全情况的实时了解。</w:t>
      </w:r>
    </w:p>
    <w:p w14:paraId="6CB4F8F2" w14:textId="77777777" w:rsidR="00EC2C51" w:rsidRDefault="00A971AA">
      <w:pPr>
        <w:pStyle w:val="HTML1"/>
        <w:widowControl/>
        <w:ind w:firstLine="640"/>
        <w:rPr>
          <w:rFonts w:hint="default"/>
        </w:rPr>
      </w:pPr>
      <w:r>
        <w:rPr>
          <w:rFonts w:ascii="仿宋_GB2312" w:eastAsia="仿宋_GB2312" w:cs="仿宋_GB2312"/>
          <w:color w:val="000000"/>
          <w:sz w:val="31"/>
          <w:szCs w:val="31"/>
        </w:rPr>
        <w:t>从业人员和居民安全意识普遍增强。安全生产文化建设得到进一步推进，从安全宣传教育入手，以安全培训为抓手，以事故案例为典型，切实开展安全生产文化建设。一是规范“安全生产月”活动的组织开展，建立定期联络、信息报送和监督考核为主要内容的联络工作制度，全面深入开展活动，确保活动效果。二是积极组织实施送安全文化进企业、进学校、进社区、进家庭、进农村的“五进”活动。三是通过召开培训会、广播电视台、现场发放宣传资料、签字承诺、短视频平台等多种形式和途径，广泛宣传安全生产知识，进一步提高广大群众和从业人员的安全生产意识和技能。</w:t>
      </w:r>
    </w:p>
    <w:p w14:paraId="75BF3B5F" w14:textId="77777777" w:rsidR="00EC2C51" w:rsidRDefault="00A971AA">
      <w:pPr>
        <w:pStyle w:val="HTML1"/>
        <w:widowControl/>
        <w:ind w:firstLine="640"/>
        <w:outlineLvl w:val="2"/>
        <w:rPr>
          <w:rFonts w:hint="default"/>
        </w:rPr>
      </w:pPr>
      <w:bookmarkStart w:id="43" w:name="_Toc28411"/>
      <w:r>
        <w:rPr>
          <w:rFonts w:ascii="仿宋_GB2312" w:eastAsia="仿宋_GB2312" w:cs="仿宋_GB2312"/>
          <w:color w:val="000000"/>
          <w:sz w:val="31"/>
          <w:szCs w:val="31"/>
        </w:rPr>
        <w:t>2.设区以来存在问题</w:t>
      </w:r>
      <w:bookmarkEnd w:id="43"/>
    </w:p>
    <w:p w14:paraId="4455953C" w14:textId="77777777" w:rsidR="00EC2C51" w:rsidRDefault="00A971AA">
      <w:pPr>
        <w:pStyle w:val="HTML1"/>
        <w:widowControl/>
        <w:ind w:firstLine="640"/>
        <w:rPr>
          <w:rFonts w:hint="default"/>
        </w:rPr>
      </w:pPr>
      <w:r>
        <w:rPr>
          <w:rFonts w:ascii="仿宋_GB2312" w:eastAsia="仿宋_GB2312" w:cs="仿宋_GB2312"/>
          <w:color w:val="000000"/>
          <w:sz w:val="31"/>
          <w:szCs w:val="31"/>
        </w:rPr>
        <w:lastRenderedPageBreak/>
        <w:t>安全生产基础依然薄弱。一方面，康巴什区部分企业安全保障能力比较差，装备设施陈旧老化，相当一部分企业主要负责人缺乏安全生产法律意识、风险意识和安全管理能力，安全管理薄弱。另一方面，基层安全监管部门力量薄弱，有相关专业背景的监管人员占比不高，懂法律、会监管、能执法的监管人员不足。</w:t>
      </w:r>
    </w:p>
    <w:p w14:paraId="224B0407" w14:textId="77777777" w:rsidR="00EC2C51" w:rsidRDefault="00A971AA">
      <w:pPr>
        <w:pStyle w:val="HTML1"/>
        <w:widowControl/>
        <w:ind w:firstLine="640"/>
        <w:rPr>
          <w:rFonts w:hint="default"/>
        </w:rPr>
      </w:pPr>
      <w:r>
        <w:rPr>
          <w:rFonts w:ascii="仿宋_GB2312" w:eastAsia="仿宋_GB2312" w:cs="仿宋_GB2312"/>
          <w:color w:val="000000"/>
          <w:sz w:val="31"/>
          <w:szCs w:val="31"/>
        </w:rPr>
        <w:t>安全生产责任落实有待强化。一是安全生产“一岗双责”、“管行业必须管安全、管业务必须管安全、管生产经营必须管安全”的理解还不到位。二是安委会各部门监管责任有待进一步理清，部分行业领域安全监管职责不清，受机构合并、职能分离影响，产生了新的职能交叉和监管盲区，横向部门之间协调联动不足。三是企业主体责任还有待进一步压实。安全生产工作“政府热、企业冷”问题依然存在，企业主要负责人、实际控制人对安全生产工作的认识程度依然不足，投入不足、管理机构不全的现象依然存在，一线操作人员在从事生产时存在严重的侥幸心理。</w:t>
      </w:r>
    </w:p>
    <w:p w14:paraId="32E6433B" w14:textId="77777777" w:rsidR="00EC2C51" w:rsidRDefault="00A971AA">
      <w:pPr>
        <w:pStyle w:val="HTML1"/>
        <w:widowControl/>
        <w:ind w:firstLine="640"/>
        <w:rPr>
          <w:rFonts w:hint="default"/>
        </w:rPr>
      </w:pPr>
      <w:r>
        <w:rPr>
          <w:rFonts w:ascii="仿宋_GB2312" w:eastAsia="仿宋_GB2312" w:cs="仿宋_GB2312"/>
          <w:color w:val="000000"/>
          <w:sz w:val="31"/>
          <w:szCs w:val="31"/>
        </w:rPr>
        <w:t>安全监管监察执法体系建设有待进一步增强。从日常监管看，个别行业领域企业存在违法违规经营现象，但相关部门仅对隐患进行限期督办整改，采取行政处罚的相对较少，依然未能扭转为企业检查隐患的思想，各部门</w:t>
      </w:r>
      <w:proofErr w:type="gramStart"/>
      <w:r>
        <w:rPr>
          <w:rFonts w:ascii="仿宋_GB2312" w:eastAsia="仿宋_GB2312" w:cs="仿宋_GB2312"/>
          <w:color w:val="000000"/>
          <w:sz w:val="31"/>
          <w:szCs w:val="31"/>
        </w:rPr>
        <w:t>间执法</w:t>
      </w:r>
      <w:proofErr w:type="gramEnd"/>
      <w:r>
        <w:rPr>
          <w:rFonts w:ascii="仿宋_GB2312" w:eastAsia="仿宋_GB2312" w:cs="仿宋_GB2312"/>
          <w:color w:val="000000"/>
          <w:sz w:val="31"/>
          <w:szCs w:val="31"/>
        </w:rPr>
        <w:t>信息共享度不高；未建立标准化的执法监察工作方案，执法效率和程序化执</w:t>
      </w:r>
      <w:r>
        <w:rPr>
          <w:rFonts w:ascii="仿宋_GB2312" w:eastAsia="仿宋_GB2312" w:cs="仿宋_GB2312"/>
          <w:color w:val="000000"/>
          <w:sz w:val="31"/>
          <w:szCs w:val="31"/>
        </w:rPr>
        <w:lastRenderedPageBreak/>
        <w:t>法有待提升；基层特别是街道安全监管力量薄弱，监管人员数量不足、专业能力普遍较低。</w:t>
      </w:r>
    </w:p>
    <w:p w14:paraId="46ADFB3C" w14:textId="77777777" w:rsidR="00EC2C51" w:rsidRDefault="00A971AA">
      <w:pPr>
        <w:pStyle w:val="HTML1"/>
        <w:widowControl/>
        <w:ind w:firstLineChars="200" w:firstLine="620"/>
        <w:rPr>
          <w:rFonts w:hint="default"/>
        </w:rPr>
      </w:pPr>
      <w:r>
        <w:rPr>
          <w:rFonts w:ascii="仿宋_GB2312" w:eastAsia="仿宋_GB2312" w:cs="仿宋_GB2312"/>
          <w:color w:val="000000"/>
          <w:sz w:val="31"/>
          <w:szCs w:val="31"/>
        </w:rPr>
        <w:t>应急管理体系建设亟待提升。安全生产应急值守及处置能力相对薄弱；安全生产应急预案实用性和可操作性不足，专项预案、部门预案、企事业单位应急预案、现场处置方案衔接不够；应急救援力量相对薄弱，救援演练基地建设、大型装备和专用装备配置与应急救援工作的实战需要存在较大差距；安全生产应急资源碎片化的现状尚未得到有效解决，应急物资储备、调用、补偿和保障机制有待进一步完善。</w:t>
      </w:r>
    </w:p>
    <w:p w14:paraId="1B8C0D9B" w14:textId="77777777" w:rsidR="00EC2C51" w:rsidRDefault="00A971AA">
      <w:pPr>
        <w:pStyle w:val="HTML1"/>
        <w:widowControl/>
        <w:ind w:firstLine="640"/>
        <w:rPr>
          <w:rFonts w:hint="default"/>
        </w:rPr>
      </w:pPr>
      <w:r>
        <w:rPr>
          <w:rFonts w:ascii="仿宋_GB2312" w:eastAsia="仿宋_GB2312" w:cs="仿宋_GB2312"/>
          <w:color w:val="000000"/>
          <w:sz w:val="31"/>
          <w:szCs w:val="31"/>
        </w:rPr>
        <w:t>社会公众安全文化素质有待提高。企业安全培训和考核形式单一，存在培训走过场、考核过于宽松等问题。从业人员流动性大，文化程度低，安全教育陷入“培训一批、离开一批、再来一批”的怪圈，从业人员安全意识和安全技能得不到有效提高。社会整体安全意识和安全生产法治观念仍然比较淡薄，自防自救能力不足。</w:t>
      </w:r>
    </w:p>
    <w:p w14:paraId="66F2C0DB" w14:textId="77777777" w:rsidR="00EC2C51" w:rsidRDefault="00A971AA">
      <w:pPr>
        <w:pStyle w:val="HTML1"/>
        <w:widowControl/>
        <w:ind w:firstLine="640"/>
        <w:outlineLvl w:val="1"/>
        <w:rPr>
          <w:rFonts w:hint="default"/>
        </w:rPr>
      </w:pPr>
      <w:bookmarkStart w:id="44" w:name="_Toc25621"/>
      <w:r>
        <w:rPr>
          <w:rFonts w:ascii="楷体_GB2312" w:eastAsia="楷体_GB2312" w:cs="楷体_GB2312"/>
          <w:color w:val="000000"/>
          <w:sz w:val="31"/>
          <w:szCs w:val="31"/>
        </w:rPr>
        <w:t>（二）“十四五”形势与挑战</w:t>
      </w:r>
      <w:bookmarkEnd w:id="44"/>
    </w:p>
    <w:p w14:paraId="09DD91B1" w14:textId="77777777" w:rsidR="00EC2C51" w:rsidRDefault="00A971AA">
      <w:pPr>
        <w:pStyle w:val="HTML1"/>
        <w:widowControl/>
        <w:ind w:firstLine="640"/>
        <w:rPr>
          <w:rFonts w:ascii="仿宋_GB2312" w:eastAsia="仿宋_GB2312" w:cs="仿宋_GB2312" w:hint="default"/>
          <w:color w:val="000000"/>
          <w:sz w:val="31"/>
          <w:szCs w:val="31"/>
        </w:rPr>
      </w:pPr>
      <w:r>
        <w:rPr>
          <w:rFonts w:ascii="仿宋_GB2312" w:eastAsia="仿宋_GB2312" w:cs="仿宋_GB2312"/>
          <w:color w:val="000000"/>
          <w:sz w:val="31"/>
          <w:szCs w:val="31"/>
        </w:rPr>
        <w:t>1.“十四五”面对的形势。“十四五”时期，是我国由全面建成小康社会向基本实现社会主义现代化迈进的关键时期，也是康巴什区坚守“红线意识、底线思维”，有效预防和坚决遏制生产安全事故，实现安全状况根本好转的决战时期。习近平总书记在党的十九大报告中明确指出：“中国特色社会主义进入了新时代”。这是以习近平同志为核心的党中央根据国际</w:t>
      </w:r>
      <w:r>
        <w:rPr>
          <w:rFonts w:ascii="仿宋_GB2312" w:eastAsia="仿宋_GB2312" w:cs="仿宋_GB2312"/>
          <w:color w:val="000000"/>
          <w:sz w:val="31"/>
          <w:szCs w:val="31"/>
        </w:rPr>
        <w:lastRenderedPageBreak/>
        <w:t>国内环境变化，特别是我国发展条件和发展阶段变化做出的重大判断。党的十九大报告指出：“树立安全发展理念，弘扬生命至上、安全第一的思想，健全公共安全体系，完善安全生产责任制，坚决遏制重特大安全事故，提升防灾减灾救灾能力。”这既是新时代党对安全生产的总目标、总要求，也为做好安全生产工作指明了方向、提供了遵循。</w:t>
      </w:r>
    </w:p>
    <w:p w14:paraId="142AD7A5" w14:textId="77777777" w:rsidR="00EC2C51" w:rsidRDefault="00A971AA">
      <w:pPr>
        <w:pStyle w:val="HTML1"/>
        <w:widowControl/>
        <w:ind w:firstLine="640"/>
        <w:rPr>
          <w:rFonts w:ascii="仿宋_GB2312" w:eastAsia="仿宋_GB2312" w:cs="仿宋_GB2312" w:hint="default"/>
          <w:color w:val="000000"/>
          <w:sz w:val="31"/>
          <w:szCs w:val="31"/>
        </w:rPr>
      </w:pPr>
      <w:r>
        <w:rPr>
          <w:rFonts w:ascii="仿宋_GB2312" w:eastAsia="仿宋_GB2312" w:cs="仿宋_GB2312"/>
          <w:color w:val="000000"/>
          <w:sz w:val="31"/>
          <w:szCs w:val="31"/>
        </w:rPr>
        <w:t>目前康巴什区正处于经济快速发展，经济的增长为安全生产提出了新的要求，在公民对良好居住环境和城市公共安全需求日益迫切的背景下，经济发展必须与安全生产协调发展。从发展的机遇看：一是经济社会高质量发展加快推进，全面贯彻新发展理念、坚持以供给侧结构性改革为主线、坚持人民至上、生命至上的发展思想，为推动安全生产治理能力现代化指明了努力方向和实现路径。二是《地方党政领导干部安全生产责任制规定》、《内蒙古自治区落实生产经营单位安全生产主体责任规定》等一系列规章制度的实施，为依法治安，特别是落实安全生产责任制、建立健全安全生产责任体系提供了思想遵循和法律依据。三是“十四五”期间，伴随呼</w:t>
      </w:r>
      <w:proofErr w:type="gramStart"/>
      <w:r>
        <w:rPr>
          <w:rFonts w:ascii="仿宋_GB2312" w:eastAsia="仿宋_GB2312" w:cs="仿宋_GB2312"/>
          <w:color w:val="000000"/>
          <w:sz w:val="31"/>
          <w:szCs w:val="31"/>
        </w:rPr>
        <w:t>包鄂榆</w:t>
      </w:r>
      <w:proofErr w:type="gramEnd"/>
      <w:r>
        <w:rPr>
          <w:rFonts w:ascii="仿宋_GB2312" w:eastAsia="仿宋_GB2312" w:cs="仿宋_GB2312"/>
          <w:color w:val="000000"/>
          <w:sz w:val="31"/>
          <w:szCs w:val="31"/>
        </w:rPr>
        <w:t>城市群建设不断推进，康巴什区经济发展形势不断向好，为加大安全生产投入提供了坚强保障，安全生产条件有望得到全面改善。四是康巴什区安全生产工作经过设区期间的积累，政府安全监管能力、企业本质安全水平等方面都取得了进步，为“十四五”安全生产工作奠定了坚实基础。五是政府和社会对安全生产的关</w:t>
      </w:r>
      <w:r>
        <w:rPr>
          <w:rFonts w:ascii="仿宋_GB2312" w:eastAsia="仿宋_GB2312" w:cs="仿宋_GB2312"/>
          <w:color w:val="000000"/>
          <w:sz w:val="31"/>
          <w:szCs w:val="31"/>
        </w:rPr>
        <w:lastRenderedPageBreak/>
        <w:t>注度、参与度不断增加，广大人民群众安全意识不断增强，安全知识水平不断提高，为安全生产营造了良好氛围。但是，“十四五”期间，我们面临的安全生产新形势的挑战也不容忽视。</w:t>
      </w:r>
    </w:p>
    <w:p w14:paraId="4A9F8C17" w14:textId="77777777" w:rsidR="00EC2C51" w:rsidRDefault="00A971AA">
      <w:pPr>
        <w:pStyle w:val="HTML1"/>
        <w:widowControl/>
        <w:ind w:firstLine="640"/>
        <w:rPr>
          <w:rFonts w:hint="default"/>
        </w:rPr>
      </w:pPr>
      <w:r>
        <w:rPr>
          <w:rFonts w:ascii="仿宋_GB2312" w:eastAsia="仿宋_GB2312" w:cs="仿宋_GB2312"/>
          <w:color w:val="000000"/>
          <w:sz w:val="31"/>
          <w:szCs w:val="31"/>
        </w:rPr>
        <w:t>2.“十四五”面临的挑战。一是现阶段安全生产仍处于爬坡过坎期，各类事故隐患和安全风险交织叠加。工业快速发展阶段积累的安全生产矛盾正在集中显现，安全生产不确定因素增多，新材料、新工艺、新业</w:t>
      </w:r>
      <w:proofErr w:type="gramStart"/>
      <w:r>
        <w:rPr>
          <w:rFonts w:ascii="仿宋_GB2312" w:eastAsia="仿宋_GB2312" w:cs="仿宋_GB2312"/>
          <w:color w:val="000000"/>
          <w:sz w:val="31"/>
          <w:szCs w:val="31"/>
        </w:rPr>
        <w:t>态不断</w:t>
      </w:r>
      <w:proofErr w:type="gramEnd"/>
      <w:r>
        <w:rPr>
          <w:rFonts w:ascii="仿宋_GB2312" w:eastAsia="仿宋_GB2312" w:cs="仿宋_GB2312"/>
          <w:color w:val="000000"/>
          <w:sz w:val="31"/>
          <w:szCs w:val="31"/>
        </w:rPr>
        <w:t>涌现，可能伴生新的风险，安全生产新情况新问题不断涌现。二是人民群众和企业员工对生命与健康更加关注。法律法规对安全生产事故的追责更加严厉，安全生产呈现“风险度极高，容忍度极低”的严峻态势。并且随着现代信息技术与传媒的结合，安全生产事故极易被放大化和国际化，加重了危机冲击力和危害程度。三是高危行业</w:t>
      </w:r>
      <w:proofErr w:type="gramStart"/>
      <w:r>
        <w:rPr>
          <w:rFonts w:ascii="仿宋_GB2312" w:eastAsia="仿宋_GB2312" w:cs="仿宋_GB2312"/>
          <w:color w:val="000000"/>
          <w:sz w:val="31"/>
          <w:szCs w:val="31"/>
        </w:rPr>
        <w:t>占比较</w:t>
      </w:r>
      <w:proofErr w:type="gramEnd"/>
      <w:r>
        <w:rPr>
          <w:rFonts w:ascii="仿宋_GB2312" w:eastAsia="仿宋_GB2312" w:cs="仿宋_GB2312"/>
          <w:color w:val="000000"/>
          <w:sz w:val="31"/>
          <w:szCs w:val="31"/>
        </w:rPr>
        <w:t>大，生产经营单位数量较多。建筑、危化等高危行业在生产经营单位数量和生产从业人数</w:t>
      </w:r>
      <w:proofErr w:type="gramStart"/>
      <w:r>
        <w:rPr>
          <w:rFonts w:ascii="仿宋_GB2312" w:eastAsia="仿宋_GB2312" w:cs="仿宋_GB2312"/>
          <w:color w:val="000000"/>
          <w:sz w:val="31"/>
          <w:szCs w:val="31"/>
        </w:rPr>
        <w:t>占比较</w:t>
      </w:r>
      <w:proofErr w:type="gramEnd"/>
      <w:r>
        <w:rPr>
          <w:rFonts w:ascii="仿宋_GB2312" w:eastAsia="仿宋_GB2312" w:cs="仿宋_GB2312"/>
          <w:color w:val="000000"/>
          <w:sz w:val="31"/>
          <w:szCs w:val="31"/>
        </w:rPr>
        <w:t>大。当前康巴什区共有危险化学品企业 23家，其中已开展安全风险分级评估的7家企业中，蓝色风险等级7家。同时人员密集场所、办公楼与科研单位、建筑施工领域和道路交通领域容易发生火灾、高空坠物、坍塌、物体打击、触电、机械伤害、交通事故等生产安全事故，安全风险不容忽视。</w:t>
      </w:r>
    </w:p>
    <w:p w14:paraId="65CE1C34" w14:textId="77777777" w:rsidR="00EC2C51" w:rsidRDefault="00A971AA">
      <w:pPr>
        <w:pStyle w:val="HTML1"/>
        <w:widowControl/>
        <w:ind w:firstLine="640"/>
        <w:outlineLvl w:val="0"/>
        <w:rPr>
          <w:rFonts w:hint="default"/>
        </w:rPr>
      </w:pPr>
      <w:bookmarkStart w:id="45" w:name="_Toc9117"/>
      <w:r>
        <w:rPr>
          <w:rFonts w:ascii="黑体" w:eastAsia="黑体" w:cs="黑体"/>
          <w:color w:val="000000"/>
          <w:sz w:val="31"/>
          <w:szCs w:val="31"/>
        </w:rPr>
        <w:t>二、指导思想、原则与目标</w:t>
      </w:r>
      <w:bookmarkEnd w:id="45"/>
    </w:p>
    <w:p w14:paraId="2F1CEC88" w14:textId="77777777" w:rsidR="00EC2C51" w:rsidRDefault="00A971AA">
      <w:pPr>
        <w:pStyle w:val="HTML1"/>
        <w:widowControl/>
        <w:ind w:firstLine="640"/>
        <w:outlineLvl w:val="1"/>
        <w:rPr>
          <w:rFonts w:ascii="楷体_GB2312" w:eastAsia="楷体_GB2312" w:cs="楷体_GB2312" w:hint="default"/>
          <w:color w:val="000000"/>
          <w:sz w:val="31"/>
          <w:szCs w:val="31"/>
        </w:rPr>
      </w:pPr>
      <w:bookmarkStart w:id="46" w:name="_Toc25390"/>
      <w:r>
        <w:rPr>
          <w:rFonts w:ascii="楷体_GB2312" w:eastAsia="楷体_GB2312" w:cs="楷体_GB2312"/>
          <w:color w:val="000000"/>
          <w:sz w:val="31"/>
          <w:szCs w:val="31"/>
        </w:rPr>
        <w:t>（一）指导思想</w:t>
      </w:r>
      <w:bookmarkEnd w:id="46"/>
    </w:p>
    <w:p w14:paraId="03AAD7A1" w14:textId="77777777" w:rsidR="00EC2C51" w:rsidRDefault="00A971AA">
      <w:pPr>
        <w:pStyle w:val="HTML1"/>
        <w:widowControl/>
        <w:ind w:firstLine="640"/>
        <w:rPr>
          <w:rFonts w:hint="default"/>
        </w:rPr>
      </w:pPr>
      <w:r>
        <w:rPr>
          <w:rFonts w:ascii="仿宋_GB2312" w:eastAsia="仿宋_GB2312" w:cs="仿宋_GB2312"/>
          <w:color w:val="000000"/>
          <w:sz w:val="31"/>
          <w:szCs w:val="31"/>
        </w:rPr>
        <w:lastRenderedPageBreak/>
        <w:t>以习近平新时代中国特色社会主义思想为指导，深入贯彻党的十九大和十九届二中、三中、四中、五中、六中全会精神，以及习近平总书记关于安全生产重要指示精神。坚持“人民至上、生命至上”原则；以做好“两个维护”的政治自觉、思想自觉和行动自觉，树牢</w:t>
      </w:r>
      <w:proofErr w:type="gramStart"/>
      <w:r>
        <w:rPr>
          <w:rFonts w:ascii="仿宋_GB2312" w:eastAsia="仿宋_GB2312" w:cs="仿宋_GB2312"/>
          <w:color w:val="000000"/>
          <w:sz w:val="31"/>
          <w:szCs w:val="31"/>
        </w:rPr>
        <w:t>安全发展</w:t>
      </w:r>
      <w:proofErr w:type="gramEnd"/>
      <w:r>
        <w:rPr>
          <w:rFonts w:ascii="仿宋_GB2312" w:eastAsia="仿宋_GB2312" w:cs="仿宋_GB2312"/>
          <w:color w:val="000000"/>
          <w:sz w:val="31"/>
          <w:szCs w:val="31"/>
        </w:rPr>
        <w:t>理念，统筹发展和安全两件大事，坚持把安全作为发展的前提、把发展作为安全保障，切实把确保人民生命安全放在第一位落到实处；树牢红线意识，坚守底线思维，重点解决影响康巴什区安全生产工作的关键性、基础性、共性问题，坚持系统治理、依法治理、综合治理、源头治理；坚持以人为本，发展为了人民，发展依靠人民，发展成果由人民共享，全面深化社会共治，扎实推进安全生产治理体系和治理能力现代化，把康巴什区建设成经济健康发展、群众安居乐业、社会安定有序的</w:t>
      </w:r>
      <w:proofErr w:type="gramStart"/>
      <w:r>
        <w:rPr>
          <w:rFonts w:ascii="仿宋_GB2312" w:eastAsia="仿宋_GB2312" w:cs="仿宋_GB2312"/>
          <w:color w:val="000000"/>
          <w:sz w:val="31"/>
          <w:szCs w:val="31"/>
        </w:rPr>
        <w:t>安全发展</w:t>
      </w:r>
      <w:proofErr w:type="gramEnd"/>
      <w:r>
        <w:rPr>
          <w:rFonts w:ascii="仿宋_GB2312" w:eastAsia="仿宋_GB2312" w:cs="仿宋_GB2312"/>
          <w:color w:val="000000"/>
          <w:sz w:val="31"/>
          <w:szCs w:val="31"/>
        </w:rPr>
        <w:t>示范城市。</w:t>
      </w:r>
    </w:p>
    <w:p w14:paraId="4C1EF422" w14:textId="77777777" w:rsidR="00EC2C51" w:rsidRDefault="00A971AA">
      <w:pPr>
        <w:pStyle w:val="HTML1"/>
        <w:widowControl/>
        <w:ind w:firstLine="640"/>
        <w:outlineLvl w:val="1"/>
        <w:rPr>
          <w:rFonts w:hint="default"/>
        </w:rPr>
      </w:pPr>
      <w:bookmarkStart w:id="47" w:name="_Toc23017"/>
      <w:r>
        <w:rPr>
          <w:rFonts w:ascii="楷体_GB2312" w:eastAsia="楷体_GB2312" w:cs="楷体_GB2312"/>
          <w:color w:val="000000"/>
          <w:sz w:val="31"/>
          <w:szCs w:val="31"/>
        </w:rPr>
        <w:t>（二）基本原则</w:t>
      </w:r>
      <w:bookmarkEnd w:id="47"/>
    </w:p>
    <w:p w14:paraId="5A88A27A" w14:textId="77777777" w:rsidR="00EC2C51" w:rsidRDefault="00A971AA">
      <w:pPr>
        <w:pStyle w:val="HTML1"/>
        <w:widowControl/>
        <w:ind w:firstLine="640"/>
        <w:rPr>
          <w:rFonts w:hint="default"/>
        </w:rPr>
      </w:pPr>
      <w:r>
        <w:rPr>
          <w:rFonts w:ascii="仿宋_GB2312" w:eastAsia="仿宋_GB2312" w:cs="仿宋_GB2312"/>
          <w:color w:val="000000"/>
          <w:sz w:val="31"/>
          <w:szCs w:val="31"/>
        </w:rPr>
        <w:t>1.坚持以人为本，保障安居乐业。牢固树立红线意识、底线思维，坚持人民至上、生命至上，始终把保障人民群众的生命财产安全放在首位，在区域经济社会规划、建设和管理中科学辨识安全风险，加强安全生产基础能力，确保区域经济社会持续健康发展。</w:t>
      </w:r>
    </w:p>
    <w:p w14:paraId="46CE1243" w14:textId="77777777" w:rsidR="00EC2C51" w:rsidRDefault="00A971AA">
      <w:pPr>
        <w:pStyle w:val="HTML1"/>
        <w:widowControl/>
        <w:ind w:firstLine="640"/>
        <w:rPr>
          <w:rFonts w:ascii="仿宋_GB2312" w:eastAsia="仿宋_GB2312" w:cs="仿宋_GB2312" w:hint="default"/>
          <w:color w:val="000000"/>
          <w:sz w:val="31"/>
          <w:szCs w:val="31"/>
        </w:rPr>
      </w:pPr>
      <w:r>
        <w:rPr>
          <w:rFonts w:ascii="仿宋_GB2312" w:eastAsia="仿宋_GB2312" w:cs="仿宋_GB2312"/>
          <w:color w:val="000000"/>
          <w:sz w:val="31"/>
          <w:szCs w:val="31"/>
        </w:rPr>
        <w:t>2.坚持统筹兼顾，促进协调发展。将</w:t>
      </w:r>
      <w:proofErr w:type="gramStart"/>
      <w:r>
        <w:rPr>
          <w:rFonts w:ascii="仿宋_GB2312" w:eastAsia="仿宋_GB2312" w:cs="仿宋_GB2312"/>
          <w:color w:val="000000"/>
          <w:sz w:val="31"/>
          <w:szCs w:val="31"/>
        </w:rPr>
        <w:t>安全发展</w:t>
      </w:r>
      <w:proofErr w:type="gramEnd"/>
      <w:r>
        <w:rPr>
          <w:rFonts w:ascii="仿宋_GB2312" w:eastAsia="仿宋_GB2312" w:cs="仿宋_GB2312"/>
          <w:color w:val="000000"/>
          <w:sz w:val="31"/>
          <w:szCs w:val="31"/>
        </w:rPr>
        <w:t>作为康巴什区调整经济结构、转变经济发展方式的原则和内容，正确处理</w:t>
      </w:r>
      <w:r>
        <w:rPr>
          <w:rFonts w:ascii="仿宋_GB2312" w:eastAsia="仿宋_GB2312" w:cs="仿宋_GB2312"/>
          <w:color w:val="000000"/>
          <w:sz w:val="31"/>
          <w:szCs w:val="31"/>
        </w:rPr>
        <w:lastRenderedPageBreak/>
        <w:t>安全与发展、质量、速度、效益的关系，推动安全生产与经济社会同步发展。</w:t>
      </w:r>
    </w:p>
    <w:p w14:paraId="6A9F7C6A" w14:textId="77777777" w:rsidR="00EC2C51" w:rsidRDefault="00A971AA">
      <w:pPr>
        <w:pStyle w:val="HTML1"/>
        <w:widowControl/>
        <w:ind w:firstLine="640"/>
        <w:rPr>
          <w:rFonts w:hint="default"/>
        </w:rPr>
      </w:pPr>
      <w:r>
        <w:rPr>
          <w:rFonts w:ascii="仿宋_GB2312" w:eastAsia="仿宋_GB2312" w:cs="仿宋_GB2312"/>
          <w:color w:val="000000"/>
          <w:sz w:val="31"/>
          <w:szCs w:val="31"/>
        </w:rPr>
        <w:t>3.坚持依法治安，提高法治水平。运用法治思维和手段解决安全生产面临的矛盾和问题，在抓重点、补短板上精准发力，加快形成规范的安全生产法制秩序，加大对安全生产违法行为的追究和处罚力度。严格规范公正文明执法，增强监管执法效能，推进安全生产责任制、宣教培训等制度体系建设，提高安全生产法治化水平。</w:t>
      </w:r>
    </w:p>
    <w:p w14:paraId="0374D3D1" w14:textId="77777777" w:rsidR="00EC2C51" w:rsidRDefault="00A971AA">
      <w:pPr>
        <w:pStyle w:val="HTML1"/>
        <w:widowControl/>
        <w:ind w:firstLine="640"/>
        <w:rPr>
          <w:rFonts w:hint="default"/>
        </w:rPr>
      </w:pPr>
      <w:r>
        <w:rPr>
          <w:rFonts w:ascii="仿宋_GB2312" w:eastAsia="仿宋_GB2312" w:cs="仿宋_GB2312"/>
          <w:color w:val="000000"/>
          <w:sz w:val="31"/>
          <w:szCs w:val="31"/>
        </w:rPr>
        <w:t>4.坚持预防为主，着力源头治理。落实“安全第一、预防为主、综合治理”的安全生产方针，坚持源头治理、关口前移、重心下移，把安全生产贯穿于规划设计、建设管理、生产流通等各环节，深入排查和有效化解各类安全生产风险。</w:t>
      </w:r>
    </w:p>
    <w:p w14:paraId="33EE9C38" w14:textId="77777777" w:rsidR="00EC2C51" w:rsidRDefault="00A971AA">
      <w:pPr>
        <w:pStyle w:val="HTML1"/>
        <w:widowControl/>
        <w:ind w:firstLine="640"/>
        <w:rPr>
          <w:rFonts w:hint="default"/>
        </w:rPr>
      </w:pPr>
      <w:r>
        <w:rPr>
          <w:rFonts w:ascii="仿宋_GB2312" w:eastAsia="仿宋_GB2312" w:cs="仿宋_GB2312"/>
          <w:color w:val="000000"/>
          <w:sz w:val="31"/>
          <w:szCs w:val="31"/>
        </w:rPr>
        <w:t>5.坚持企业主体，强化政府监管。严格落实“党政同责、一岗双责、齐抓共管、失职追责”和“管行业必须管安全、管业务必须管安全、管生产经营必须管安全”的原则，全面落实企业安全生产主体责任，强化政府及部门监管责任和属地管理责任，切实发挥政府监管职能。</w:t>
      </w:r>
    </w:p>
    <w:p w14:paraId="63EBD906" w14:textId="77777777" w:rsidR="00EC2C51" w:rsidRDefault="00A971AA">
      <w:pPr>
        <w:pStyle w:val="HTML1"/>
        <w:widowControl/>
        <w:ind w:firstLine="640"/>
        <w:rPr>
          <w:rFonts w:hint="default"/>
        </w:rPr>
      </w:pPr>
      <w:r>
        <w:rPr>
          <w:rFonts w:ascii="仿宋_GB2312" w:eastAsia="仿宋_GB2312" w:cs="仿宋_GB2312"/>
          <w:color w:val="000000"/>
          <w:sz w:val="31"/>
          <w:szCs w:val="31"/>
        </w:rPr>
        <w:t>6.坚持创新驱动，推动高质量发展。加快安全生产理论创新、制度创新、体制创新、机制创新、科技创新和文化创新，通过与信息化深度融合、创新安全宣传教育形式等方式，使安全生产切实在推动康巴什区经济社会高质量发展中发挥积极作用。</w:t>
      </w:r>
    </w:p>
    <w:p w14:paraId="69F19C5C" w14:textId="77777777" w:rsidR="00EC2C51" w:rsidRDefault="00A971AA">
      <w:pPr>
        <w:pStyle w:val="HTML1"/>
        <w:widowControl/>
        <w:ind w:firstLine="640"/>
        <w:outlineLvl w:val="1"/>
        <w:rPr>
          <w:rFonts w:ascii="楷体_GB2312" w:eastAsia="楷体_GB2312" w:cs="楷体_GB2312" w:hint="default"/>
          <w:color w:val="000000"/>
          <w:sz w:val="31"/>
          <w:szCs w:val="31"/>
        </w:rPr>
      </w:pPr>
      <w:bookmarkStart w:id="48" w:name="_Toc1437"/>
      <w:r>
        <w:rPr>
          <w:rFonts w:ascii="楷体_GB2312" w:eastAsia="楷体_GB2312" w:cs="楷体_GB2312"/>
          <w:color w:val="000000"/>
          <w:sz w:val="31"/>
          <w:szCs w:val="31"/>
        </w:rPr>
        <w:lastRenderedPageBreak/>
        <w:t>（三）规划目标</w:t>
      </w:r>
      <w:bookmarkEnd w:id="48"/>
    </w:p>
    <w:p w14:paraId="750865D0" w14:textId="77777777" w:rsidR="00EC2C51" w:rsidRDefault="00A971AA">
      <w:pPr>
        <w:pStyle w:val="HTML1"/>
        <w:widowControl/>
        <w:ind w:firstLine="640"/>
        <w:rPr>
          <w:rFonts w:hint="default"/>
        </w:rPr>
      </w:pPr>
      <w:r>
        <w:rPr>
          <w:rFonts w:ascii="仿宋_GB2312" w:eastAsia="仿宋_GB2312" w:cs="仿宋_GB2312"/>
          <w:color w:val="000000"/>
          <w:sz w:val="31"/>
          <w:szCs w:val="31"/>
        </w:rPr>
        <w:t>1.总体目标。到2025年，康巴什区安全生产事故风险防控水平和全民安全素质明显提升，重点行业领域安全生产状况全面改善，安全生产责任体系、风险管控和隐患排查治理体系、应急救援体系进一步完善，各类生产安全事故指标全面下降，一般事故得到有效遏制，较大及以上事故基本杜绝，安全保障能力显著增强，安全生产形势持续平稳，安全生产各项主要指标处于鄂尔多斯市领先水平。</w:t>
      </w:r>
    </w:p>
    <w:p w14:paraId="5E36C815" w14:textId="77777777" w:rsidR="00EC2C51" w:rsidRDefault="00A971AA">
      <w:pPr>
        <w:pStyle w:val="HTML1"/>
        <w:widowControl/>
        <w:ind w:firstLine="640"/>
        <w:outlineLvl w:val="2"/>
        <w:rPr>
          <w:rFonts w:hint="default"/>
        </w:rPr>
      </w:pPr>
      <w:bookmarkStart w:id="49" w:name="_Toc579"/>
      <w:r>
        <w:rPr>
          <w:rFonts w:ascii="仿宋_GB2312" w:eastAsia="仿宋_GB2312" w:cs="仿宋_GB2312"/>
          <w:color w:val="000000"/>
          <w:sz w:val="31"/>
          <w:szCs w:val="31"/>
        </w:rPr>
        <w:t>2.具体分类目标</w:t>
      </w:r>
      <w:bookmarkEnd w:id="49"/>
    </w:p>
    <w:p w14:paraId="76A6C0A4" w14:textId="77777777" w:rsidR="00EC2C51" w:rsidRDefault="00A971AA">
      <w:pPr>
        <w:widowControl/>
        <w:jc w:val="center"/>
        <w:outlineLvl w:val="0"/>
        <w:rPr>
          <w:rFonts w:ascii="宋体" w:hAnsi="宋体" w:cs="宋体"/>
          <w:sz w:val="24"/>
        </w:rPr>
      </w:pPr>
      <w:bookmarkStart w:id="50" w:name="_Toc16064"/>
      <w:r>
        <w:rPr>
          <w:rFonts w:ascii="宋体" w:hAnsi="宋体" w:cs="宋体" w:hint="eastAsia"/>
          <w:b/>
          <w:bCs/>
          <w:color w:val="000000"/>
          <w:kern w:val="0"/>
          <w:sz w:val="24"/>
        </w:rPr>
        <w:t>鄂尔多斯市康巴什区安全生产“十四五”规划指标及目标</w:t>
      </w:r>
      <w:bookmarkEnd w:id="50"/>
    </w:p>
    <w:tbl>
      <w:tblPr>
        <w:tblpPr w:leftFromText="180" w:rightFromText="180" w:vertAnchor="text" w:horzAnchor="page" w:tblpX="2266" w:tblpY="367"/>
        <w:tblOverlap w:val="never"/>
        <w:tblW w:w="7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
        <w:gridCol w:w="648"/>
        <w:gridCol w:w="3300"/>
        <w:gridCol w:w="1185"/>
        <w:gridCol w:w="1410"/>
      </w:tblGrid>
      <w:tr w:rsidR="00EC2C51" w14:paraId="5F47F9F5" w14:textId="77777777">
        <w:tc>
          <w:tcPr>
            <w:tcW w:w="1585" w:type="dxa"/>
            <w:gridSpan w:val="2"/>
            <w:vAlign w:val="center"/>
          </w:tcPr>
          <w:p w14:paraId="76394CCF" w14:textId="77777777" w:rsidR="00EC2C51" w:rsidRDefault="00A971AA">
            <w:pPr>
              <w:pStyle w:val="HTML1"/>
              <w:widowControl/>
              <w:jc w:val="center"/>
              <w:rPr>
                <w:rFonts w:hint="default"/>
                <w:sz w:val="21"/>
                <w:szCs w:val="21"/>
              </w:rPr>
            </w:pPr>
            <w:r>
              <w:rPr>
                <w:sz w:val="21"/>
                <w:szCs w:val="21"/>
              </w:rPr>
              <w:t>指标分类</w:t>
            </w:r>
          </w:p>
        </w:tc>
        <w:tc>
          <w:tcPr>
            <w:tcW w:w="3300" w:type="dxa"/>
          </w:tcPr>
          <w:p w14:paraId="0F449D82" w14:textId="77777777" w:rsidR="00EC2C51" w:rsidRDefault="00A971AA">
            <w:pPr>
              <w:pStyle w:val="HTML1"/>
              <w:widowControl/>
              <w:jc w:val="center"/>
              <w:rPr>
                <w:rFonts w:hint="default"/>
                <w:sz w:val="21"/>
                <w:szCs w:val="21"/>
              </w:rPr>
            </w:pPr>
            <w:r>
              <w:rPr>
                <w:sz w:val="21"/>
                <w:szCs w:val="21"/>
              </w:rPr>
              <w:t>指标名称</w:t>
            </w:r>
          </w:p>
        </w:tc>
        <w:tc>
          <w:tcPr>
            <w:tcW w:w="1185" w:type="dxa"/>
          </w:tcPr>
          <w:p w14:paraId="565B44E3" w14:textId="77777777" w:rsidR="00EC2C51" w:rsidRDefault="00A971AA">
            <w:pPr>
              <w:pStyle w:val="HTML1"/>
              <w:widowControl/>
              <w:jc w:val="center"/>
              <w:rPr>
                <w:rFonts w:hint="default"/>
                <w:sz w:val="21"/>
                <w:szCs w:val="21"/>
              </w:rPr>
            </w:pPr>
            <w:r>
              <w:rPr>
                <w:sz w:val="21"/>
                <w:szCs w:val="21"/>
              </w:rPr>
              <w:t>十四五</w:t>
            </w:r>
          </w:p>
        </w:tc>
        <w:tc>
          <w:tcPr>
            <w:tcW w:w="1410" w:type="dxa"/>
          </w:tcPr>
          <w:p w14:paraId="066EAF4E" w14:textId="77777777" w:rsidR="00EC2C51" w:rsidRDefault="00A971AA">
            <w:pPr>
              <w:pStyle w:val="HTML1"/>
              <w:widowControl/>
              <w:jc w:val="center"/>
              <w:rPr>
                <w:rFonts w:hint="default"/>
                <w:sz w:val="21"/>
                <w:szCs w:val="21"/>
              </w:rPr>
            </w:pPr>
            <w:r>
              <w:rPr>
                <w:sz w:val="21"/>
                <w:szCs w:val="21"/>
              </w:rPr>
              <w:t>指标属性</w:t>
            </w:r>
          </w:p>
        </w:tc>
      </w:tr>
      <w:tr w:rsidR="00EC2C51" w14:paraId="1B30FC9E" w14:textId="77777777">
        <w:trPr>
          <w:trHeight w:val="765"/>
        </w:trPr>
        <w:tc>
          <w:tcPr>
            <w:tcW w:w="937" w:type="dxa"/>
            <w:vMerge w:val="restart"/>
            <w:vAlign w:val="center"/>
          </w:tcPr>
          <w:p w14:paraId="674D15CD" w14:textId="77777777" w:rsidR="00EC2C51" w:rsidRDefault="00EC2C51">
            <w:pPr>
              <w:pStyle w:val="HTML1"/>
              <w:widowControl/>
              <w:jc w:val="center"/>
              <w:rPr>
                <w:rFonts w:hint="default"/>
                <w:color w:val="000000"/>
                <w:sz w:val="21"/>
                <w:szCs w:val="21"/>
              </w:rPr>
            </w:pPr>
          </w:p>
          <w:p w14:paraId="134A4599" w14:textId="77777777" w:rsidR="00EC2C51" w:rsidRDefault="00EC2C51">
            <w:pPr>
              <w:pStyle w:val="HTML1"/>
              <w:widowControl/>
              <w:jc w:val="center"/>
              <w:rPr>
                <w:rFonts w:hint="default"/>
                <w:color w:val="000000"/>
                <w:sz w:val="21"/>
                <w:szCs w:val="21"/>
              </w:rPr>
            </w:pPr>
          </w:p>
          <w:p w14:paraId="235CB62E" w14:textId="77777777" w:rsidR="00EC2C51" w:rsidRDefault="00EC2C51">
            <w:pPr>
              <w:pStyle w:val="HTML1"/>
              <w:widowControl/>
              <w:jc w:val="center"/>
              <w:rPr>
                <w:rFonts w:hint="default"/>
                <w:color w:val="000000"/>
                <w:sz w:val="21"/>
                <w:szCs w:val="21"/>
              </w:rPr>
            </w:pPr>
          </w:p>
          <w:p w14:paraId="36C5D402" w14:textId="77777777" w:rsidR="00EC2C51" w:rsidRDefault="00EC2C51">
            <w:pPr>
              <w:pStyle w:val="HTML1"/>
              <w:widowControl/>
              <w:jc w:val="center"/>
              <w:rPr>
                <w:rFonts w:hint="default"/>
                <w:color w:val="000000"/>
                <w:sz w:val="21"/>
                <w:szCs w:val="21"/>
              </w:rPr>
            </w:pPr>
          </w:p>
          <w:p w14:paraId="5E632DA3" w14:textId="77777777" w:rsidR="00EC2C51" w:rsidRDefault="00EC2C51">
            <w:pPr>
              <w:pStyle w:val="HTML1"/>
              <w:widowControl/>
              <w:jc w:val="center"/>
              <w:rPr>
                <w:rFonts w:hint="default"/>
                <w:color w:val="000000"/>
                <w:sz w:val="21"/>
                <w:szCs w:val="21"/>
              </w:rPr>
            </w:pPr>
          </w:p>
          <w:p w14:paraId="1DDAA90C" w14:textId="77777777" w:rsidR="00EC2C51" w:rsidRDefault="00A971AA">
            <w:pPr>
              <w:pStyle w:val="HTML1"/>
              <w:widowControl/>
              <w:jc w:val="center"/>
              <w:rPr>
                <w:rFonts w:hint="default"/>
                <w:sz w:val="21"/>
                <w:szCs w:val="21"/>
              </w:rPr>
            </w:pPr>
            <w:r>
              <w:rPr>
                <w:color w:val="000000"/>
                <w:sz w:val="21"/>
                <w:szCs w:val="21"/>
              </w:rPr>
              <w:t>保</w:t>
            </w:r>
          </w:p>
          <w:p w14:paraId="6893FB3D" w14:textId="77777777" w:rsidR="00EC2C51" w:rsidRDefault="00A971AA">
            <w:pPr>
              <w:pStyle w:val="HTML1"/>
              <w:widowControl/>
              <w:jc w:val="center"/>
              <w:rPr>
                <w:rFonts w:hint="default"/>
                <w:sz w:val="21"/>
                <w:szCs w:val="21"/>
              </w:rPr>
            </w:pPr>
            <w:proofErr w:type="gramStart"/>
            <w:r>
              <w:rPr>
                <w:color w:val="000000"/>
                <w:sz w:val="21"/>
                <w:szCs w:val="21"/>
              </w:rPr>
              <w:t>障</w:t>
            </w:r>
            <w:proofErr w:type="gramEnd"/>
          </w:p>
          <w:p w14:paraId="101A30C0" w14:textId="77777777" w:rsidR="00EC2C51" w:rsidRDefault="00A971AA">
            <w:pPr>
              <w:pStyle w:val="HTML1"/>
              <w:widowControl/>
              <w:jc w:val="center"/>
              <w:rPr>
                <w:rFonts w:hint="default"/>
                <w:sz w:val="21"/>
                <w:szCs w:val="21"/>
              </w:rPr>
            </w:pPr>
            <w:r>
              <w:rPr>
                <w:color w:val="000000"/>
                <w:sz w:val="21"/>
                <w:szCs w:val="21"/>
              </w:rPr>
              <w:t>能</w:t>
            </w:r>
          </w:p>
          <w:p w14:paraId="57CCE434" w14:textId="77777777" w:rsidR="00EC2C51" w:rsidRDefault="00A971AA">
            <w:pPr>
              <w:pStyle w:val="HTML1"/>
              <w:widowControl/>
              <w:jc w:val="center"/>
              <w:rPr>
                <w:rFonts w:hint="default"/>
                <w:sz w:val="21"/>
                <w:szCs w:val="21"/>
              </w:rPr>
            </w:pPr>
            <w:r>
              <w:rPr>
                <w:color w:val="000000"/>
                <w:sz w:val="21"/>
                <w:szCs w:val="21"/>
              </w:rPr>
              <w:t>力</w:t>
            </w:r>
          </w:p>
          <w:p w14:paraId="6A5B9068" w14:textId="77777777" w:rsidR="00EC2C51" w:rsidRDefault="00A971AA">
            <w:pPr>
              <w:pStyle w:val="HTML1"/>
              <w:widowControl/>
              <w:jc w:val="center"/>
              <w:rPr>
                <w:rFonts w:hint="default"/>
                <w:sz w:val="21"/>
                <w:szCs w:val="21"/>
              </w:rPr>
            </w:pPr>
            <w:r>
              <w:rPr>
                <w:color w:val="000000"/>
                <w:sz w:val="21"/>
                <w:szCs w:val="21"/>
              </w:rPr>
              <w:t>性</w:t>
            </w:r>
          </w:p>
          <w:p w14:paraId="55BFC6BD" w14:textId="77777777" w:rsidR="00EC2C51" w:rsidRDefault="00A971AA">
            <w:pPr>
              <w:pStyle w:val="HTML1"/>
              <w:widowControl/>
              <w:jc w:val="center"/>
              <w:rPr>
                <w:rFonts w:hint="default"/>
                <w:sz w:val="21"/>
                <w:szCs w:val="21"/>
              </w:rPr>
            </w:pPr>
            <w:r>
              <w:rPr>
                <w:color w:val="000000"/>
                <w:sz w:val="21"/>
                <w:szCs w:val="21"/>
              </w:rPr>
              <w:t>指</w:t>
            </w:r>
          </w:p>
          <w:p w14:paraId="39381C26" w14:textId="77777777" w:rsidR="00EC2C51" w:rsidRDefault="00A971AA">
            <w:pPr>
              <w:pStyle w:val="HTML1"/>
              <w:widowControl/>
              <w:jc w:val="center"/>
              <w:rPr>
                <w:rFonts w:hint="default"/>
                <w:sz w:val="21"/>
                <w:szCs w:val="21"/>
              </w:rPr>
            </w:pPr>
            <w:r>
              <w:rPr>
                <w:color w:val="000000"/>
                <w:sz w:val="21"/>
                <w:szCs w:val="21"/>
              </w:rPr>
              <w:t>标</w:t>
            </w:r>
          </w:p>
          <w:p w14:paraId="389CAF54" w14:textId="77777777" w:rsidR="00EC2C51" w:rsidRDefault="00EC2C51">
            <w:pPr>
              <w:pStyle w:val="HTML1"/>
              <w:widowControl/>
              <w:jc w:val="center"/>
              <w:rPr>
                <w:rFonts w:hint="default"/>
                <w:sz w:val="21"/>
                <w:szCs w:val="21"/>
              </w:rPr>
            </w:pPr>
          </w:p>
        </w:tc>
        <w:tc>
          <w:tcPr>
            <w:tcW w:w="648" w:type="dxa"/>
            <w:vMerge w:val="restart"/>
            <w:vAlign w:val="center"/>
          </w:tcPr>
          <w:p w14:paraId="6DFEF4F7" w14:textId="77777777" w:rsidR="00EC2C51" w:rsidRDefault="00EC2C51">
            <w:pPr>
              <w:pStyle w:val="HTML1"/>
              <w:widowControl/>
              <w:jc w:val="center"/>
              <w:rPr>
                <w:rFonts w:hint="default"/>
                <w:sz w:val="21"/>
                <w:szCs w:val="21"/>
              </w:rPr>
            </w:pPr>
          </w:p>
          <w:p w14:paraId="6908A48F" w14:textId="77777777" w:rsidR="00EC2C51" w:rsidRDefault="00A971AA">
            <w:pPr>
              <w:pStyle w:val="HTML1"/>
              <w:widowControl/>
              <w:jc w:val="center"/>
              <w:rPr>
                <w:rFonts w:hint="default"/>
                <w:sz w:val="21"/>
                <w:szCs w:val="21"/>
              </w:rPr>
            </w:pPr>
            <w:r>
              <w:rPr>
                <w:color w:val="000000"/>
                <w:sz w:val="21"/>
                <w:szCs w:val="21"/>
              </w:rPr>
              <w:t>人</w:t>
            </w:r>
          </w:p>
          <w:p w14:paraId="0B9DF378" w14:textId="77777777" w:rsidR="00EC2C51" w:rsidRDefault="00EC2C51">
            <w:pPr>
              <w:pStyle w:val="HTML1"/>
              <w:widowControl/>
              <w:ind w:firstLine="640"/>
              <w:jc w:val="center"/>
              <w:rPr>
                <w:rFonts w:hint="default"/>
                <w:color w:val="000000"/>
                <w:sz w:val="21"/>
                <w:szCs w:val="21"/>
              </w:rPr>
            </w:pPr>
          </w:p>
          <w:p w14:paraId="4591FD30" w14:textId="77777777" w:rsidR="00EC2C51" w:rsidRDefault="00EC2C51">
            <w:pPr>
              <w:pStyle w:val="HTML1"/>
              <w:widowControl/>
              <w:ind w:firstLine="640"/>
              <w:jc w:val="center"/>
              <w:rPr>
                <w:rFonts w:hint="default"/>
                <w:color w:val="000000"/>
                <w:sz w:val="21"/>
                <w:szCs w:val="21"/>
              </w:rPr>
            </w:pPr>
          </w:p>
          <w:p w14:paraId="0CAAF5EE" w14:textId="77777777" w:rsidR="00EC2C51" w:rsidRDefault="00A971AA">
            <w:pPr>
              <w:pStyle w:val="HTML1"/>
              <w:widowControl/>
              <w:jc w:val="center"/>
              <w:rPr>
                <w:rFonts w:hint="default"/>
                <w:sz w:val="21"/>
                <w:szCs w:val="21"/>
              </w:rPr>
            </w:pPr>
            <w:r>
              <w:rPr>
                <w:color w:val="000000"/>
                <w:sz w:val="21"/>
                <w:szCs w:val="21"/>
              </w:rPr>
              <w:t>防</w:t>
            </w:r>
          </w:p>
          <w:p w14:paraId="15A9569F" w14:textId="77777777" w:rsidR="00EC2C51" w:rsidRDefault="00EC2C51">
            <w:pPr>
              <w:pStyle w:val="HTML1"/>
              <w:widowControl/>
              <w:jc w:val="center"/>
              <w:rPr>
                <w:rFonts w:hint="default"/>
                <w:sz w:val="21"/>
                <w:szCs w:val="21"/>
              </w:rPr>
            </w:pPr>
          </w:p>
        </w:tc>
        <w:tc>
          <w:tcPr>
            <w:tcW w:w="3300" w:type="dxa"/>
            <w:vAlign w:val="center"/>
          </w:tcPr>
          <w:p w14:paraId="1C6CDD38" w14:textId="77777777" w:rsidR="00EC2C51" w:rsidRDefault="00A971AA">
            <w:pPr>
              <w:pStyle w:val="HTML1"/>
              <w:widowControl/>
              <w:jc w:val="center"/>
              <w:rPr>
                <w:rFonts w:hint="default"/>
                <w:sz w:val="21"/>
                <w:szCs w:val="21"/>
              </w:rPr>
            </w:pPr>
            <w:r>
              <w:rPr>
                <w:color w:val="000000"/>
                <w:sz w:val="21"/>
                <w:szCs w:val="21"/>
              </w:rPr>
              <w:t>企业负责人培训合格率</w:t>
            </w:r>
          </w:p>
          <w:p w14:paraId="176F5D73" w14:textId="77777777" w:rsidR="00EC2C51" w:rsidRDefault="00EC2C51">
            <w:pPr>
              <w:pStyle w:val="HTML1"/>
              <w:widowControl/>
              <w:jc w:val="center"/>
              <w:rPr>
                <w:rFonts w:hint="default"/>
                <w:sz w:val="21"/>
                <w:szCs w:val="21"/>
              </w:rPr>
            </w:pPr>
          </w:p>
        </w:tc>
        <w:tc>
          <w:tcPr>
            <w:tcW w:w="1185" w:type="dxa"/>
            <w:vAlign w:val="center"/>
          </w:tcPr>
          <w:p w14:paraId="2660CFC8" w14:textId="77777777" w:rsidR="00EC2C51" w:rsidRDefault="00A971AA">
            <w:pPr>
              <w:pStyle w:val="HTML1"/>
              <w:widowControl/>
              <w:jc w:val="center"/>
              <w:rPr>
                <w:rFonts w:hint="default"/>
                <w:color w:val="000000"/>
                <w:sz w:val="21"/>
                <w:szCs w:val="21"/>
              </w:rPr>
            </w:pPr>
            <w:r>
              <w:rPr>
                <w:color w:val="000000"/>
                <w:sz w:val="21"/>
                <w:szCs w:val="21"/>
              </w:rPr>
              <w:t>100%</w:t>
            </w:r>
          </w:p>
          <w:p w14:paraId="6B0FFEAD" w14:textId="77777777" w:rsidR="00EC2C51" w:rsidRDefault="00EC2C51">
            <w:pPr>
              <w:pStyle w:val="HTML1"/>
              <w:widowControl/>
              <w:jc w:val="center"/>
              <w:rPr>
                <w:rFonts w:hint="default"/>
                <w:sz w:val="21"/>
                <w:szCs w:val="21"/>
              </w:rPr>
            </w:pPr>
          </w:p>
        </w:tc>
        <w:tc>
          <w:tcPr>
            <w:tcW w:w="1410" w:type="dxa"/>
            <w:vAlign w:val="center"/>
          </w:tcPr>
          <w:p w14:paraId="5FAA1693" w14:textId="77777777" w:rsidR="00EC2C51" w:rsidRDefault="00A971AA">
            <w:pPr>
              <w:pStyle w:val="HTML1"/>
              <w:widowControl/>
              <w:jc w:val="center"/>
              <w:rPr>
                <w:rFonts w:hint="default"/>
                <w:sz w:val="21"/>
                <w:szCs w:val="21"/>
              </w:rPr>
            </w:pPr>
            <w:r>
              <w:rPr>
                <w:sz w:val="21"/>
                <w:szCs w:val="21"/>
              </w:rPr>
              <w:t>预期性</w:t>
            </w:r>
          </w:p>
        </w:tc>
      </w:tr>
      <w:tr w:rsidR="00EC2C51" w14:paraId="074D0E55" w14:textId="77777777">
        <w:trPr>
          <w:trHeight w:val="748"/>
        </w:trPr>
        <w:tc>
          <w:tcPr>
            <w:tcW w:w="937" w:type="dxa"/>
            <w:vMerge/>
            <w:vAlign w:val="center"/>
          </w:tcPr>
          <w:p w14:paraId="4157EC80" w14:textId="77777777" w:rsidR="00EC2C51" w:rsidRDefault="00EC2C51">
            <w:pPr>
              <w:pStyle w:val="HTML1"/>
              <w:widowControl/>
              <w:jc w:val="center"/>
              <w:rPr>
                <w:rFonts w:hint="default"/>
                <w:sz w:val="21"/>
                <w:szCs w:val="21"/>
              </w:rPr>
            </w:pPr>
          </w:p>
        </w:tc>
        <w:tc>
          <w:tcPr>
            <w:tcW w:w="648" w:type="dxa"/>
            <w:vMerge/>
            <w:vAlign w:val="center"/>
          </w:tcPr>
          <w:p w14:paraId="6518BFB1" w14:textId="77777777" w:rsidR="00EC2C51" w:rsidRDefault="00EC2C51">
            <w:pPr>
              <w:pStyle w:val="HTML1"/>
              <w:widowControl/>
              <w:jc w:val="center"/>
              <w:rPr>
                <w:rFonts w:hint="default"/>
                <w:sz w:val="21"/>
                <w:szCs w:val="21"/>
              </w:rPr>
            </w:pPr>
          </w:p>
        </w:tc>
        <w:tc>
          <w:tcPr>
            <w:tcW w:w="3300" w:type="dxa"/>
            <w:vAlign w:val="center"/>
          </w:tcPr>
          <w:p w14:paraId="017ED74D" w14:textId="77777777" w:rsidR="00EC2C51" w:rsidRDefault="00A971AA">
            <w:pPr>
              <w:pStyle w:val="HTML1"/>
              <w:widowControl/>
              <w:jc w:val="center"/>
              <w:rPr>
                <w:rFonts w:hint="default"/>
                <w:sz w:val="21"/>
                <w:szCs w:val="21"/>
              </w:rPr>
            </w:pPr>
            <w:r>
              <w:rPr>
                <w:color w:val="000000"/>
                <w:sz w:val="21"/>
                <w:szCs w:val="21"/>
              </w:rPr>
              <w:t>安全生产许可证持证率</w:t>
            </w:r>
          </w:p>
          <w:p w14:paraId="7A164AF5" w14:textId="77777777" w:rsidR="00EC2C51" w:rsidRDefault="00EC2C51">
            <w:pPr>
              <w:pStyle w:val="HTML1"/>
              <w:widowControl/>
              <w:jc w:val="center"/>
              <w:rPr>
                <w:rFonts w:hint="default"/>
                <w:color w:val="000000"/>
                <w:sz w:val="21"/>
                <w:szCs w:val="21"/>
              </w:rPr>
            </w:pPr>
          </w:p>
        </w:tc>
        <w:tc>
          <w:tcPr>
            <w:tcW w:w="1185" w:type="dxa"/>
            <w:vAlign w:val="center"/>
          </w:tcPr>
          <w:p w14:paraId="44469CBB" w14:textId="77777777" w:rsidR="00EC2C51" w:rsidRDefault="00A971AA">
            <w:pPr>
              <w:pStyle w:val="HTML1"/>
              <w:widowControl/>
              <w:jc w:val="center"/>
              <w:rPr>
                <w:rFonts w:hint="default"/>
                <w:color w:val="000000"/>
                <w:sz w:val="21"/>
                <w:szCs w:val="21"/>
              </w:rPr>
            </w:pPr>
            <w:r>
              <w:rPr>
                <w:color w:val="000000"/>
                <w:sz w:val="21"/>
                <w:szCs w:val="21"/>
              </w:rPr>
              <w:t>100%</w:t>
            </w:r>
          </w:p>
          <w:p w14:paraId="63F77D62" w14:textId="77777777" w:rsidR="00EC2C51" w:rsidRDefault="00EC2C51">
            <w:pPr>
              <w:pStyle w:val="HTML1"/>
              <w:widowControl/>
              <w:jc w:val="center"/>
              <w:rPr>
                <w:rFonts w:hint="default"/>
                <w:sz w:val="21"/>
                <w:szCs w:val="21"/>
              </w:rPr>
            </w:pPr>
          </w:p>
        </w:tc>
        <w:tc>
          <w:tcPr>
            <w:tcW w:w="1410" w:type="dxa"/>
            <w:vAlign w:val="center"/>
          </w:tcPr>
          <w:p w14:paraId="2892156F" w14:textId="77777777" w:rsidR="00EC2C51" w:rsidRDefault="00A971AA">
            <w:pPr>
              <w:widowControl/>
              <w:jc w:val="center"/>
              <w:rPr>
                <w:rFonts w:ascii="宋体" w:hAnsi="宋体" w:cs="宋体"/>
                <w:szCs w:val="21"/>
              </w:rPr>
            </w:pPr>
            <w:r>
              <w:rPr>
                <w:rFonts w:cs="宋体" w:hint="eastAsia"/>
                <w:szCs w:val="21"/>
              </w:rPr>
              <w:t>预期性</w:t>
            </w:r>
          </w:p>
        </w:tc>
      </w:tr>
      <w:tr w:rsidR="00EC2C51" w14:paraId="77E5D004" w14:textId="77777777">
        <w:tc>
          <w:tcPr>
            <w:tcW w:w="937" w:type="dxa"/>
            <w:vMerge/>
            <w:vAlign w:val="center"/>
          </w:tcPr>
          <w:p w14:paraId="322B7F8A" w14:textId="77777777" w:rsidR="00EC2C51" w:rsidRDefault="00EC2C51">
            <w:pPr>
              <w:pStyle w:val="HTML1"/>
              <w:widowControl/>
              <w:jc w:val="center"/>
              <w:rPr>
                <w:rFonts w:hint="default"/>
                <w:sz w:val="21"/>
                <w:szCs w:val="21"/>
              </w:rPr>
            </w:pPr>
          </w:p>
        </w:tc>
        <w:tc>
          <w:tcPr>
            <w:tcW w:w="648" w:type="dxa"/>
            <w:vMerge/>
            <w:vAlign w:val="center"/>
          </w:tcPr>
          <w:p w14:paraId="49C88E80" w14:textId="77777777" w:rsidR="00EC2C51" w:rsidRDefault="00EC2C51">
            <w:pPr>
              <w:pStyle w:val="HTML1"/>
              <w:widowControl/>
              <w:jc w:val="center"/>
              <w:rPr>
                <w:rFonts w:hint="default"/>
                <w:sz w:val="21"/>
                <w:szCs w:val="21"/>
              </w:rPr>
            </w:pPr>
          </w:p>
        </w:tc>
        <w:tc>
          <w:tcPr>
            <w:tcW w:w="3300" w:type="dxa"/>
            <w:vAlign w:val="center"/>
          </w:tcPr>
          <w:p w14:paraId="2E0F9546" w14:textId="77777777" w:rsidR="00EC2C51" w:rsidRDefault="00A971AA">
            <w:pPr>
              <w:pStyle w:val="HTML1"/>
              <w:widowControl/>
              <w:jc w:val="center"/>
              <w:rPr>
                <w:rFonts w:hint="default"/>
                <w:sz w:val="21"/>
                <w:szCs w:val="21"/>
              </w:rPr>
            </w:pPr>
            <w:r>
              <w:rPr>
                <w:color w:val="000000"/>
                <w:sz w:val="21"/>
                <w:szCs w:val="21"/>
              </w:rPr>
              <w:t>注册安全工程师配备率</w:t>
            </w:r>
          </w:p>
          <w:p w14:paraId="26DE70ED" w14:textId="77777777" w:rsidR="00EC2C51" w:rsidRDefault="00EC2C51">
            <w:pPr>
              <w:pStyle w:val="HTML1"/>
              <w:widowControl/>
              <w:jc w:val="center"/>
              <w:rPr>
                <w:rFonts w:hint="default"/>
                <w:color w:val="000000"/>
                <w:sz w:val="21"/>
                <w:szCs w:val="21"/>
              </w:rPr>
            </w:pPr>
          </w:p>
        </w:tc>
        <w:tc>
          <w:tcPr>
            <w:tcW w:w="1185" w:type="dxa"/>
            <w:vAlign w:val="center"/>
          </w:tcPr>
          <w:p w14:paraId="3E9F0D6A" w14:textId="77777777" w:rsidR="00EC2C51" w:rsidRDefault="00A971AA">
            <w:pPr>
              <w:pStyle w:val="HTML1"/>
              <w:widowControl/>
              <w:jc w:val="center"/>
              <w:rPr>
                <w:rFonts w:hint="default"/>
                <w:color w:val="000000"/>
                <w:sz w:val="21"/>
                <w:szCs w:val="21"/>
              </w:rPr>
            </w:pPr>
            <w:r>
              <w:rPr>
                <w:color w:val="000000"/>
                <w:sz w:val="21"/>
                <w:szCs w:val="21"/>
              </w:rPr>
              <w:t>100%</w:t>
            </w:r>
          </w:p>
          <w:p w14:paraId="76D262C3" w14:textId="77777777" w:rsidR="00EC2C51" w:rsidRDefault="00EC2C51">
            <w:pPr>
              <w:pStyle w:val="HTML1"/>
              <w:widowControl/>
              <w:jc w:val="center"/>
              <w:rPr>
                <w:rFonts w:hint="default"/>
                <w:sz w:val="21"/>
                <w:szCs w:val="21"/>
              </w:rPr>
            </w:pPr>
          </w:p>
        </w:tc>
        <w:tc>
          <w:tcPr>
            <w:tcW w:w="1410" w:type="dxa"/>
            <w:vAlign w:val="center"/>
          </w:tcPr>
          <w:p w14:paraId="0023C915" w14:textId="77777777" w:rsidR="00EC2C51" w:rsidRDefault="00A971AA">
            <w:pPr>
              <w:widowControl/>
              <w:jc w:val="center"/>
              <w:rPr>
                <w:rFonts w:ascii="宋体" w:hAnsi="宋体" w:cs="宋体"/>
                <w:szCs w:val="21"/>
              </w:rPr>
            </w:pPr>
            <w:r>
              <w:rPr>
                <w:rFonts w:cs="宋体" w:hint="eastAsia"/>
                <w:szCs w:val="21"/>
              </w:rPr>
              <w:t>预期性</w:t>
            </w:r>
          </w:p>
        </w:tc>
      </w:tr>
      <w:tr w:rsidR="00EC2C51" w14:paraId="30BC9712" w14:textId="77777777">
        <w:tc>
          <w:tcPr>
            <w:tcW w:w="937" w:type="dxa"/>
            <w:vMerge/>
            <w:vAlign w:val="center"/>
          </w:tcPr>
          <w:p w14:paraId="466A1BCC" w14:textId="77777777" w:rsidR="00EC2C51" w:rsidRDefault="00EC2C51">
            <w:pPr>
              <w:pStyle w:val="HTML1"/>
              <w:widowControl/>
              <w:jc w:val="center"/>
              <w:rPr>
                <w:rFonts w:hint="default"/>
                <w:sz w:val="21"/>
                <w:szCs w:val="21"/>
              </w:rPr>
            </w:pPr>
          </w:p>
        </w:tc>
        <w:tc>
          <w:tcPr>
            <w:tcW w:w="648" w:type="dxa"/>
            <w:vMerge/>
            <w:vAlign w:val="center"/>
          </w:tcPr>
          <w:p w14:paraId="6FB92A03" w14:textId="77777777" w:rsidR="00EC2C51" w:rsidRDefault="00EC2C51">
            <w:pPr>
              <w:pStyle w:val="HTML1"/>
              <w:widowControl/>
              <w:jc w:val="center"/>
              <w:rPr>
                <w:rFonts w:hint="default"/>
                <w:sz w:val="21"/>
                <w:szCs w:val="21"/>
              </w:rPr>
            </w:pPr>
          </w:p>
        </w:tc>
        <w:tc>
          <w:tcPr>
            <w:tcW w:w="3300" w:type="dxa"/>
            <w:vAlign w:val="center"/>
          </w:tcPr>
          <w:p w14:paraId="2D8DAB2E" w14:textId="77777777" w:rsidR="00EC2C51" w:rsidRDefault="00A971AA">
            <w:pPr>
              <w:pStyle w:val="HTML1"/>
              <w:widowControl/>
              <w:jc w:val="center"/>
              <w:rPr>
                <w:rFonts w:hint="default"/>
                <w:sz w:val="21"/>
                <w:szCs w:val="21"/>
              </w:rPr>
            </w:pPr>
            <w:r>
              <w:rPr>
                <w:color w:val="000000"/>
                <w:sz w:val="21"/>
                <w:szCs w:val="21"/>
              </w:rPr>
              <w:t>企业负责人专业学历达标率</w:t>
            </w:r>
          </w:p>
          <w:p w14:paraId="2EECC161" w14:textId="77777777" w:rsidR="00EC2C51" w:rsidRDefault="00EC2C51">
            <w:pPr>
              <w:pStyle w:val="HTML1"/>
              <w:widowControl/>
              <w:jc w:val="center"/>
              <w:rPr>
                <w:rFonts w:hint="default"/>
                <w:color w:val="000000"/>
                <w:sz w:val="21"/>
                <w:szCs w:val="21"/>
              </w:rPr>
            </w:pPr>
          </w:p>
        </w:tc>
        <w:tc>
          <w:tcPr>
            <w:tcW w:w="1185" w:type="dxa"/>
            <w:vAlign w:val="center"/>
          </w:tcPr>
          <w:p w14:paraId="4BC36C85" w14:textId="77777777" w:rsidR="00EC2C51" w:rsidRDefault="00A971AA">
            <w:pPr>
              <w:pStyle w:val="HTML1"/>
              <w:widowControl/>
              <w:jc w:val="center"/>
              <w:rPr>
                <w:rFonts w:hint="default"/>
                <w:color w:val="000000"/>
                <w:sz w:val="21"/>
                <w:szCs w:val="21"/>
              </w:rPr>
            </w:pPr>
            <w:r>
              <w:rPr>
                <w:color w:val="000000"/>
                <w:sz w:val="21"/>
                <w:szCs w:val="21"/>
              </w:rPr>
              <w:t>100%</w:t>
            </w:r>
          </w:p>
          <w:p w14:paraId="232712B2" w14:textId="77777777" w:rsidR="00EC2C51" w:rsidRDefault="00EC2C51">
            <w:pPr>
              <w:pStyle w:val="HTML1"/>
              <w:widowControl/>
              <w:jc w:val="center"/>
              <w:rPr>
                <w:rFonts w:hint="default"/>
                <w:sz w:val="21"/>
                <w:szCs w:val="21"/>
              </w:rPr>
            </w:pPr>
          </w:p>
        </w:tc>
        <w:tc>
          <w:tcPr>
            <w:tcW w:w="1410" w:type="dxa"/>
            <w:vAlign w:val="center"/>
          </w:tcPr>
          <w:p w14:paraId="2D04EB1E" w14:textId="77777777" w:rsidR="00EC2C51" w:rsidRDefault="00A971AA">
            <w:pPr>
              <w:widowControl/>
              <w:jc w:val="center"/>
              <w:rPr>
                <w:rFonts w:ascii="宋体" w:hAnsi="宋体" w:cs="宋体"/>
                <w:szCs w:val="21"/>
              </w:rPr>
            </w:pPr>
            <w:r>
              <w:rPr>
                <w:rFonts w:cs="宋体" w:hint="eastAsia"/>
                <w:szCs w:val="21"/>
              </w:rPr>
              <w:t>预期性</w:t>
            </w:r>
          </w:p>
        </w:tc>
      </w:tr>
      <w:tr w:rsidR="00EC2C51" w14:paraId="62EC106F" w14:textId="77777777">
        <w:tc>
          <w:tcPr>
            <w:tcW w:w="937" w:type="dxa"/>
            <w:vMerge/>
            <w:vAlign w:val="center"/>
          </w:tcPr>
          <w:p w14:paraId="4DFC57B8" w14:textId="77777777" w:rsidR="00EC2C51" w:rsidRDefault="00EC2C51">
            <w:pPr>
              <w:pStyle w:val="HTML1"/>
              <w:widowControl/>
              <w:jc w:val="center"/>
              <w:rPr>
                <w:rFonts w:hint="default"/>
                <w:sz w:val="21"/>
                <w:szCs w:val="21"/>
              </w:rPr>
            </w:pPr>
          </w:p>
        </w:tc>
        <w:tc>
          <w:tcPr>
            <w:tcW w:w="648" w:type="dxa"/>
            <w:vMerge/>
            <w:vAlign w:val="center"/>
          </w:tcPr>
          <w:p w14:paraId="64BE00F0" w14:textId="77777777" w:rsidR="00EC2C51" w:rsidRDefault="00EC2C51">
            <w:pPr>
              <w:pStyle w:val="HTML1"/>
              <w:widowControl/>
              <w:jc w:val="center"/>
              <w:rPr>
                <w:rFonts w:hint="default"/>
                <w:sz w:val="21"/>
                <w:szCs w:val="21"/>
              </w:rPr>
            </w:pPr>
          </w:p>
        </w:tc>
        <w:tc>
          <w:tcPr>
            <w:tcW w:w="3300" w:type="dxa"/>
            <w:vAlign w:val="center"/>
          </w:tcPr>
          <w:p w14:paraId="6836E1E2" w14:textId="77777777" w:rsidR="00EC2C51" w:rsidRDefault="00A971AA">
            <w:pPr>
              <w:pStyle w:val="HTML1"/>
              <w:widowControl/>
              <w:jc w:val="center"/>
              <w:rPr>
                <w:rFonts w:hint="default"/>
                <w:sz w:val="21"/>
                <w:szCs w:val="21"/>
              </w:rPr>
            </w:pPr>
            <w:r>
              <w:rPr>
                <w:color w:val="000000"/>
                <w:sz w:val="21"/>
                <w:szCs w:val="21"/>
              </w:rPr>
              <w:t>行政执法队伍持证上岗率</w:t>
            </w:r>
          </w:p>
          <w:p w14:paraId="1C848E1E" w14:textId="77777777" w:rsidR="00EC2C51" w:rsidRDefault="00EC2C51">
            <w:pPr>
              <w:pStyle w:val="HTML1"/>
              <w:widowControl/>
              <w:jc w:val="center"/>
              <w:rPr>
                <w:rFonts w:hint="default"/>
                <w:color w:val="000000"/>
                <w:sz w:val="21"/>
                <w:szCs w:val="21"/>
              </w:rPr>
            </w:pPr>
          </w:p>
        </w:tc>
        <w:tc>
          <w:tcPr>
            <w:tcW w:w="1185" w:type="dxa"/>
            <w:vAlign w:val="center"/>
          </w:tcPr>
          <w:p w14:paraId="244CE7C5" w14:textId="77777777" w:rsidR="00EC2C51" w:rsidRDefault="00A971AA">
            <w:pPr>
              <w:pStyle w:val="HTML1"/>
              <w:widowControl/>
              <w:jc w:val="center"/>
              <w:rPr>
                <w:rFonts w:hint="default"/>
                <w:sz w:val="21"/>
                <w:szCs w:val="21"/>
              </w:rPr>
            </w:pPr>
            <w:r>
              <w:rPr>
                <w:color w:val="000000"/>
                <w:sz w:val="21"/>
                <w:szCs w:val="21"/>
              </w:rPr>
              <w:t>＞50%</w:t>
            </w:r>
          </w:p>
        </w:tc>
        <w:tc>
          <w:tcPr>
            <w:tcW w:w="1410" w:type="dxa"/>
            <w:vAlign w:val="center"/>
          </w:tcPr>
          <w:p w14:paraId="3564465C" w14:textId="77777777" w:rsidR="00EC2C51" w:rsidRDefault="00A971AA">
            <w:pPr>
              <w:widowControl/>
              <w:jc w:val="center"/>
              <w:rPr>
                <w:rFonts w:ascii="宋体" w:hAnsi="宋体" w:cs="宋体"/>
                <w:color w:val="000000"/>
                <w:szCs w:val="21"/>
              </w:rPr>
            </w:pPr>
            <w:r>
              <w:rPr>
                <w:rFonts w:cs="宋体" w:hint="eastAsia"/>
                <w:szCs w:val="21"/>
              </w:rPr>
              <w:t>预期性</w:t>
            </w:r>
          </w:p>
        </w:tc>
      </w:tr>
      <w:tr w:rsidR="00EC2C51" w14:paraId="64650786" w14:textId="77777777">
        <w:tc>
          <w:tcPr>
            <w:tcW w:w="937" w:type="dxa"/>
            <w:vMerge/>
            <w:vAlign w:val="center"/>
          </w:tcPr>
          <w:p w14:paraId="153F6A70" w14:textId="77777777" w:rsidR="00EC2C51" w:rsidRDefault="00EC2C51">
            <w:pPr>
              <w:pStyle w:val="HTML1"/>
              <w:widowControl/>
              <w:jc w:val="center"/>
              <w:rPr>
                <w:rFonts w:hint="default"/>
                <w:sz w:val="21"/>
                <w:szCs w:val="21"/>
              </w:rPr>
            </w:pPr>
          </w:p>
        </w:tc>
        <w:tc>
          <w:tcPr>
            <w:tcW w:w="648" w:type="dxa"/>
            <w:vMerge/>
            <w:vAlign w:val="center"/>
          </w:tcPr>
          <w:p w14:paraId="3CE304AF" w14:textId="77777777" w:rsidR="00EC2C51" w:rsidRDefault="00EC2C51">
            <w:pPr>
              <w:pStyle w:val="HTML1"/>
              <w:widowControl/>
              <w:jc w:val="center"/>
              <w:rPr>
                <w:rFonts w:hint="default"/>
                <w:sz w:val="21"/>
                <w:szCs w:val="21"/>
              </w:rPr>
            </w:pPr>
          </w:p>
        </w:tc>
        <w:tc>
          <w:tcPr>
            <w:tcW w:w="3300" w:type="dxa"/>
            <w:vAlign w:val="center"/>
          </w:tcPr>
          <w:p w14:paraId="6C3777AD" w14:textId="77777777" w:rsidR="00EC2C51" w:rsidRDefault="00A971AA">
            <w:pPr>
              <w:pStyle w:val="HTML1"/>
              <w:widowControl/>
              <w:jc w:val="center"/>
              <w:rPr>
                <w:rFonts w:hint="default"/>
                <w:sz w:val="21"/>
                <w:szCs w:val="21"/>
              </w:rPr>
            </w:pPr>
            <w:r>
              <w:rPr>
                <w:color w:val="000000"/>
                <w:sz w:val="21"/>
                <w:szCs w:val="21"/>
              </w:rPr>
              <w:t>从业持证上岗率</w:t>
            </w:r>
          </w:p>
          <w:p w14:paraId="26F71A57" w14:textId="77777777" w:rsidR="00EC2C51" w:rsidRDefault="00EC2C51">
            <w:pPr>
              <w:pStyle w:val="HTML1"/>
              <w:widowControl/>
              <w:jc w:val="center"/>
              <w:rPr>
                <w:rFonts w:hint="default"/>
                <w:color w:val="000000"/>
                <w:sz w:val="21"/>
                <w:szCs w:val="21"/>
              </w:rPr>
            </w:pPr>
          </w:p>
        </w:tc>
        <w:tc>
          <w:tcPr>
            <w:tcW w:w="1185" w:type="dxa"/>
            <w:vAlign w:val="center"/>
          </w:tcPr>
          <w:p w14:paraId="70BA440F" w14:textId="77777777" w:rsidR="00EC2C51" w:rsidRDefault="00A971AA">
            <w:pPr>
              <w:pStyle w:val="HTML1"/>
              <w:widowControl/>
              <w:jc w:val="center"/>
              <w:rPr>
                <w:rFonts w:hint="default"/>
                <w:color w:val="000000"/>
                <w:sz w:val="21"/>
                <w:szCs w:val="21"/>
              </w:rPr>
            </w:pPr>
            <w:r>
              <w:rPr>
                <w:color w:val="000000"/>
                <w:sz w:val="21"/>
                <w:szCs w:val="21"/>
              </w:rPr>
              <w:t>100%</w:t>
            </w:r>
          </w:p>
          <w:p w14:paraId="34D1E617" w14:textId="77777777" w:rsidR="00EC2C51" w:rsidRDefault="00EC2C51">
            <w:pPr>
              <w:pStyle w:val="HTML1"/>
              <w:widowControl/>
              <w:jc w:val="center"/>
              <w:rPr>
                <w:rFonts w:hint="default"/>
                <w:sz w:val="21"/>
                <w:szCs w:val="21"/>
              </w:rPr>
            </w:pPr>
          </w:p>
        </w:tc>
        <w:tc>
          <w:tcPr>
            <w:tcW w:w="1410" w:type="dxa"/>
            <w:vAlign w:val="center"/>
          </w:tcPr>
          <w:p w14:paraId="7374D6E5" w14:textId="77777777" w:rsidR="00EC2C51" w:rsidRDefault="00A971AA">
            <w:pPr>
              <w:widowControl/>
              <w:jc w:val="center"/>
              <w:rPr>
                <w:rFonts w:ascii="宋体" w:hAnsi="宋体" w:cs="宋体"/>
                <w:szCs w:val="21"/>
              </w:rPr>
            </w:pPr>
            <w:r>
              <w:rPr>
                <w:rFonts w:cs="宋体" w:hint="eastAsia"/>
                <w:szCs w:val="21"/>
              </w:rPr>
              <w:t>预期性</w:t>
            </w:r>
          </w:p>
        </w:tc>
      </w:tr>
      <w:tr w:rsidR="00EC2C51" w14:paraId="3845772D" w14:textId="77777777">
        <w:tc>
          <w:tcPr>
            <w:tcW w:w="937" w:type="dxa"/>
            <w:vMerge/>
            <w:vAlign w:val="center"/>
          </w:tcPr>
          <w:p w14:paraId="12DE9518" w14:textId="77777777" w:rsidR="00EC2C51" w:rsidRDefault="00EC2C51">
            <w:pPr>
              <w:pStyle w:val="HTML1"/>
              <w:widowControl/>
              <w:jc w:val="center"/>
              <w:rPr>
                <w:rFonts w:hint="default"/>
                <w:sz w:val="21"/>
                <w:szCs w:val="21"/>
              </w:rPr>
            </w:pPr>
          </w:p>
        </w:tc>
        <w:tc>
          <w:tcPr>
            <w:tcW w:w="648" w:type="dxa"/>
            <w:vMerge/>
            <w:vAlign w:val="center"/>
          </w:tcPr>
          <w:p w14:paraId="000A8567" w14:textId="77777777" w:rsidR="00EC2C51" w:rsidRDefault="00EC2C51">
            <w:pPr>
              <w:pStyle w:val="HTML1"/>
              <w:widowControl/>
              <w:jc w:val="center"/>
              <w:rPr>
                <w:rFonts w:hint="default"/>
                <w:sz w:val="21"/>
                <w:szCs w:val="21"/>
              </w:rPr>
            </w:pPr>
          </w:p>
        </w:tc>
        <w:tc>
          <w:tcPr>
            <w:tcW w:w="3300" w:type="dxa"/>
            <w:vAlign w:val="center"/>
          </w:tcPr>
          <w:p w14:paraId="2EAC5F11" w14:textId="77777777" w:rsidR="00EC2C51" w:rsidRDefault="00A971AA">
            <w:pPr>
              <w:pStyle w:val="HTML1"/>
              <w:widowControl/>
              <w:jc w:val="center"/>
              <w:rPr>
                <w:rFonts w:hint="default"/>
                <w:color w:val="000000"/>
                <w:sz w:val="21"/>
                <w:szCs w:val="21"/>
              </w:rPr>
            </w:pPr>
            <w:r>
              <w:rPr>
                <w:color w:val="000000"/>
                <w:sz w:val="21"/>
                <w:szCs w:val="21"/>
              </w:rPr>
              <w:t>企业安全应急培训费用投入合格率</w:t>
            </w:r>
          </w:p>
        </w:tc>
        <w:tc>
          <w:tcPr>
            <w:tcW w:w="1185" w:type="dxa"/>
            <w:vAlign w:val="center"/>
          </w:tcPr>
          <w:p w14:paraId="25C7CDD2" w14:textId="77777777" w:rsidR="00EC2C51" w:rsidRDefault="00A971AA">
            <w:pPr>
              <w:pStyle w:val="HTML1"/>
              <w:widowControl/>
              <w:jc w:val="center"/>
              <w:rPr>
                <w:rFonts w:hint="default"/>
                <w:color w:val="000000"/>
                <w:sz w:val="21"/>
                <w:szCs w:val="21"/>
              </w:rPr>
            </w:pPr>
            <w:r>
              <w:rPr>
                <w:color w:val="000000"/>
                <w:sz w:val="21"/>
                <w:szCs w:val="21"/>
              </w:rPr>
              <w:t>100%</w:t>
            </w:r>
          </w:p>
          <w:p w14:paraId="7D2FACB4" w14:textId="77777777" w:rsidR="00EC2C51" w:rsidRDefault="00EC2C51">
            <w:pPr>
              <w:pStyle w:val="HTML1"/>
              <w:widowControl/>
              <w:jc w:val="center"/>
              <w:rPr>
                <w:rFonts w:hint="default"/>
                <w:sz w:val="21"/>
                <w:szCs w:val="21"/>
              </w:rPr>
            </w:pPr>
          </w:p>
        </w:tc>
        <w:tc>
          <w:tcPr>
            <w:tcW w:w="1410" w:type="dxa"/>
            <w:vAlign w:val="center"/>
          </w:tcPr>
          <w:p w14:paraId="2901772B" w14:textId="77777777" w:rsidR="00EC2C51" w:rsidRDefault="00A971AA">
            <w:pPr>
              <w:widowControl/>
              <w:jc w:val="center"/>
              <w:rPr>
                <w:rFonts w:ascii="宋体" w:hAnsi="宋体" w:cs="宋体"/>
                <w:szCs w:val="21"/>
              </w:rPr>
            </w:pPr>
            <w:r>
              <w:rPr>
                <w:rFonts w:cs="宋体" w:hint="eastAsia"/>
                <w:szCs w:val="21"/>
              </w:rPr>
              <w:t>预期性</w:t>
            </w:r>
          </w:p>
        </w:tc>
      </w:tr>
      <w:tr w:rsidR="00EC2C51" w14:paraId="1D831629" w14:textId="77777777">
        <w:tc>
          <w:tcPr>
            <w:tcW w:w="937" w:type="dxa"/>
            <w:vMerge/>
            <w:vAlign w:val="center"/>
          </w:tcPr>
          <w:p w14:paraId="5BF9C8EC" w14:textId="77777777" w:rsidR="00EC2C51" w:rsidRDefault="00EC2C51">
            <w:pPr>
              <w:pStyle w:val="HTML1"/>
              <w:widowControl/>
              <w:jc w:val="center"/>
              <w:rPr>
                <w:rFonts w:hint="default"/>
                <w:sz w:val="21"/>
                <w:szCs w:val="21"/>
              </w:rPr>
            </w:pPr>
          </w:p>
        </w:tc>
        <w:tc>
          <w:tcPr>
            <w:tcW w:w="648" w:type="dxa"/>
            <w:vMerge/>
            <w:vAlign w:val="center"/>
          </w:tcPr>
          <w:p w14:paraId="189DDBD4" w14:textId="77777777" w:rsidR="00EC2C51" w:rsidRDefault="00EC2C51">
            <w:pPr>
              <w:pStyle w:val="HTML1"/>
              <w:widowControl/>
              <w:jc w:val="center"/>
              <w:rPr>
                <w:rFonts w:hint="default"/>
                <w:sz w:val="21"/>
                <w:szCs w:val="21"/>
              </w:rPr>
            </w:pPr>
          </w:p>
        </w:tc>
        <w:tc>
          <w:tcPr>
            <w:tcW w:w="3300" w:type="dxa"/>
            <w:vAlign w:val="center"/>
          </w:tcPr>
          <w:p w14:paraId="7B07228A" w14:textId="77777777" w:rsidR="00EC2C51" w:rsidRDefault="00A971AA">
            <w:pPr>
              <w:pStyle w:val="HTML1"/>
              <w:widowControl/>
              <w:jc w:val="center"/>
              <w:rPr>
                <w:rFonts w:hint="default"/>
                <w:sz w:val="21"/>
                <w:szCs w:val="21"/>
              </w:rPr>
            </w:pPr>
            <w:r>
              <w:rPr>
                <w:color w:val="000000"/>
                <w:sz w:val="21"/>
                <w:szCs w:val="21"/>
              </w:rPr>
              <w:t>校园安全教育开展次数</w:t>
            </w:r>
          </w:p>
          <w:p w14:paraId="5BC4EFC2" w14:textId="77777777" w:rsidR="00EC2C51" w:rsidRDefault="00EC2C51">
            <w:pPr>
              <w:pStyle w:val="HTML1"/>
              <w:widowControl/>
              <w:jc w:val="center"/>
              <w:rPr>
                <w:rFonts w:hint="default"/>
                <w:color w:val="000000"/>
                <w:sz w:val="21"/>
                <w:szCs w:val="21"/>
              </w:rPr>
            </w:pPr>
          </w:p>
        </w:tc>
        <w:tc>
          <w:tcPr>
            <w:tcW w:w="1185" w:type="dxa"/>
            <w:vAlign w:val="center"/>
          </w:tcPr>
          <w:p w14:paraId="2D2EC769" w14:textId="77777777" w:rsidR="00EC2C51" w:rsidRDefault="00A971AA">
            <w:pPr>
              <w:pStyle w:val="HTML1"/>
              <w:widowControl/>
              <w:jc w:val="center"/>
              <w:rPr>
                <w:rFonts w:hint="default"/>
                <w:sz w:val="21"/>
                <w:szCs w:val="21"/>
              </w:rPr>
            </w:pPr>
            <w:r>
              <w:rPr>
                <w:color w:val="000000"/>
                <w:sz w:val="21"/>
                <w:szCs w:val="21"/>
              </w:rPr>
              <w:t>&gt;2</w:t>
            </w:r>
          </w:p>
          <w:p w14:paraId="76A4CA21" w14:textId="77777777" w:rsidR="00EC2C51" w:rsidRDefault="00EC2C51">
            <w:pPr>
              <w:pStyle w:val="HTML1"/>
              <w:widowControl/>
              <w:jc w:val="center"/>
              <w:rPr>
                <w:rFonts w:hint="default"/>
                <w:sz w:val="21"/>
                <w:szCs w:val="21"/>
              </w:rPr>
            </w:pPr>
          </w:p>
        </w:tc>
        <w:tc>
          <w:tcPr>
            <w:tcW w:w="1410" w:type="dxa"/>
            <w:vAlign w:val="center"/>
          </w:tcPr>
          <w:p w14:paraId="2AEB3CAA" w14:textId="77777777" w:rsidR="00EC2C51" w:rsidRDefault="00A971AA">
            <w:pPr>
              <w:widowControl/>
              <w:jc w:val="center"/>
              <w:rPr>
                <w:rFonts w:ascii="宋体" w:hAnsi="宋体" w:cs="宋体"/>
                <w:szCs w:val="21"/>
              </w:rPr>
            </w:pPr>
            <w:r>
              <w:rPr>
                <w:rFonts w:cs="宋体" w:hint="eastAsia"/>
                <w:szCs w:val="21"/>
              </w:rPr>
              <w:t>预期性</w:t>
            </w:r>
          </w:p>
        </w:tc>
      </w:tr>
      <w:tr w:rsidR="00EC2C51" w14:paraId="5996BA98" w14:textId="77777777">
        <w:tc>
          <w:tcPr>
            <w:tcW w:w="937" w:type="dxa"/>
            <w:vMerge/>
            <w:vAlign w:val="center"/>
          </w:tcPr>
          <w:p w14:paraId="48F5D28C" w14:textId="77777777" w:rsidR="00EC2C51" w:rsidRDefault="00EC2C51">
            <w:pPr>
              <w:pStyle w:val="HTML1"/>
              <w:widowControl/>
              <w:jc w:val="center"/>
              <w:rPr>
                <w:rFonts w:hint="default"/>
                <w:sz w:val="21"/>
                <w:szCs w:val="21"/>
              </w:rPr>
            </w:pPr>
          </w:p>
        </w:tc>
        <w:tc>
          <w:tcPr>
            <w:tcW w:w="648" w:type="dxa"/>
            <w:vMerge w:val="restart"/>
            <w:vAlign w:val="center"/>
          </w:tcPr>
          <w:p w14:paraId="199B32C8" w14:textId="77777777" w:rsidR="00EC2C51" w:rsidRDefault="00A971AA">
            <w:pPr>
              <w:pStyle w:val="HTML1"/>
              <w:widowControl/>
              <w:jc w:val="center"/>
              <w:rPr>
                <w:rFonts w:hint="default"/>
                <w:sz w:val="21"/>
                <w:szCs w:val="21"/>
              </w:rPr>
            </w:pPr>
            <w:r>
              <w:rPr>
                <w:sz w:val="21"/>
                <w:szCs w:val="21"/>
              </w:rPr>
              <w:t>技防</w:t>
            </w:r>
          </w:p>
        </w:tc>
        <w:tc>
          <w:tcPr>
            <w:tcW w:w="3300" w:type="dxa"/>
            <w:vAlign w:val="center"/>
          </w:tcPr>
          <w:p w14:paraId="71F7E80A" w14:textId="77777777" w:rsidR="00EC2C51" w:rsidRDefault="00A971AA">
            <w:pPr>
              <w:pStyle w:val="HTML1"/>
              <w:widowControl/>
              <w:jc w:val="center"/>
              <w:rPr>
                <w:rFonts w:hint="default"/>
                <w:sz w:val="21"/>
                <w:szCs w:val="21"/>
              </w:rPr>
            </w:pPr>
            <w:r>
              <w:rPr>
                <w:color w:val="000000"/>
                <w:sz w:val="21"/>
                <w:szCs w:val="21"/>
              </w:rPr>
              <w:t>高危行业或重大风险源在线监测率</w:t>
            </w:r>
          </w:p>
        </w:tc>
        <w:tc>
          <w:tcPr>
            <w:tcW w:w="1185" w:type="dxa"/>
            <w:vAlign w:val="center"/>
          </w:tcPr>
          <w:p w14:paraId="4E8DA91D" w14:textId="77777777" w:rsidR="00EC2C51" w:rsidRDefault="00A971AA">
            <w:pPr>
              <w:pStyle w:val="HTML1"/>
              <w:widowControl/>
              <w:jc w:val="center"/>
              <w:rPr>
                <w:rFonts w:hint="default"/>
                <w:sz w:val="21"/>
                <w:szCs w:val="21"/>
              </w:rPr>
            </w:pPr>
            <w:r>
              <w:rPr>
                <w:color w:val="000000"/>
                <w:sz w:val="21"/>
                <w:szCs w:val="21"/>
              </w:rPr>
              <w:t>100%</w:t>
            </w:r>
          </w:p>
        </w:tc>
        <w:tc>
          <w:tcPr>
            <w:tcW w:w="1410" w:type="dxa"/>
            <w:vAlign w:val="center"/>
          </w:tcPr>
          <w:p w14:paraId="2B9DA384" w14:textId="77777777" w:rsidR="00EC2C51" w:rsidRDefault="00A971AA">
            <w:pPr>
              <w:widowControl/>
              <w:jc w:val="center"/>
              <w:rPr>
                <w:rFonts w:ascii="宋体" w:hAnsi="宋体" w:cs="宋体"/>
                <w:color w:val="000000"/>
                <w:szCs w:val="21"/>
              </w:rPr>
            </w:pPr>
            <w:r>
              <w:rPr>
                <w:rFonts w:cs="宋体" w:hint="eastAsia"/>
                <w:szCs w:val="21"/>
              </w:rPr>
              <w:t>预期性</w:t>
            </w:r>
          </w:p>
        </w:tc>
      </w:tr>
      <w:tr w:rsidR="00EC2C51" w14:paraId="7F09630C" w14:textId="77777777">
        <w:tc>
          <w:tcPr>
            <w:tcW w:w="937" w:type="dxa"/>
            <w:vMerge/>
            <w:vAlign w:val="center"/>
          </w:tcPr>
          <w:p w14:paraId="0681498A" w14:textId="77777777" w:rsidR="00EC2C51" w:rsidRDefault="00EC2C51">
            <w:pPr>
              <w:pStyle w:val="HTML1"/>
              <w:widowControl/>
              <w:jc w:val="center"/>
              <w:rPr>
                <w:rFonts w:hint="default"/>
                <w:sz w:val="21"/>
                <w:szCs w:val="21"/>
              </w:rPr>
            </w:pPr>
          </w:p>
        </w:tc>
        <w:tc>
          <w:tcPr>
            <w:tcW w:w="648" w:type="dxa"/>
            <w:vMerge/>
            <w:vAlign w:val="center"/>
          </w:tcPr>
          <w:p w14:paraId="28EEF153" w14:textId="77777777" w:rsidR="00EC2C51" w:rsidRDefault="00EC2C51">
            <w:pPr>
              <w:pStyle w:val="HTML1"/>
              <w:widowControl/>
              <w:jc w:val="center"/>
              <w:rPr>
                <w:rFonts w:hint="default"/>
                <w:sz w:val="21"/>
                <w:szCs w:val="21"/>
              </w:rPr>
            </w:pPr>
          </w:p>
        </w:tc>
        <w:tc>
          <w:tcPr>
            <w:tcW w:w="3300" w:type="dxa"/>
            <w:vAlign w:val="center"/>
          </w:tcPr>
          <w:p w14:paraId="71ACCDD9" w14:textId="77777777" w:rsidR="00EC2C51" w:rsidRDefault="00A971AA">
            <w:pPr>
              <w:pStyle w:val="HTML1"/>
              <w:widowControl/>
              <w:jc w:val="center"/>
              <w:rPr>
                <w:rFonts w:hint="default"/>
                <w:sz w:val="21"/>
                <w:szCs w:val="21"/>
              </w:rPr>
            </w:pPr>
            <w:r>
              <w:rPr>
                <w:color w:val="000000"/>
                <w:sz w:val="21"/>
                <w:szCs w:val="21"/>
              </w:rPr>
              <w:t>个体防护装备配备率</w:t>
            </w:r>
          </w:p>
          <w:p w14:paraId="0D61EFBA" w14:textId="77777777" w:rsidR="00EC2C51" w:rsidRDefault="00EC2C51">
            <w:pPr>
              <w:pStyle w:val="HTML1"/>
              <w:widowControl/>
              <w:jc w:val="center"/>
              <w:rPr>
                <w:rFonts w:hint="default"/>
                <w:color w:val="000000"/>
                <w:sz w:val="21"/>
                <w:szCs w:val="21"/>
              </w:rPr>
            </w:pPr>
          </w:p>
        </w:tc>
        <w:tc>
          <w:tcPr>
            <w:tcW w:w="1185" w:type="dxa"/>
            <w:vAlign w:val="center"/>
          </w:tcPr>
          <w:p w14:paraId="013669A6" w14:textId="77777777" w:rsidR="00EC2C51" w:rsidRDefault="00A971AA">
            <w:pPr>
              <w:pStyle w:val="HTML1"/>
              <w:widowControl/>
              <w:jc w:val="center"/>
              <w:rPr>
                <w:rFonts w:hint="default"/>
                <w:color w:val="000000"/>
                <w:sz w:val="21"/>
                <w:szCs w:val="21"/>
              </w:rPr>
            </w:pPr>
            <w:r>
              <w:rPr>
                <w:color w:val="000000"/>
                <w:sz w:val="21"/>
                <w:szCs w:val="21"/>
              </w:rPr>
              <w:t>100%</w:t>
            </w:r>
          </w:p>
        </w:tc>
        <w:tc>
          <w:tcPr>
            <w:tcW w:w="1410" w:type="dxa"/>
            <w:vAlign w:val="center"/>
          </w:tcPr>
          <w:p w14:paraId="1F7FA5D3" w14:textId="77777777" w:rsidR="00EC2C51" w:rsidRDefault="00A971AA">
            <w:pPr>
              <w:widowControl/>
              <w:jc w:val="center"/>
              <w:rPr>
                <w:rFonts w:ascii="宋体" w:hAnsi="宋体" w:cs="宋体"/>
                <w:color w:val="000000"/>
                <w:szCs w:val="21"/>
              </w:rPr>
            </w:pPr>
            <w:r>
              <w:rPr>
                <w:rFonts w:cs="宋体" w:hint="eastAsia"/>
                <w:szCs w:val="21"/>
              </w:rPr>
              <w:t>预期性</w:t>
            </w:r>
          </w:p>
        </w:tc>
      </w:tr>
      <w:tr w:rsidR="00EC2C51" w14:paraId="5423F897" w14:textId="77777777">
        <w:tc>
          <w:tcPr>
            <w:tcW w:w="937" w:type="dxa"/>
            <w:vMerge/>
            <w:vAlign w:val="center"/>
          </w:tcPr>
          <w:p w14:paraId="2629AF12" w14:textId="77777777" w:rsidR="00EC2C51" w:rsidRDefault="00EC2C51">
            <w:pPr>
              <w:pStyle w:val="HTML1"/>
              <w:widowControl/>
              <w:jc w:val="center"/>
              <w:rPr>
                <w:rFonts w:hint="default"/>
                <w:sz w:val="21"/>
                <w:szCs w:val="21"/>
              </w:rPr>
            </w:pPr>
          </w:p>
        </w:tc>
        <w:tc>
          <w:tcPr>
            <w:tcW w:w="648" w:type="dxa"/>
            <w:vMerge/>
            <w:vAlign w:val="center"/>
          </w:tcPr>
          <w:p w14:paraId="282E1065" w14:textId="77777777" w:rsidR="00EC2C51" w:rsidRDefault="00EC2C51">
            <w:pPr>
              <w:pStyle w:val="HTML1"/>
              <w:widowControl/>
              <w:jc w:val="center"/>
              <w:rPr>
                <w:rFonts w:hint="default"/>
                <w:sz w:val="21"/>
                <w:szCs w:val="21"/>
              </w:rPr>
            </w:pPr>
          </w:p>
        </w:tc>
        <w:tc>
          <w:tcPr>
            <w:tcW w:w="3300" w:type="dxa"/>
            <w:vAlign w:val="center"/>
          </w:tcPr>
          <w:p w14:paraId="0A37B7C7" w14:textId="77777777" w:rsidR="00EC2C51" w:rsidRDefault="00A971AA">
            <w:pPr>
              <w:pStyle w:val="HTML1"/>
              <w:widowControl/>
              <w:jc w:val="center"/>
              <w:rPr>
                <w:rFonts w:hint="default"/>
                <w:sz w:val="21"/>
                <w:szCs w:val="21"/>
              </w:rPr>
            </w:pPr>
            <w:r>
              <w:rPr>
                <w:color w:val="000000"/>
                <w:sz w:val="21"/>
                <w:szCs w:val="21"/>
              </w:rPr>
              <w:t>执法设备使用率</w:t>
            </w:r>
          </w:p>
          <w:p w14:paraId="169212E7" w14:textId="77777777" w:rsidR="00EC2C51" w:rsidRDefault="00EC2C51">
            <w:pPr>
              <w:pStyle w:val="HTML1"/>
              <w:widowControl/>
              <w:jc w:val="center"/>
              <w:rPr>
                <w:rFonts w:hint="default"/>
                <w:color w:val="000000"/>
                <w:sz w:val="21"/>
                <w:szCs w:val="21"/>
              </w:rPr>
            </w:pPr>
          </w:p>
        </w:tc>
        <w:tc>
          <w:tcPr>
            <w:tcW w:w="1185" w:type="dxa"/>
            <w:vAlign w:val="center"/>
          </w:tcPr>
          <w:p w14:paraId="7CEBF7F0" w14:textId="77777777" w:rsidR="00EC2C51" w:rsidRDefault="00A971AA">
            <w:pPr>
              <w:pStyle w:val="HTML1"/>
              <w:widowControl/>
              <w:jc w:val="center"/>
              <w:rPr>
                <w:rFonts w:hint="default"/>
                <w:color w:val="000000"/>
                <w:sz w:val="21"/>
                <w:szCs w:val="21"/>
              </w:rPr>
            </w:pPr>
            <w:r>
              <w:rPr>
                <w:color w:val="000000"/>
                <w:sz w:val="21"/>
                <w:szCs w:val="21"/>
              </w:rPr>
              <w:t>100%</w:t>
            </w:r>
          </w:p>
        </w:tc>
        <w:tc>
          <w:tcPr>
            <w:tcW w:w="1410" w:type="dxa"/>
            <w:vAlign w:val="center"/>
          </w:tcPr>
          <w:p w14:paraId="0393B218" w14:textId="77777777" w:rsidR="00EC2C51" w:rsidRDefault="00A971AA">
            <w:pPr>
              <w:widowControl/>
              <w:jc w:val="center"/>
              <w:rPr>
                <w:rFonts w:ascii="宋体" w:hAnsi="宋体" w:cs="宋体"/>
                <w:color w:val="000000"/>
                <w:szCs w:val="21"/>
              </w:rPr>
            </w:pPr>
            <w:r>
              <w:rPr>
                <w:rFonts w:cs="宋体" w:hint="eastAsia"/>
                <w:szCs w:val="21"/>
              </w:rPr>
              <w:t>预期性</w:t>
            </w:r>
          </w:p>
        </w:tc>
      </w:tr>
      <w:tr w:rsidR="00EC2C51" w14:paraId="35C7F38F" w14:textId="77777777">
        <w:tc>
          <w:tcPr>
            <w:tcW w:w="937" w:type="dxa"/>
            <w:vMerge/>
            <w:vAlign w:val="center"/>
          </w:tcPr>
          <w:p w14:paraId="0304A9B4" w14:textId="77777777" w:rsidR="00EC2C51" w:rsidRDefault="00EC2C51">
            <w:pPr>
              <w:pStyle w:val="HTML1"/>
              <w:widowControl/>
              <w:jc w:val="center"/>
              <w:rPr>
                <w:rFonts w:hint="default"/>
                <w:sz w:val="21"/>
                <w:szCs w:val="21"/>
              </w:rPr>
            </w:pPr>
          </w:p>
        </w:tc>
        <w:tc>
          <w:tcPr>
            <w:tcW w:w="648" w:type="dxa"/>
            <w:vMerge w:val="restart"/>
            <w:vAlign w:val="center"/>
          </w:tcPr>
          <w:p w14:paraId="64EF00A2" w14:textId="77777777" w:rsidR="00EC2C51" w:rsidRDefault="00EC2C51">
            <w:pPr>
              <w:pStyle w:val="HTML1"/>
              <w:widowControl/>
              <w:jc w:val="center"/>
              <w:rPr>
                <w:rFonts w:hint="default"/>
                <w:sz w:val="21"/>
                <w:szCs w:val="21"/>
              </w:rPr>
            </w:pPr>
          </w:p>
          <w:p w14:paraId="3FF82111" w14:textId="77777777" w:rsidR="00EC2C51" w:rsidRDefault="00EC2C51">
            <w:pPr>
              <w:pStyle w:val="HTML1"/>
              <w:widowControl/>
              <w:jc w:val="center"/>
              <w:rPr>
                <w:rFonts w:hint="default"/>
                <w:sz w:val="21"/>
                <w:szCs w:val="21"/>
              </w:rPr>
            </w:pPr>
          </w:p>
          <w:p w14:paraId="2D196E55" w14:textId="77777777" w:rsidR="00EC2C51" w:rsidRDefault="00A971AA">
            <w:pPr>
              <w:pStyle w:val="HTML1"/>
              <w:widowControl/>
              <w:jc w:val="center"/>
              <w:rPr>
                <w:rFonts w:hint="default"/>
                <w:sz w:val="21"/>
                <w:szCs w:val="21"/>
              </w:rPr>
            </w:pPr>
            <w:r>
              <w:rPr>
                <w:sz w:val="21"/>
                <w:szCs w:val="21"/>
              </w:rPr>
              <w:t>管</w:t>
            </w:r>
          </w:p>
          <w:p w14:paraId="43AA6E99" w14:textId="77777777" w:rsidR="00EC2C51" w:rsidRDefault="00EC2C51">
            <w:pPr>
              <w:pStyle w:val="HTML1"/>
              <w:widowControl/>
              <w:jc w:val="center"/>
              <w:rPr>
                <w:rFonts w:hint="default"/>
                <w:sz w:val="21"/>
                <w:szCs w:val="21"/>
              </w:rPr>
            </w:pPr>
          </w:p>
          <w:p w14:paraId="7C61B480" w14:textId="77777777" w:rsidR="00EC2C51" w:rsidRDefault="00EC2C51">
            <w:pPr>
              <w:pStyle w:val="HTML1"/>
              <w:widowControl/>
              <w:jc w:val="center"/>
              <w:rPr>
                <w:rFonts w:hint="default"/>
                <w:sz w:val="21"/>
                <w:szCs w:val="21"/>
              </w:rPr>
            </w:pPr>
          </w:p>
          <w:p w14:paraId="4B56994C" w14:textId="77777777" w:rsidR="00EC2C51" w:rsidRDefault="00EC2C51">
            <w:pPr>
              <w:pStyle w:val="HTML1"/>
              <w:widowControl/>
              <w:jc w:val="center"/>
              <w:rPr>
                <w:rFonts w:hint="default"/>
                <w:sz w:val="21"/>
                <w:szCs w:val="21"/>
              </w:rPr>
            </w:pPr>
          </w:p>
          <w:p w14:paraId="5443C9C1" w14:textId="77777777" w:rsidR="00EC2C51" w:rsidRDefault="00EC2C51">
            <w:pPr>
              <w:pStyle w:val="HTML1"/>
              <w:widowControl/>
              <w:jc w:val="both"/>
              <w:rPr>
                <w:rFonts w:hint="default"/>
                <w:sz w:val="21"/>
                <w:szCs w:val="21"/>
              </w:rPr>
            </w:pPr>
          </w:p>
          <w:p w14:paraId="479FE673" w14:textId="77777777" w:rsidR="00EC2C51" w:rsidRDefault="00A971AA">
            <w:pPr>
              <w:pStyle w:val="HTML1"/>
              <w:widowControl/>
              <w:jc w:val="center"/>
              <w:rPr>
                <w:rFonts w:hint="default"/>
                <w:sz w:val="21"/>
                <w:szCs w:val="21"/>
              </w:rPr>
            </w:pPr>
            <w:r>
              <w:rPr>
                <w:sz w:val="21"/>
                <w:szCs w:val="21"/>
              </w:rPr>
              <w:t>防</w:t>
            </w:r>
          </w:p>
        </w:tc>
        <w:tc>
          <w:tcPr>
            <w:tcW w:w="3300" w:type="dxa"/>
            <w:vAlign w:val="center"/>
          </w:tcPr>
          <w:p w14:paraId="5C58B4D9" w14:textId="77777777" w:rsidR="00EC2C51" w:rsidRDefault="00A971AA">
            <w:pPr>
              <w:pStyle w:val="HTML1"/>
              <w:widowControl/>
              <w:jc w:val="center"/>
              <w:rPr>
                <w:rFonts w:hint="default"/>
                <w:sz w:val="21"/>
                <w:szCs w:val="21"/>
              </w:rPr>
            </w:pPr>
            <w:r>
              <w:rPr>
                <w:color w:val="000000"/>
                <w:sz w:val="21"/>
                <w:szCs w:val="21"/>
              </w:rPr>
              <w:t>安全生产标准化通过率</w:t>
            </w:r>
          </w:p>
          <w:p w14:paraId="521ED853" w14:textId="77777777" w:rsidR="00EC2C51" w:rsidRDefault="00EC2C51">
            <w:pPr>
              <w:pStyle w:val="HTML1"/>
              <w:widowControl/>
              <w:jc w:val="center"/>
              <w:rPr>
                <w:rFonts w:hint="default"/>
                <w:color w:val="000000"/>
                <w:sz w:val="21"/>
                <w:szCs w:val="21"/>
              </w:rPr>
            </w:pPr>
          </w:p>
        </w:tc>
        <w:tc>
          <w:tcPr>
            <w:tcW w:w="1185" w:type="dxa"/>
            <w:vAlign w:val="center"/>
          </w:tcPr>
          <w:p w14:paraId="045DCCC9" w14:textId="77777777" w:rsidR="00EC2C51" w:rsidRDefault="00A971AA">
            <w:pPr>
              <w:pStyle w:val="HTML1"/>
              <w:widowControl/>
              <w:jc w:val="center"/>
              <w:rPr>
                <w:rFonts w:hint="default"/>
                <w:color w:val="000000"/>
                <w:sz w:val="21"/>
                <w:szCs w:val="21"/>
              </w:rPr>
            </w:pPr>
            <w:r>
              <w:rPr>
                <w:color w:val="000000"/>
                <w:sz w:val="21"/>
                <w:szCs w:val="21"/>
              </w:rPr>
              <w:t>100%</w:t>
            </w:r>
          </w:p>
        </w:tc>
        <w:tc>
          <w:tcPr>
            <w:tcW w:w="1410" w:type="dxa"/>
            <w:vAlign w:val="center"/>
          </w:tcPr>
          <w:p w14:paraId="1D85EC53" w14:textId="77777777" w:rsidR="00EC2C51" w:rsidRDefault="00A971AA">
            <w:pPr>
              <w:widowControl/>
              <w:jc w:val="center"/>
              <w:rPr>
                <w:rFonts w:ascii="宋体" w:hAnsi="宋体" w:cs="宋体"/>
                <w:color w:val="000000"/>
                <w:szCs w:val="21"/>
              </w:rPr>
            </w:pPr>
            <w:r>
              <w:rPr>
                <w:rFonts w:cs="宋体" w:hint="eastAsia"/>
                <w:szCs w:val="21"/>
              </w:rPr>
              <w:t>预期性</w:t>
            </w:r>
          </w:p>
        </w:tc>
      </w:tr>
      <w:tr w:rsidR="00EC2C51" w14:paraId="303F580E" w14:textId="77777777">
        <w:tc>
          <w:tcPr>
            <w:tcW w:w="937" w:type="dxa"/>
            <w:vMerge/>
            <w:vAlign w:val="center"/>
          </w:tcPr>
          <w:p w14:paraId="52D792C2" w14:textId="77777777" w:rsidR="00EC2C51" w:rsidRDefault="00EC2C51">
            <w:pPr>
              <w:pStyle w:val="HTML1"/>
              <w:widowControl/>
              <w:jc w:val="center"/>
              <w:rPr>
                <w:rFonts w:hint="default"/>
                <w:sz w:val="21"/>
                <w:szCs w:val="21"/>
              </w:rPr>
            </w:pPr>
          </w:p>
        </w:tc>
        <w:tc>
          <w:tcPr>
            <w:tcW w:w="648" w:type="dxa"/>
            <w:vMerge/>
            <w:vAlign w:val="center"/>
          </w:tcPr>
          <w:p w14:paraId="33260634" w14:textId="77777777" w:rsidR="00EC2C51" w:rsidRDefault="00EC2C51">
            <w:pPr>
              <w:pStyle w:val="HTML1"/>
              <w:widowControl/>
              <w:jc w:val="center"/>
              <w:rPr>
                <w:rFonts w:hint="default"/>
                <w:sz w:val="21"/>
                <w:szCs w:val="21"/>
              </w:rPr>
            </w:pPr>
          </w:p>
        </w:tc>
        <w:tc>
          <w:tcPr>
            <w:tcW w:w="3300" w:type="dxa"/>
            <w:vAlign w:val="center"/>
          </w:tcPr>
          <w:p w14:paraId="54C8B7AE" w14:textId="77777777" w:rsidR="00EC2C51" w:rsidRDefault="00A971AA">
            <w:pPr>
              <w:pStyle w:val="HTML1"/>
              <w:widowControl/>
              <w:jc w:val="center"/>
              <w:rPr>
                <w:rFonts w:hint="default"/>
                <w:color w:val="000000"/>
                <w:sz w:val="21"/>
                <w:szCs w:val="21"/>
              </w:rPr>
            </w:pPr>
            <w:r>
              <w:rPr>
                <w:color w:val="000000"/>
                <w:sz w:val="21"/>
                <w:szCs w:val="21"/>
              </w:rPr>
              <w:t>企业安全隐患整改率</w:t>
            </w:r>
          </w:p>
        </w:tc>
        <w:tc>
          <w:tcPr>
            <w:tcW w:w="1185" w:type="dxa"/>
            <w:vAlign w:val="center"/>
          </w:tcPr>
          <w:p w14:paraId="333B704B" w14:textId="77777777" w:rsidR="00EC2C51" w:rsidRDefault="00A971AA">
            <w:pPr>
              <w:pStyle w:val="HTML1"/>
              <w:widowControl/>
              <w:jc w:val="center"/>
              <w:rPr>
                <w:rFonts w:hint="default"/>
                <w:color w:val="000000"/>
                <w:sz w:val="21"/>
                <w:szCs w:val="21"/>
              </w:rPr>
            </w:pPr>
            <w:r>
              <w:rPr>
                <w:color w:val="000000"/>
                <w:sz w:val="21"/>
                <w:szCs w:val="21"/>
              </w:rPr>
              <w:t>&gt;95%</w:t>
            </w:r>
          </w:p>
        </w:tc>
        <w:tc>
          <w:tcPr>
            <w:tcW w:w="1410" w:type="dxa"/>
            <w:vAlign w:val="center"/>
          </w:tcPr>
          <w:p w14:paraId="0A4FBE2C" w14:textId="77777777" w:rsidR="00EC2C51" w:rsidRDefault="00A971AA">
            <w:pPr>
              <w:widowControl/>
              <w:jc w:val="center"/>
              <w:rPr>
                <w:rFonts w:ascii="宋体" w:hAnsi="宋体" w:cs="宋体"/>
                <w:color w:val="000000"/>
                <w:szCs w:val="21"/>
              </w:rPr>
            </w:pPr>
            <w:r>
              <w:rPr>
                <w:rFonts w:cs="宋体" w:hint="eastAsia"/>
                <w:szCs w:val="21"/>
              </w:rPr>
              <w:t>预期性</w:t>
            </w:r>
          </w:p>
        </w:tc>
      </w:tr>
      <w:tr w:rsidR="00EC2C51" w14:paraId="7DA1EA5C" w14:textId="77777777">
        <w:tc>
          <w:tcPr>
            <w:tcW w:w="937" w:type="dxa"/>
            <w:vMerge/>
            <w:vAlign w:val="center"/>
          </w:tcPr>
          <w:p w14:paraId="0921E229" w14:textId="77777777" w:rsidR="00EC2C51" w:rsidRDefault="00EC2C51">
            <w:pPr>
              <w:pStyle w:val="HTML1"/>
              <w:widowControl/>
              <w:jc w:val="center"/>
              <w:rPr>
                <w:rFonts w:hint="default"/>
                <w:sz w:val="21"/>
                <w:szCs w:val="21"/>
              </w:rPr>
            </w:pPr>
          </w:p>
        </w:tc>
        <w:tc>
          <w:tcPr>
            <w:tcW w:w="648" w:type="dxa"/>
            <w:vMerge/>
            <w:vAlign w:val="center"/>
          </w:tcPr>
          <w:p w14:paraId="73EE06E6" w14:textId="77777777" w:rsidR="00EC2C51" w:rsidRDefault="00EC2C51">
            <w:pPr>
              <w:pStyle w:val="HTML1"/>
              <w:widowControl/>
              <w:jc w:val="center"/>
              <w:rPr>
                <w:rFonts w:hint="default"/>
                <w:sz w:val="21"/>
                <w:szCs w:val="21"/>
              </w:rPr>
            </w:pPr>
          </w:p>
        </w:tc>
        <w:tc>
          <w:tcPr>
            <w:tcW w:w="3300" w:type="dxa"/>
            <w:vAlign w:val="center"/>
          </w:tcPr>
          <w:p w14:paraId="0D8B94C0" w14:textId="77777777" w:rsidR="00EC2C51" w:rsidRDefault="00A971AA">
            <w:pPr>
              <w:pStyle w:val="HTML1"/>
              <w:widowControl/>
              <w:jc w:val="center"/>
              <w:rPr>
                <w:rFonts w:hint="default"/>
                <w:color w:val="000000"/>
                <w:sz w:val="21"/>
                <w:szCs w:val="21"/>
              </w:rPr>
            </w:pPr>
            <w:r>
              <w:rPr>
                <w:color w:val="000000"/>
                <w:sz w:val="21"/>
                <w:szCs w:val="21"/>
              </w:rPr>
              <w:t>建设项目安全设施“三同时”落实率</w:t>
            </w:r>
          </w:p>
        </w:tc>
        <w:tc>
          <w:tcPr>
            <w:tcW w:w="1185" w:type="dxa"/>
            <w:vAlign w:val="center"/>
          </w:tcPr>
          <w:p w14:paraId="3ED65281" w14:textId="77777777" w:rsidR="00EC2C51" w:rsidRDefault="00A971AA">
            <w:pPr>
              <w:pStyle w:val="HTML1"/>
              <w:widowControl/>
              <w:jc w:val="center"/>
              <w:rPr>
                <w:rFonts w:hint="default"/>
                <w:color w:val="000000"/>
                <w:sz w:val="21"/>
                <w:szCs w:val="21"/>
              </w:rPr>
            </w:pPr>
            <w:r>
              <w:rPr>
                <w:color w:val="000000"/>
                <w:sz w:val="21"/>
                <w:szCs w:val="21"/>
              </w:rPr>
              <w:t>100%</w:t>
            </w:r>
          </w:p>
        </w:tc>
        <w:tc>
          <w:tcPr>
            <w:tcW w:w="1410" w:type="dxa"/>
            <w:vAlign w:val="center"/>
          </w:tcPr>
          <w:p w14:paraId="3F280704" w14:textId="77777777" w:rsidR="00EC2C51" w:rsidRDefault="00A971AA">
            <w:pPr>
              <w:widowControl/>
              <w:jc w:val="center"/>
              <w:rPr>
                <w:rFonts w:ascii="宋体" w:hAnsi="宋体" w:cs="宋体"/>
                <w:color w:val="000000"/>
                <w:szCs w:val="21"/>
              </w:rPr>
            </w:pPr>
            <w:r>
              <w:rPr>
                <w:rFonts w:cs="宋体" w:hint="eastAsia"/>
                <w:szCs w:val="21"/>
              </w:rPr>
              <w:t>预期性</w:t>
            </w:r>
          </w:p>
        </w:tc>
      </w:tr>
      <w:tr w:rsidR="00EC2C51" w14:paraId="0CA9247D" w14:textId="77777777">
        <w:tc>
          <w:tcPr>
            <w:tcW w:w="937" w:type="dxa"/>
            <w:vMerge/>
            <w:vAlign w:val="center"/>
          </w:tcPr>
          <w:p w14:paraId="47A8B752" w14:textId="77777777" w:rsidR="00EC2C51" w:rsidRDefault="00EC2C51">
            <w:pPr>
              <w:pStyle w:val="HTML1"/>
              <w:widowControl/>
              <w:jc w:val="center"/>
              <w:rPr>
                <w:rFonts w:hint="default"/>
                <w:sz w:val="21"/>
                <w:szCs w:val="21"/>
              </w:rPr>
            </w:pPr>
          </w:p>
        </w:tc>
        <w:tc>
          <w:tcPr>
            <w:tcW w:w="648" w:type="dxa"/>
            <w:vMerge/>
            <w:vAlign w:val="center"/>
          </w:tcPr>
          <w:p w14:paraId="2E8D8DD8" w14:textId="77777777" w:rsidR="00EC2C51" w:rsidRDefault="00EC2C51">
            <w:pPr>
              <w:pStyle w:val="HTML1"/>
              <w:widowControl/>
              <w:jc w:val="center"/>
              <w:rPr>
                <w:rFonts w:hint="default"/>
                <w:sz w:val="21"/>
                <w:szCs w:val="21"/>
              </w:rPr>
            </w:pPr>
          </w:p>
        </w:tc>
        <w:tc>
          <w:tcPr>
            <w:tcW w:w="3300" w:type="dxa"/>
            <w:vAlign w:val="center"/>
          </w:tcPr>
          <w:p w14:paraId="07877522" w14:textId="77777777" w:rsidR="00EC2C51" w:rsidRDefault="00A971AA">
            <w:pPr>
              <w:pStyle w:val="HTML1"/>
              <w:widowControl/>
              <w:jc w:val="center"/>
              <w:rPr>
                <w:rFonts w:hint="default"/>
                <w:color w:val="000000"/>
                <w:sz w:val="21"/>
                <w:szCs w:val="21"/>
              </w:rPr>
            </w:pPr>
            <w:r>
              <w:rPr>
                <w:color w:val="000000"/>
                <w:sz w:val="21"/>
                <w:szCs w:val="21"/>
              </w:rPr>
              <w:t>高危行业企业安全生产责任保险参保率</w:t>
            </w:r>
          </w:p>
        </w:tc>
        <w:tc>
          <w:tcPr>
            <w:tcW w:w="1185" w:type="dxa"/>
            <w:vAlign w:val="center"/>
          </w:tcPr>
          <w:p w14:paraId="72A54EC6" w14:textId="77777777" w:rsidR="00EC2C51" w:rsidRDefault="00A971AA">
            <w:pPr>
              <w:pStyle w:val="HTML1"/>
              <w:widowControl/>
              <w:jc w:val="center"/>
              <w:rPr>
                <w:rFonts w:hint="default"/>
                <w:color w:val="000000"/>
                <w:sz w:val="21"/>
                <w:szCs w:val="21"/>
              </w:rPr>
            </w:pPr>
            <w:r>
              <w:rPr>
                <w:color w:val="000000"/>
                <w:sz w:val="21"/>
                <w:szCs w:val="21"/>
              </w:rPr>
              <w:t>100%</w:t>
            </w:r>
          </w:p>
        </w:tc>
        <w:tc>
          <w:tcPr>
            <w:tcW w:w="1410" w:type="dxa"/>
            <w:vAlign w:val="center"/>
          </w:tcPr>
          <w:p w14:paraId="4ACBEF53" w14:textId="77777777" w:rsidR="00EC2C51" w:rsidRDefault="00A971AA">
            <w:pPr>
              <w:widowControl/>
              <w:jc w:val="center"/>
              <w:rPr>
                <w:rFonts w:ascii="宋体" w:hAnsi="宋体" w:cs="宋体"/>
                <w:color w:val="000000"/>
                <w:szCs w:val="21"/>
              </w:rPr>
            </w:pPr>
            <w:r>
              <w:rPr>
                <w:rFonts w:cs="宋体" w:hint="eastAsia"/>
                <w:szCs w:val="21"/>
              </w:rPr>
              <w:t>预期性</w:t>
            </w:r>
          </w:p>
        </w:tc>
      </w:tr>
      <w:tr w:rsidR="00EC2C51" w14:paraId="5BF64C7F" w14:textId="77777777">
        <w:tc>
          <w:tcPr>
            <w:tcW w:w="937" w:type="dxa"/>
            <w:vMerge/>
            <w:vAlign w:val="center"/>
          </w:tcPr>
          <w:p w14:paraId="4FE98103" w14:textId="77777777" w:rsidR="00EC2C51" w:rsidRDefault="00EC2C51">
            <w:pPr>
              <w:pStyle w:val="HTML1"/>
              <w:widowControl/>
              <w:jc w:val="center"/>
              <w:rPr>
                <w:rFonts w:hint="default"/>
                <w:sz w:val="21"/>
                <w:szCs w:val="21"/>
              </w:rPr>
            </w:pPr>
          </w:p>
        </w:tc>
        <w:tc>
          <w:tcPr>
            <w:tcW w:w="648" w:type="dxa"/>
            <w:vMerge/>
            <w:vAlign w:val="center"/>
          </w:tcPr>
          <w:p w14:paraId="4C07335F" w14:textId="77777777" w:rsidR="00EC2C51" w:rsidRDefault="00EC2C51">
            <w:pPr>
              <w:pStyle w:val="HTML1"/>
              <w:widowControl/>
              <w:jc w:val="center"/>
              <w:rPr>
                <w:rFonts w:hint="default"/>
                <w:sz w:val="21"/>
                <w:szCs w:val="21"/>
              </w:rPr>
            </w:pPr>
          </w:p>
        </w:tc>
        <w:tc>
          <w:tcPr>
            <w:tcW w:w="3300" w:type="dxa"/>
            <w:vAlign w:val="center"/>
          </w:tcPr>
          <w:p w14:paraId="4B4A90D6" w14:textId="77777777" w:rsidR="00EC2C51" w:rsidRDefault="00A971AA">
            <w:pPr>
              <w:pStyle w:val="HTML1"/>
              <w:widowControl/>
              <w:jc w:val="center"/>
              <w:rPr>
                <w:rFonts w:hint="default"/>
                <w:color w:val="000000"/>
                <w:sz w:val="21"/>
                <w:szCs w:val="21"/>
              </w:rPr>
            </w:pPr>
            <w:r>
              <w:rPr>
                <w:color w:val="000000"/>
                <w:sz w:val="21"/>
                <w:szCs w:val="21"/>
              </w:rPr>
              <w:t>安全责任书签订率</w:t>
            </w:r>
          </w:p>
        </w:tc>
        <w:tc>
          <w:tcPr>
            <w:tcW w:w="1185" w:type="dxa"/>
            <w:vAlign w:val="center"/>
          </w:tcPr>
          <w:p w14:paraId="06A34CF8" w14:textId="77777777" w:rsidR="00EC2C51" w:rsidRDefault="00A971AA">
            <w:pPr>
              <w:pStyle w:val="HTML1"/>
              <w:widowControl/>
              <w:jc w:val="center"/>
              <w:rPr>
                <w:rFonts w:hint="default"/>
                <w:color w:val="000000"/>
                <w:sz w:val="21"/>
                <w:szCs w:val="21"/>
              </w:rPr>
            </w:pPr>
            <w:r>
              <w:rPr>
                <w:color w:val="000000"/>
                <w:sz w:val="21"/>
                <w:szCs w:val="21"/>
              </w:rPr>
              <w:t>100%</w:t>
            </w:r>
          </w:p>
        </w:tc>
        <w:tc>
          <w:tcPr>
            <w:tcW w:w="1410" w:type="dxa"/>
            <w:vAlign w:val="center"/>
          </w:tcPr>
          <w:p w14:paraId="41CC76CC" w14:textId="77777777" w:rsidR="00EC2C51" w:rsidRDefault="00A971AA">
            <w:pPr>
              <w:widowControl/>
              <w:jc w:val="center"/>
              <w:rPr>
                <w:rFonts w:ascii="宋体" w:hAnsi="宋体" w:cs="宋体"/>
                <w:color w:val="000000"/>
                <w:szCs w:val="21"/>
              </w:rPr>
            </w:pPr>
            <w:r>
              <w:rPr>
                <w:rFonts w:cs="宋体" w:hint="eastAsia"/>
                <w:szCs w:val="21"/>
              </w:rPr>
              <w:t>预期性</w:t>
            </w:r>
          </w:p>
        </w:tc>
      </w:tr>
      <w:tr w:rsidR="00EC2C51" w14:paraId="07830A03" w14:textId="77777777">
        <w:tc>
          <w:tcPr>
            <w:tcW w:w="937" w:type="dxa"/>
            <w:vMerge/>
            <w:vAlign w:val="center"/>
          </w:tcPr>
          <w:p w14:paraId="12E17C8E" w14:textId="77777777" w:rsidR="00EC2C51" w:rsidRDefault="00EC2C51">
            <w:pPr>
              <w:pStyle w:val="HTML1"/>
              <w:widowControl/>
              <w:jc w:val="center"/>
              <w:rPr>
                <w:rFonts w:hint="default"/>
                <w:sz w:val="21"/>
                <w:szCs w:val="21"/>
              </w:rPr>
            </w:pPr>
          </w:p>
        </w:tc>
        <w:tc>
          <w:tcPr>
            <w:tcW w:w="648" w:type="dxa"/>
            <w:vMerge/>
            <w:vAlign w:val="center"/>
          </w:tcPr>
          <w:p w14:paraId="6F7413F2" w14:textId="77777777" w:rsidR="00EC2C51" w:rsidRDefault="00EC2C51">
            <w:pPr>
              <w:pStyle w:val="HTML1"/>
              <w:widowControl/>
              <w:jc w:val="center"/>
              <w:rPr>
                <w:rFonts w:hint="default"/>
                <w:sz w:val="21"/>
                <w:szCs w:val="21"/>
              </w:rPr>
            </w:pPr>
          </w:p>
        </w:tc>
        <w:tc>
          <w:tcPr>
            <w:tcW w:w="3300" w:type="dxa"/>
            <w:vAlign w:val="center"/>
          </w:tcPr>
          <w:p w14:paraId="532E2C3D" w14:textId="77777777" w:rsidR="00EC2C51" w:rsidRDefault="00A971AA">
            <w:pPr>
              <w:pStyle w:val="HTML1"/>
              <w:widowControl/>
              <w:jc w:val="center"/>
              <w:rPr>
                <w:rFonts w:hint="default"/>
                <w:color w:val="000000"/>
                <w:sz w:val="21"/>
                <w:szCs w:val="21"/>
              </w:rPr>
            </w:pPr>
            <w:r>
              <w:rPr>
                <w:color w:val="000000"/>
                <w:sz w:val="21"/>
                <w:szCs w:val="21"/>
              </w:rPr>
              <w:t>安全文化示范企业数</w:t>
            </w:r>
          </w:p>
        </w:tc>
        <w:tc>
          <w:tcPr>
            <w:tcW w:w="1185" w:type="dxa"/>
            <w:vAlign w:val="center"/>
          </w:tcPr>
          <w:p w14:paraId="2D640DC8" w14:textId="77777777" w:rsidR="00EC2C51" w:rsidRDefault="00A971AA">
            <w:pPr>
              <w:pStyle w:val="HTML1"/>
              <w:widowControl/>
              <w:jc w:val="center"/>
              <w:rPr>
                <w:rFonts w:hint="default"/>
                <w:color w:val="000000"/>
                <w:sz w:val="21"/>
                <w:szCs w:val="21"/>
              </w:rPr>
            </w:pPr>
            <w:r>
              <w:rPr>
                <w:color w:val="000000"/>
                <w:sz w:val="21"/>
                <w:szCs w:val="21"/>
              </w:rPr>
              <w:t>≥2家</w:t>
            </w:r>
          </w:p>
        </w:tc>
        <w:tc>
          <w:tcPr>
            <w:tcW w:w="1410" w:type="dxa"/>
            <w:vAlign w:val="center"/>
          </w:tcPr>
          <w:p w14:paraId="72718187" w14:textId="77777777" w:rsidR="00EC2C51" w:rsidRDefault="00A971AA">
            <w:pPr>
              <w:widowControl/>
              <w:jc w:val="center"/>
              <w:rPr>
                <w:rFonts w:ascii="宋体" w:hAnsi="宋体" w:cs="宋体"/>
                <w:color w:val="000000"/>
                <w:szCs w:val="21"/>
              </w:rPr>
            </w:pPr>
            <w:r>
              <w:rPr>
                <w:rFonts w:cs="宋体" w:hint="eastAsia"/>
                <w:szCs w:val="21"/>
              </w:rPr>
              <w:t>预期性</w:t>
            </w:r>
          </w:p>
        </w:tc>
      </w:tr>
      <w:tr w:rsidR="00EC2C51" w14:paraId="1554A5DA" w14:textId="77777777">
        <w:tc>
          <w:tcPr>
            <w:tcW w:w="937" w:type="dxa"/>
            <w:vMerge/>
            <w:vAlign w:val="center"/>
          </w:tcPr>
          <w:p w14:paraId="4923D335" w14:textId="77777777" w:rsidR="00EC2C51" w:rsidRDefault="00EC2C51">
            <w:pPr>
              <w:pStyle w:val="HTML1"/>
              <w:widowControl/>
              <w:jc w:val="center"/>
              <w:rPr>
                <w:rFonts w:hint="default"/>
                <w:sz w:val="21"/>
                <w:szCs w:val="21"/>
              </w:rPr>
            </w:pPr>
          </w:p>
        </w:tc>
        <w:tc>
          <w:tcPr>
            <w:tcW w:w="648" w:type="dxa"/>
            <w:vMerge/>
            <w:vAlign w:val="center"/>
          </w:tcPr>
          <w:p w14:paraId="7E6A61FB" w14:textId="77777777" w:rsidR="00EC2C51" w:rsidRDefault="00EC2C51">
            <w:pPr>
              <w:pStyle w:val="HTML1"/>
              <w:widowControl/>
              <w:jc w:val="center"/>
              <w:rPr>
                <w:rFonts w:hint="default"/>
                <w:sz w:val="21"/>
                <w:szCs w:val="21"/>
              </w:rPr>
            </w:pPr>
          </w:p>
        </w:tc>
        <w:tc>
          <w:tcPr>
            <w:tcW w:w="3300" w:type="dxa"/>
            <w:vAlign w:val="center"/>
          </w:tcPr>
          <w:p w14:paraId="523DD032" w14:textId="77777777" w:rsidR="00EC2C51" w:rsidRDefault="00A971AA">
            <w:pPr>
              <w:pStyle w:val="HTML1"/>
              <w:widowControl/>
              <w:jc w:val="center"/>
              <w:rPr>
                <w:rFonts w:hint="default"/>
                <w:color w:val="000000"/>
                <w:sz w:val="21"/>
                <w:szCs w:val="21"/>
              </w:rPr>
            </w:pPr>
            <w:r>
              <w:rPr>
                <w:color w:val="000000"/>
                <w:sz w:val="21"/>
                <w:szCs w:val="21"/>
              </w:rPr>
              <w:t>安全示范社区数</w:t>
            </w:r>
          </w:p>
        </w:tc>
        <w:tc>
          <w:tcPr>
            <w:tcW w:w="1185" w:type="dxa"/>
            <w:vAlign w:val="center"/>
          </w:tcPr>
          <w:p w14:paraId="2868EB4D" w14:textId="77777777" w:rsidR="00EC2C51" w:rsidRDefault="00A971AA">
            <w:pPr>
              <w:pStyle w:val="HTML1"/>
              <w:widowControl/>
              <w:jc w:val="center"/>
              <w:rPr>
                <w:rFonts w:hint="default"/>
                <w:color w:val="000000"/>
                <w:sz w:val="21"/>
                <w:szCs w:val="21"/>
              </w:rPr>
            </w:pPr>
            <w:r>
              <w:rPr>
                <w:color w:val="000000"/>
                <w:sz w:val="21"/>
                <w:szCs w:val="21"/>
              </w:rPr>
              <w:t>≥2个</w:t>
            </w:r>
          </w:p>
        </w:tc>
        <w:tc>
          <w:tcPr>
            <w:tcW w:w="1410" w:type="dxa"/>
            <w:vAlign w:val="center"/>
          </w:tcPr>
          <w:p w14:paraId="5C17BA58" w14:textId="77777777" w:rsidR="00EC2C51" w:rsidRDefault="00A971AA">
            <w:pPr>
              <w:widowControl/>
              <w:jc w:val="center"/>
              <w:rPr>
                <w:rFonts w:ascii="宋体" w:hAnsi="宋体" w:cs="宋体"/>
                <w:color w:val="000000"/>
                <w:szCs w:val="21"/>
              </w:rPr>
            </w:pPr>
            <w:r>
              <w:rPr>
                <w:rFonts w:cs="宋体" w:hint="eastAsia"/>
                <w:szCs w:val="21"/>
              </w:rPr>
              <w:t>预期性</w:t>
            </w:r>
          </w:p>
        </w:tc>
      </w:tr>
      <w:tr w:rsidR="00EC2C51" w14:paraId="5662545C" w14:textId="77777777">
        <w:tc>
          <w:tcPr>
            <w:tcW w:w="937" w:type="dxa"/>
            <w:vMerge/>
            <w:vAlign w:val="center"/>
          </w:tcPr>
          <w:p w14:paraId="6B6B548A" w14:textId="77777777" w:rsidR="00EC2C51" w:rsidRDefault="00EC2C51">
            <w:pPr>
              <w:pStyle w:val="HTML1"/>
              <w:widowControl/>
              <w:jc w:val="center"/>
              <w:rPr>
                <w:rFonts w:hint="default"/>
                <w:sz w:val="21"/>
                <w:szCs w:val="21"/>
              </w:rPr>
            </w:pPr>
          </w:p>
        </w:tc>
        <w:tc>
          <w:tcPr>
            <w:tcW w:w="648" w:type="dxa"/>
            <w:vMerge/>
            <w:vAlign w:val="center"/>
          </w:tcPr>
          <w:p w14:paraId="0F9722C1" w14:textId="77777777" w:rsidR="00EC2C51" w:rsidRDefault="00EC2C51">
            <w:pPr>
              <w:pStyle w:val="HTML1"/>
              <w:widowControl/>
              <w:jc w:val="center"/>
              <w:rPr>
                <w:rFonts w:hint="default"/>
                <w:sz w:val="21"/>
                <w:szCs w:val="21"/>
              </w:rPr>
            </w:pPr>
          </w:p>
        </w:tc>
        <w:tc>
          <w:tcPr>
            <w:tcW w:w="3300" w:type="dxa"/>
            <w:vAlign w:val="center"/>
          </w:tcPr>
          <w:p w14:paraId="341CF9E4" w14:textId="77777777" w:rsidR="00EC2C51" w:rsidRDefault="00A971AA">
            <w:pPr>
              <w:pStyle w:val="HTML1"/>
              <w:widowControl/>
              <w:jc w:val="center"/>
              <w:rPr>
                <w:rFonts w:hint="default"/>
                <w:color w:val="000000"/>
                <w:sz w:val="21"/>
                <w:szCs w:val="21"/>
              </w:rPr>
            </w:pPr>
            <w:r>
              <w:rPr>
                <w:color w:val="000000"/>
                <w:sz w:val="21"/>
                <w:szCs w:val="21"/>
              </w:rPr>
              <w:t>应急预案备案率</w:t>
            </w:r>
          </w:p>
        </w:tc>
        <w:tc>
          <w:tcPr>
            <w:tcW w:w="1185" w:type="dxa"/>
            <w:vAlign w:val="center"/>
          </w:tcPr>
          <w:p w14:paraId="56AB6702" w14:textId="77777777" w:rsidR="00EC2C51" w:rsidRDefault="00A971AA">
            <w:pPr>
              <w:pStyle w:val="HTML1"/>
              <w:widowControl/>
              <w:jc w:val="center"/>
              <w:rPr>
                <w:rFonts w:hint="default"/>
                <w:color w:val="000000"/>
                <w:sz w:val="21"/>
                <w:szCs w:val="21"/>
              </w:rPr>
            </w:pPr>
            <w:r>
              <w:rPr>
                <w:color w:val="000000"/>
                <w:sz w:val="21"/>
                <w:szCs w:val="21"/>
              </w:rPr>
              <w:t>100%</w:t>
            </w:r>
          </w:p>
        </w:tc>
        <w:tc>
          <w:tcPr>
            <w:tcW w:w="1410" w:type="dxa"/>
            <w:vAlign w:val="center"/>
          </w:tcPr>
          <w:p w14:paraId="089BA700" w14:textId="77777777" w:rsidR="00EC2C51" w:rsidRDefault="00A971AA">
            <w:pPr>
              <w:widowControl/>
              <w:jc w:val="center"/>
              <w:rPr>
                <w:rFonts w:ascii="宋体" w:hAnsi="宋体" w:cs="宋体"/>
                <w:color w:val="000000"/>
                <w:szCs w:val="21"/>
              </w:rPr>
            </w:pPr>
            <w:r>
              <w:rPr>
                <w:rFonts w:cs="宋体" w:hint="eastAsia"/>
                <w:szCs w:val="21"/>
              </w:rPr>
              <w:t>预期性</w:t>
            </w:r>
          </w:p>
        </w:tc>
      </w:tr>
      <w:tr w:rsidR="00EC2C51" w14:paraId="6F59D985" w14:textId="77777777">
        <w:tc>
          <w:tcPr>
            <w:tcW w:w="937" w:type="dxa"/>
            <w:vMerge/>
            <w:vAlign w:val="center"/>
          </w:tcPr>
          <w:p w14:paraId="154B3174" w14:textId="77777777" w:rsidR="00EC2C51" w:rsidRDefault="00EC2C51">
            <w:pPr>
              <w:pStyle w:val="HTML1"/>
              <w:widowControl/>
              <w:jc w:val="center"/>
              <w:rPr>
                <w:rFonts w:hint="default"/>
                <w:sz w:val="21"/>
                <w:szCs w:val="21"/>
              </w:rPr>
            </w:pPr>
          </w:p>
        </w:tc>
        <w:tc>
          <w:tcPr>
            <w:tcW w:w="648" w:type="dxa"/>
            <w:vMerge/>
            <w:vAlign w:val="center"/>
          </w:tcPr>
          <w:p w14:paraId="00B4F56D" w14:textId="77777777" w:rsidR="00EC2C51" w:rsidRDefault="00EC2C51">
            <w:pPr>
              <w:pStyle w:val="HTML1"/>
              <w:widowControl/>
              <w:jc w:val="center"/>
              <w:rPr>
                <w:rFonts w:hint="default"/>
                <w:sz w:val="21"/>
                <w:szCs w:val="21"/>
              </w:rPr>
            </w:pPr>
          </w:p>
        </w:tc>
        <w:tc>
          <w:tcPr>
            <w:tcW w:w="3300" w:type="dxa"/>
            <w:vAlign w:val="center"/>
          </w:tcPr>
          <w:p w14:paraId="3938189C" w14:textId="77777777" w:rsidR="00EC2C51" w:rsidRDefault="00A971AA">
            <w:pPr>
              <w:pStyle w:val="HTML1"/>
              <w:widowControl/>
              <w:jc w:val="center"/>
              <w:rPr>
                <w:rFonts w:hint="default"/>
                <w:color w:val="000000"/>
                <w:sz w:val="21"/>
                <w:szCs w:val="21"/>
              </w:rPr>
            </w:pPr>
            <w:r>
              <w:rPr>
                <w:color w:val="000000"/>
                <w:sz w:val="21"/>
                <w:szCs w:val="21"/>
              </w:rPr>
              <w:t>应急演练次数达标率</w:t>
            </w:r>
          </w:p>
        </w:tc>
        <w:tc>
          <w:tcPr>
            <w:tcW w:w="1185" w:type="dxa"/>
            <w:vAlign w:val="center"/>
          </w:tcPr>
          <w:p w14:paraId="3814F37D" w14:textId="77777777" w:rsidR="00EC2C51" w:rsidRDefault="00A971AA">
            <w:pPr>
              <w:pStyle w:val="HTML1"/>
              <w:widowControl/>
              <w:jc w:val="center"/>
              <w:rPr>
                <w:rFonts w:hint="default"/>
                <w:color w:val="000000"/>
                <w:sz w:val="21"/>
                <w:szCs w:val="21"/>
              </w:rPr>
            </w:pPr>
            <w:r>
              <w:rPr>
                <w:color w:val="000000"/>
                <w:sz w:val="21"/>
                <w:szCs w:val="21"/>
              </w:rPr>
              <w:t>100%</w:t>
            </w:r>
          </w:p>
        </w:tc>
        <w:tc>
          <w:tcPr>
            <w:tcW w:w="1410" w:type="dxa"/>
            <w:vAlign w:val="center"/>
          </w:tcPr>
          <w:p w14:paraId="16CDC70C" w14:textId="77777777" w:rsidR="00EC2C51" w:rsidRDefault="00A971AA">
            <w:pPr>
              <w:widowControl/>
              <w:jc w:val="center"/>
              <w:rPr>
                <w:rFonts w:ascii="宋体" w:hAnsi="宋体" w:cs="宋体"/>
                <w:color w:val="000000"/>
                <w:szCs w:val="21"/>
              </w:rPr>
            </w:pPr>
            <w:r>
              <w:rPr>
                <w:rFonts w:cs="宋体" w:hint="eastAsia"/>
                <w:szCs w:val="21"/>
              </w:rPr>
              <w:t>预期性</w:t>
            </w:r>
          </w:p>
        </w:tc>
      </w:tr>
      <w:tr w:rsidR="00EC2C51" w14:paraId="725125D9" w14:textId="77777777">
        <w:trPr>
          <w:trHeight w:val="657"/>
        </w:trPr>
        <w:tc>
          <w:tcPr>
            <w:tcW w:w="937" w:type="dxa"/>
            <w:vMerge w:val="restart"/>
            <w:vAlign w:val="center"/>
          </w:tcPr>
          <w:p w14:paraId="64FAAC10" w14:textId="77777777" w:rsidR="00EC2C51" w:rsidRDefault="00A971AA">
            <w:pPr>
              <w:pStyle w:val="HTML1"/>
              <w:widowControl/>
              <w:jc w:val="center"/>
              <w:rPr>
                <w:rFonts w:hint="default"/>
                <w:color w:val="000000"/>
                <w:sz w:val="21"/>
                <w:szCs w:val="21"/>
              </w:rPr>
            </w:pPr>
            <w:r>
              <w:rPr>
                <w:color w:val="000000"/>
                <w:sz w:val="21"/>
                <w:szCs w:val="21"/>
              </w:rPr>
              <w:t>约束性指标</w:t>
            </w:r>
          </w:p>
        </w:tc>
        <w:tc>
          <w:tcPr>
            <w:tcW w:w="648" w:type="dxa"/>
            <w:vMerge w:val="restart"/>
            <w:vAlign w:val="center"/>
          </w:tcPr>
          <w:p w14:paraId="7FA7DF9D" w14:textId="77777777" w:rsidR="00EC2C51" w:rsidRDefault="00EC2C51">
            <w:pPr>
              <w:pStyle w:val="HTML1"/>
              <w:widowControl/>
              <w:jc w:val="center"/>
              <w:rPr>
                <w:rFonts w:hint="default"/>
                <w:color w:val="000000"/>
                <w:sz w:val="21"/>
                <w:szCs w:val="21"/>
              </w:rPr>
            </w:pPr>
          </w:p>
          <w:p w14:paraId="663A8943" w14:textId="77777777" w:rsidR="00EC2C51" w:rsidRDefault="00A971AA">
            <w:pPr>
              <w:pStyle w:val="HTML1"/>
              <w:widowControl/>
              <w:jc w:val="center"/>
              <w:rPr>
                <w:rFonts w:hint="default"/>
                <w:color w:val="000000"/>
                <w:sz w:val="21"/>
                <w:szCs w:val="21"/>
              </w:rPr>
            </w:pPr>
            <w:r>
              <w:rPr>
                <w:color w:val="000000"/>
                <w:sz w:val="21"/>
                <w:szCs w:val="21"/>
              </w:rPr>
              <w:t>绝对指标</w:t>
            </w:r>
          </w:p>
        </w:tc>
        <w:tc>
          <w:tcPr>
            <w:tcW w:w="3300" w:type="dxa"/>
            <w:vAlign w:val="center"/>
          </w:tcPr>
          <w:p w14:paraId="6EB0B9A9" w14:textId="77777777" w:rsidR="00EC2C51" w:rsidRDefault="00A971AA">
            <w:pPr>
              <w:pStyle w:val="HTML1"/>
              <w:widowControl/>
              <w:jc w:val="center"/>
              <w:rPr>
                <w:rFonts w:hint="default"/>
                <w:color w:val="000000"/>
                <w:sz w:val="21"/>
                <w:szCs w:val="21"/>
              </w:rPr>
            </w:pPr>
            <w:r>
              <w:rPr>
                <w:color w:val="000000"/>
                <w:sz w:val="21"/>
                <w:szCs w:val="21"/>
              </w:rPr>
              <w:t>生产安全事故起数</w:t>
            </w:r>
          </w:p>
        </w:tc>
        <w:tc>
          <w:tcPr>
            <w:tcW w:w="1185" w:type="dxa"/>
            <w:vAlign w:val="center"/>
          </w:tcPr>
          <w:p w14:paraId="0CCF7EEF" w14:textId="77777777" w:rsidR="00EC2C51" w:rsidRDefault="00A971AA">
            <w:pPr>
              <w:pStyle w:val="HTML1"/>
              <w:widowControl/>
              <w:jc w:val="center"/>
              <w:rPr>
                <w:rFonts w:hint="default"/>
                <w:color w:val="000000"/>
                <w:sz w:val="21"/>
                <w:szCs w:val="21"/>
              </w:rPr>
            </w:pPr>
            <w:r>
              <w:rPr>
                <w:color w:val="000000"/>
                <w:sz w:val="21"/>
                <w:szCs w:val="21"/>
              </w:rPr>
              <w:t>≤17起</w:t>
            </w:r>
          </w:p>
        </w:tc>
        <w:tc>
          <w:tcPr>
            <w:tcW w:w="1410" w:type="dxa"/>
            <w:vAlign w:val="center"/>
          </w:tcPr>
          <w:p w14:paraId="0F455817" w14:textId="77777777" w:rsidR="00EC2C51" w:rsidRDefault="00A971AA">
            <w:pPr>
              <w:widowControl/>
              <w:jc w:val="center"/>
              <w:rPr>
                <w:rFonts w:ascii="宋体" w:hAnsi="宋体" w:cs="宋体"/>
                <w:color w:val="000000"/>
                <w:szCs w:val="21"/>
              </w:rPr>
            </w:pPr>
            <w:r>
              <w:rPr>
                <w:rFonts w:ascii="宋体" w:hAnsi="宋体" w:cs="宋体" w:hint="eastAsia"/>
                <w:color w:val="000000"/>
                <w:szCs w:val="21"/>
              </w:rPr>
              <w:t>约束性</w:t>
            </w:r>
          </w:p>
        </w:tc>
      </w:tr>
      <w:tr w:rsidR="00EC2C51" w14:paraId="71F229F1" w14:textId="77777777">
        <w:tc>
          <w:tcPr>
            <w:tcW w:w="937" w:type="dxa"/>
            <w:vMerge/>
            <w:vAlign w:val="center"/>
          </w:tcPr>
          <w:p w14:paraId="2E25D837" w14:textId="77777777" w:rsidR="00EC2C51" w:rsidRDefault="00EC2C51">
            <w:pPr>
              <w:pStyle w:val="HTML1"/>
              <w:widowControl/>
              <w:jc w:val="center"/>
              <w:rPr>
                <w:rFonts w:hint="default"/>
                <w:color w:val="000000"/>
                <w:sz w:val="21"/>
                <w:szCs w:val="21"/>
              </w:rPr>
            </w:pPr>
          </w:p>
        </w:tc>
        <w:tc>
          <w:tcPr>
            <w:tcW w:w="648" w:type="dxa"/>
            <w:vMerge/>
            <w:vAlign w:val="center"/>
          </w:tcPr>
          <w:p w14:paraId="7CE47C7C" w14:textId="77777777" w:rsidR="00EC2C51" w:rsidRDefault="00EC2C51">
            <w:pPr>
              <w:pStyle w:val="HTML1"/>
              <w:widowControl/>
              <w:jc w:val="center"/>
              <w:rPr>
                <w:rFonts w:hint="default"/>
                <w:color w:val="000000"/>
                <w:sz w:val="21"/>
                <w:szCs w:val="21"/>
              </w:rPr>
            </w:pPr>
          </w:p>
        </w:tc>
        <w:tc>
          <w:tcPr>
            <w:tcW w:w="3300" w:type="dxa"/>
            <w:vAlign w:val="center"/>
          </w:tcPr>
          <w:p w14:paraId="64889E53" w14:textId="77777777" w:rsidR="00EC2C51" w:rsidRDefault="00A971AA">
            <w:pPr>
              <w:pStyle w:val="HTML1"/>
              <w:widowControl/>
              <w:jc w:val="center"/>
              <w:rPr>
                <w:rFonts w:hint="default"/>
                <w:color w:val="000000"/>
                <w:sz w:val="21"/>
                <w:szCs w:val="21"/>
              </w:rPr>
            </w:pPr>
            <w:r>
              <w:rPr>
                <w:color w:val="000000"/>
                <w:sz w:val="21"/>
                <w:szCs w:val="21"/>
              </w:rPr>
              <w:t>生产安全事故死亡人数</w:t>
            </w:r>
          </w:p>
        </w:tc>
        <w:tc>
          <w:tcPr>
            <w:tcW w:w="1185" w:type="dxa"/>
            <w:vAlign w:val="center"/>
          </w:tcPr>
          <w:p w14:paraId="682ECAF7" w14:textId="77777777" w:rsidR="00EC2C51" w:rsidRDefault="00A971AA">
            <w:pPr>
              <w:pStyle w:val="HTML1"/>
              <w:widowControl/>
              <w:jc w:val="center"/>
              <w:rPr>
                <w:rFonts w:hint="default"/>
                <w:color w:val="000000"/>
                <w:sz w:val="21"/>
                <w:szCs w:val="21"/>
              </w:rPr>
            </w:pPr>
            <w:r>
              <w:rPr>
                <w:color w:val="000000"/>
                <w:sz w:val="21"/>
                <w:szCs w:val="21"/>
              </w:rPr>
              <w:t>≤11人</w:t>
            </w:r>
          </w:p>
        </w:tc>
        <w:tc>
          <w:tcPr>
            <w:tcW w:w="1410" w:type="dxa"/>
            <w:vAlign w:val="center"/>
          </w:tcPr>
          <w:p w14:paraId="662D4663" w14:textId="77777777" w:rsidR="00EC2C51" w:rsidRDefault="00A971AA">
            <w:pPr>
              <w:widowControl/>
              <w:jc w:val="center"/>
              <w:rPr>
                <w:rFonts w:ascii="宋体" w:hAnsi="宋体" w:cs="宋体"/>
                <w:color w:val="000000"/>
                <w:szCs w:val="21"/>
              </w:rPr>
            </w:pPr>
            <w:r>
              <w:rPr>
                <w:rFonts w:ascii="宋体" w:hAnsi="宋体" w:cs="宋体" w:hint="eastAsia"/>
                <w:color w:val="000000"/>
                <w:szCs w:val="21"/>
              </w:rPr>
              <w:t>约束性</w:t>
            </w:r>
          </w:p>
        </w:tc>
      </w:tr>
      <w:tr w:rsidR="00EC2C51" w14:paraId="558B7637" w14:textId="77777777">
        <w:tc>
          <w:tcPr>
            <w:tcW w:w="937" w:type="dxa"/>
            <w:vMerge/>
            <w:vAlign w:val="center"/>
          </w:tcPr>
          <w:p w14:paraId="723FE48E" w14:textId="77777777" w:rsidR="00EC2C51" w:rsidRDefault="00EC2C51">
            <w:pPr>
              <w:pStyle w:val="HTML1"/>
              <w:widowControl/>
              <w:jc w:val="center"/>
              <w:rPr>
                <w:rFonts w:hint="default"/>
                <w:color w:val="000000"/>
                <w:sz w:val="21"/>
                <w:szCs w:val="21"/>
              </w:rPr>
            </w:pPr>
          </w:p>
        </w:tc>
        <w:tc>
          <w:tcPr>
            <w:tcW w:w="648" w:type="dxa"/>
            <w:vMerge w:val="restart"/>
            <w:vAlign w:val="center"/>
          </w:tcPr>
          <w:p w14:paraId="18300BE8" w14:textId="77777777" w:rsidR="00EC2C51" w:rsidRDefault="00EC2C51">
            <w:pPr>
              <w:pStyle w:val="HTML1"/>
              <w:widowControl/>
              <w:jc w:val="center"/>
              <w:rPr>
                <w:rFonts w:hint="default"/>
                <w:color w:val="000000"/>
                <w:sz w:val="21"/>
                <w:szCs w:val="21"/>
              </w:rPr>
            </w:pPr>
          </w:p>
          <w:p w14:paraId="0645818D" w14:textId="77777777" w:rsidR="00EC2C51" w:rsidRDefault="00A971AA">
            <w:pPr>
              <w:pStyle w:val="HTML1"/>
              <w:widowControl/>
              <w:jc w:val="center"/>
              <w:rPr>
                <w:rFonts w:hint="default"/>
                <w:color w:val="000000"/>
                <w:sz w:val="21"/>
                <w:szCs w:val="21"/>
              </w:rPr>
            </w:pPr>
            <w:r>
              <w:rPr>
                <w:color w:val="000000"/>
                <w:sz w:val="21"/>
                <w:szCs w:val="21"/>
              </w:rPr>
              <w:t>相对指标</w:t>
            </w:r>
          </w:p>
        </w:tc>
        <w:tc>
          <w:tcPr>
            <w:tcW w:w="3300" w:type="dxa"/>
            <w:vAlign w:val="center"/>
          </w:tcPr>
          <w:p w14:paraId="3387AF87" w14:textId="77777777" w:rsidR="00EC2C51" w:rsidRDefault="00A971AA">
            <w:pPr>
              <w:pStyle w:val="HTML1"/>
              <w:widowControl/>
              <w:jc w:val="center"/>
              <w:rPr>
                <w:rFonts w:hint="default"/>
                <w:color w:val="000000"/>
                <w:sz w:val="21"/>
                <w:szCs w:val="21"/>
              </w:rPr>
            </w:pPr>
            <w:r>
              <w:rPr>
                <w:color w:val="000000"/>
                <w:sz w:val="21"/>
                <w:szCs w:val="21"/>
              </w:rPr>
              <w:t>亿元生产总值生产安全事故死亡率</w:t>
            </w:r>
          </w:p>
        </w:tc>
        <w:tc>
          <w:tcPr>
            <w:tcW w:w="1185" w:type="dxa"/>
            <w:vAlign w:val="center"/>
          </w:tcPr>
          <w:p w14:paraId="77659572" w14:textId="77777777" w:rsidR="00EC2C51" w:rsidRDefault="00A971AA">
            <w:pPr>
              <w:pStyle w:val="HTML1"/>
              <w:widowControl/>
              <w:jc w:val="center"/>
              <w:rPr>
                <w:rFonts w:hint="default"/>
                <w:color w:val="000000"/>
                <w:sz w:val="21"/>
                <w:szCs w:val="21"/>
              </w:rPr>
            </w:pPr>
            <w:r>
              <w:rPr>
                <w:color w:val="000000"/>
                <w:sz w:val="21"/>
                <w:szCs w:val="21"/>
              </w:rPr>
              <w:t>≤0.012</w:t>
            </w:r>
          </w:p>
        </w:tc>
        <w:tc>
          <w:tcPr>
            <w:tcW w:w="1410" w:type="dxa"/>
            <w:vAlign w:val="center"/>
          </w:tcPr>
          <w:p w14:paraId="0F233A97" w14:textId="77777777" w:rsidR="00EC2C51" w:rsidRDefault="00A971AA">
            <w:pPr>
              <w:widowControl/>
              <w:jc w:val="center"/>
              <w:rPr>
                <w:rFonts w:ascii="宋体" w:hAnsi="宋体" w:cs="宋体"/>
                <w:color w:val="000000"/>
                <w:szCs w:val="21"/>
              </w:rPr>
            </w:pPr>
            <w:r>
              <w:rPr>
                <w:rFonts w:ascii="宋体" w:hAnsi="宋体" w:cs="宋体" w:hint="eastAsia"/>
                <w:color w:val="000000"/>
                <w:szCs w:val="21"/>
              </w:rPr>
              <w:t>约束性</w:t>
            </w:r>
          </w:p>
        </w:tc>
      </w:tr>
      <w:tr w:rsidR="00EC2C51" w14:paraId="1CF0173D" w14:textId="77777777">
        <w:tc>
          <w:tcPr>
            <w:tcW w:w="937" w:type="dxa"/>
            <w:vMerge/>
            <w:vAlign w:val="center"/>
          </w:tcPr>
          <w:p w14:paraId="62430122" w14:textId="77777777" w:rsidR="00EC2C51" w:rsidRDefault="00EC2C51">
            <w:pPr>
              <w:pStyle w:val="HTML1"/>
              <w:widowControl/>
              <w:jc w:val="center"/>
              <w:rPr>
                <w:rFonts w:hint="default"/>
                <w:color w:val="000000"/>
                <w:sz w:val="21"/>
                <w:szCs w:val="21"/>
              </w:rPr>
            </w:pPr>
          </w:p>
        </w:tc>
        <w:tc>
          <w:tcPr>
            <w:tcW w:w="648" w:type="dxa"/>
            <w:vMerge/>
            <w:vAlign w:val="center"/>
          </w:tcPr>
          <w:p w14:paraId="3F8F576F" w14:textId="77777777" w:rsidR="00EC2C51" w:rsidRDefault="00EC2C51">
            <w:pPr>
              <w:pStyle w:val="HTML1"/>
              <w:widowControl/>
              <w:jc w:val="center"/>
              <w:rPr>
                <w:rFonts w:hint="default"/>
                <w:color w:val="000000"/>
                <w:sz w:val="21"/>
                <w:szCs w:val="21"/>
              </w:rPr>
            </w:pPr>
          </w:p>
        </w:tc>
        <w:tc>
          <w:tcPr>
            <w:tcW w:w="3300" w:type="dxa"/>
            <w:vAlign w:val="center"/>
          </w:tcPr>
          <w:p w14:paraId="791A0E3E" w14:textId="77777777" w:rsidR="00EC2C51" w:rsidRDefault="00A971AA">
            <w:pPr>
              <w:pStyle w:val="HTML1"/>
              <w:widowControl/>
              <w:jc w:val="center"/>
              <w:rPr>
                <w:rFonts w:hint="default"/>
                <w:color w:val="000000"/>
                <w:sz w:val="21"/>
                <w:szCs w:val="21"/>
              </w:rPr>
            </w:pPr>
            <w:r>
              <w:rPr>
                <w:color w:val="000000"/>
                <w:sz w:val="21"/>
                <w:szCs w:val="21"/>
              </w:rPr>
              <w:t>工矿商贸就业人员十万人生产安全事故死亡率</w:t>
            </w:r>
          </w:p>
        </w:tc>
        <w:tc>
          <w:tcPr>
            <w:tcW w:w="1185" w:type="dxa"/>
            <w:vAlign w:val="center"/>
          </w:tcPr>
          <w:p w14:paraId="77A16751" w14:textId="77777777" w:rsidR="00EC2C51" w:rsidRDefault="00A971AA">
            <w:pPr>
              <w:pStyle w:val="HTML1"/>
              <w:widowControl/>
              <w:jc w:val="center"/>
              <w:rPr>
                <w:rFonts w:hint="default"/>
                <w:color w:val="000000"/>
                <w:sz w:val="21"/>
                <w:szCs w:val="21"/>
              </w:rPr>
            </w:pPr>
            <w:r>
              <w:rPr>
                <w:color w:val="000000"/>
                <w:sz w:val="21"/>
                <w:szCs w:val="21"/>
              </w:rPr>
              <w:t>下降20%</w:t>
            </w:r>
          </w:p>
        </w:tc>
        <w:tc>
          <w:tcPr>
            <w:tcW w:w="1410" w:type="dxa"/>
            <w:vAlign w:val="center"/>
          </w:tcPr>
          <w:p w14:paraId="060585F1" w14:textId="77777777" w:rsidR="00EC2C51" w:rsidRDefault="00A971AA">
            <w:pPr>
              <w:widowControl/>
              <w:jc w:val="center"/>
              <w:rPr>
                <w:rFonts w:ascii="宋体" w:hAnsi="宋体" w:cs="宋体"/>
                <w:color w:val="000000"/>
                <w:szCs w:val="21"/>
              </w:rPr>
            </w:pPr>
            <w:r>
              <w:rPr>
                <w:rFonts w:ascii="宋体" w:hAnsi="宋体" w:cs="宋体" w:hint="eastAsia"/>
                <w:color w:val="000000"/>
                <w:szCs w:val="21"/>
              </w:rPr>
              <w:t>约束性</w:t>
            </w:r>
          </w:p>
        </w:tc>
      </w:tr>
      <w:tr w:rsidR="00EC2C51" w14:paraId="20E2F4B1" w14:textId="77777777">
        <w:tc>
          <w:tcPr>
            <w:tcW w:w="937" w:type="dxa"/>
            <w:vMerge/>
            <w:vAlign w:val="center"/>
          </w:tcPr>
          <w:p w14:paraId="41B84AD7" w14:textId="77777777" w:rsidR="00EC2C51" w:rsidRDefault="00EC2C51">
            <w:pPr>
              <w:pStyle w:val="HTML1"/>
              <w:widowControl/>
              <w:jc w:val="center"/>
              <w:rPr>
                <w:rFonts w:hint="default"/>
                <w:color w:val="000000"/>
                <w:sz w:val="21"/>
                <w:szCs w:val="21"/>
              </w:rPr>
            </w:pPr>
          </w:p>
        </w:tc>
        <w:tc>
          <w:tcPr>
            <w:tcW w:w="648" w:type="dxa"/>
            <w:vMerge/>
            <w:vAlign w:val="center"/>
          </w:tcPr>
          <w:p w14:paraId="561BDF1D" w14:textId="77777777" w:rsidR="00EC2C51" w:rsidRDefault="00EC2C51">
            <w:pPr>
              <w:pStyle w:val="HTML1"/>
              <w:widowControl/>
              <w:jc w:val="center"/>
              <w:rPr>
                <w:rFonts w:hint="default"/>
                <w:color w:val="000000"/>
                <w:sz w:val="21"/>
                <w:szCs w:val="21"/>
              </w:rPr>
            </w:pPr>
          </w:p>
        </w:tc>
        <w:tc>
          <w:tcPr>
            <w:tcW w:w="3300" w:type="dxa"/>
            <w:vAlign w:val="center"/>
          </w:tcPr>
          <w:p w14:paraId="064B408B" w14:textId="77777777" w:rsidR="00EC2C51" w:rsidRDefault="00A971AA">
            <w:pPr>
              <w:pStyle w:val="HTML1"/>
              <w:widowControl/>
              <w:jc w:val="center"/>
              <w:rPr>
                <w:rFonts w:hint="default"/>
                <w:color w:val="000000"/>
                <w:sz w:val="21"/>
                <w:szCs w:val="21"/>
              </w:rPr>
            </w:pPr>
            <w:r>
              <w:rPr>
                <w:color w:val="000000"/>
                <w:sz w:val="21"/>
                <w:szCs w:val="21"/>
              </w:rPr>
              <w:t>道路交通万车死亡率</w:t>
            </w:r>
          </w:p>
        </w:tc>
        <w:tc>
          <w:tcPr>
            <w:tcW w:w="1185" w:type="dxa"/>
            <w:vAlign w:val="center"/>
          </w:tcPr>
          <w:p w14:paraId="0FF7C248" w14:textId="77777777" w:rsidR="00EC2C51" w:rsidRDefault="00A971AA">
            <w:pPr>
              <w:pStyle w:val="HTML1"/>
              <w:widowControl/>
              <w:jc w:val="center"/>
              <w:rPr>
                <w:rFonts w:hint="default"/>
                <w:color w:val="000000"/>
                <w:sz w:val="21"/>
                <w:szCs w:val="21"/>
              </w:rPr>
            </w:pPr>
            <w:r>
              <w:rPr>
                <w:color w:val="000000"/>
                <w:sz w:val="21"/>
                <w:szCs w:val="21"/>
              </w:rPr>
              <w:t>≤0.38</w:t>
            </w:r>
          </w:p>
        </w:tc>
        <w:tc>
          <w:tcPr>
            <w:tcW w:w="1410" w:type="dxa"/>
            <w:vAlign w:val="center"/>
          </w:tcPr>
          <w:p w14:paraId="2EE4F6F6" w14:textId="77777777" w:rsidR="00EC2C51" w:rsidRDefault="00A971AA">
            <w:pPr>
              <w:widowControl/>
              <w:jc w:val="center"/>
              <w:rPr>
                <w:rFonts w:ascii="宋体" w:hAnsi="宋体" w:cs="宋体"/>
                <w:color w:val="000000"/>
                <w:szCs w:val="21"/>
              </w:rPr>
            </w:pPr>
            <w:r>
              <w:rPr>
                <w:rFonts w:ascii="宋体" w:hAnsi="宋体" w:cs="宋体" w:hint="eastAsia"/>
                <w:color w:val="000000"/>
                <w:szCs w:val="21"/>
              </w:rPr>
              <w:t>约束性</w:t>
            </w:r>
          </w:p>
        </w:tc>
      </w:tr>
    </w:tbl>
    <w:p w14:paraId="3DD1DC0E" w14:textId="77777777" w:rsidR="00EC2C51" w:rsidRDefault="00EC2C51">
      <w:pPr>
        <w:pStyle w:val="HTML1"/>
        <w:widowControl/>
        <w:rPr>
          <w:rFonts w:ascii="黑体" w:eastAsia="黑体" w:cs="黑体" w:hint="default"/>
          <w:color w:val="000000"/>
          <w:sz w:val="31"/>
          <w:szCs w:val="31"/>
        </w:rPr>
      </w:pPr>
    </w:p>
    <w:p w14:paraId="36F3CFF1" w14:textId="77777777" w:rsidR="00EC2C51" w:rsidRDefault="00A971AA">
      <w:pPr>
        <w:pStyle w:val="HTML1"/>
        <w:widowControl/>
        <w:ind w:firstLine="640"/>
        <w:outlineLvl w:val="0"/>
        <w:rPr>
          <w:rFonts w:hint="default"/>
        </w:rPr>
      </w:pPr>
      <w:bookmarkStart w:id="51" w:name="_Toc7405"/>
      <w:r>
        <w:rPr>
          <w:rFonts w:ascii="黑体" w:eastAsia="黑体" w:cs="黑体"/>
          <w:color w:val="000000"/>
          <w:sz w:val="31"/>
          <w:szCs w:val="31"/>
        </w:rPr>
        <w:t>三、主要任务</w:t>
      </w:r>
      <w:bookmarkEnd w:id="51"/>
    </w:p>
    <w:p w14:paraId="427D15A3" w14:textId="77777777" w:rsidR="00EC2C51" w:rsidRDefault="00A971AA">
      <w:pPr>
        <w:pStyle w:val="HTML1"/>
        <w:widowControl/>
        <w:ind w:firstLine="640"/>
        <w:outlineLvl w:val="1"/>
        <w:rPr>
          <w:rFonts w:hint="default"/>
        </w:rPr>
      </w:pPr>
      <w:bookmarkStart w:id="52" w:name="_Toc1700"/>
      <w:r>
        <w:rPr>
          <w:rFonts w:ascii="楷体_GB2312" w:eastAsia="楷体_GB2312" w:cs="楷体_GB2312"/>
          <w:color w:val="000000"/>
          <w:sz w:val="31"/>
          <w:szCs w:val="31"/>
        </w:rPr>
        <w:t>（一）完善和落实安全生产责任体系</w:t>
      </w:r>
      <w:bookmarkEnd w:id="52"/>
    </w:p>
    <w:p w14:paraId="53B3D3D3" w14:textId="77777777" w:rsidR="00EC2C51" w:rsidRDefault="00A971AA">
      <w:pPr>
        <w:pStyle w:val="HTML1"/>
        <w:widowControl/>
        <w:ind w:firstLine="640"/>
        <w:rPr>
          <w:rFonts w:ascii="仿宋_GB2312" w:eastAsia="仿宋_GB2312" w:cs="仿宋_GB2312" w:hint="default"/>
          <w:color w:val="000000"/>
          <w:sz w:val="31"/>
          <w:szCs w:val="31"/>
        </w:rPr>
      </w:pPr>
      <w:r>
        <w:rPr>
          <w:rFonts w:ascii="仿宋_GB2312" w:eastAsia="仿宋_GB2312" w:cs="仿宋_GB2312"/>
          <w:color w:val="000000"/>
          <w:sz w:val="31"/>
          <w:szCs w:val="31"/>
        </w:rPr>
        <w:t>1.强化党政领导责任落实。坚持“党政同责、一岗双责、齐抓共管、失职追责”，区直有关部门和单位的主要负责人是本行业领域安全生产工作的第一责任人，对安全生产工作负全面领导责任；分管安全生产工作的负责人对安全生产工作负重要领导责任；其他负责人对分管职责范围内的安全生产工作负直接领导责任；进一步细化党政领导安全生产责任清单，完善党政领导安全生产考核机制和办法，将安全生产工作纳入党政领导月度绩效考核和年度述职报告，对履职情况定期通报、及</w:t>
      </w:r>
      <w:r>
        <w:rPr>
          <w:rFonts w:ascii="仿宋_GB2312" w:eastAsia="仿宋_GB2312" w:cs="仿宋_GB2312"/>
          <w:color w:val="000000"/>
          <w:sz w:val="31"/>
          <w:szCs w:val="31"/>
        </w:rPr>
        <w:lastRenderedPageBreak/>
        <w:t>时提醒，对问题严重的进行约谈，严格落实生产安全事故一票否决制度。</w:t>
      </w:r>
    </w:p>
    <w:p w14:paraId="34D215AD" w14:textId="77777777" w:rsidR="00EC2C51" w:rsidRDefault="00A971AA">
      <w:pPr>
        <w:pStyle w:val="HTML1"/>
        <w:widowControl/>
        <w:ind w:firstLine="640"/>
        <w:rPr>
          <w:rFonts w:hint="default"/>
        </w:rPr>
      </w:pPr>
      <w:r>
        <w:rPr>
          <w:rFonts w:ascii="仿宋_GB2312" w:eastAsia="仿宋_GB2312" w:cs="仿宋_GB2312"/>
          <w:color w:val="000000"/>
          <w:sz w:val="31"/>
          <w:szCs w:val="31"/>
        </w:rPr>
        <w:t>2.严格落实监管责任。根据《国务院安全生产委员会成员单位安全生产工作任务分工》，制修订康巴什区部门工作职责规定和安全生产责任清单，理清安全生产综合监管与行业监管的关系，明确负有安全生产监管职责部门的执法责任和监管范围，强化安全生产监管责任体系；各相关行业主管部门要按照“管行业必须管安全、管业务必须管安全、管生产经营必须管安全”和“谁主管谁负责”的要求，强化措施，加大执法检查力度，抓好本部门、本行业、本领域的安全生产工作，全面开展安全检查，进一步强化监管，确保责任全覆盖、监管无缝隙；创新政府监管方式，强化监管与执法衔接，建立健全安全监管部门联动工作机制，推进联合安全执法检查常态化。</w:t>
      </w:r>
    </w:p>
    <w:p w14:paraId="7A966762" w14:textId="77777777" w:rsidR="00EC2C51" w:rsidRDefault="00A971AA">
      <w:pPr>
        <w:pStyle w:val="HTML1"/>
        <w:widowControl/>
        <w:ind w:firstLine="640"/>
        <w:rPr>
          <w:rFonts w:hint="default"/>
        </w:rPr>
      </w:pPr>
      <w:r>
        <w:rPr>
          <w:rFonts w:ascii="仿宋_GB2312" w:eastAsia="仿宋_GB2312" w:cs="仿宋_GB2312"/>
          <w:color w:val="000000"/>
          <w:sz w:val="31"/>
          <w:szCs w:val="31"/>
        </w:rPr>
        <w:t>3.强化企业主体责任落实。严格落实《国务院安委会办公室关于全面加强企业全员安全生产责任制工作的通知》、《内蒙古自治区落实生产经营单位安全生产主体责任规定》等法规条例，企业对本单位安全生产负全面责任，以落实企业安全生产主体责任为核心，突出问题导向、目标导向，督促指导企事业单位健全安全生产监管体制，严格落实安全生产职责，依法依规制定安全生产权力清单和责任清单，尽职照单免责，失职照单问责，构建“层层负责、人人有责、各负其责”的安全生产责任体系；建立企业全员、全过程、全方位安全管理制度，</w:t>
      </w:r>
      <w:r>
        <w:rPr>
          <w:rFonts w:ascii="仿宋_GB2312" w:eastAsia="仿宋_GB2312" w:cs="仿宋_GB2312"/>
          <w:color w:val="000000"/>
          <w:sz w:val="31"/>
          <w:szCs w:val="31"/>
        </w:rPr>
        <w:lastRenderedPageBreak/>
        <w:t>做到安全责任、管理、投入、培训和应急救援“五到位”；积极构建全员参与的隐患排查整治机制，明确企业主要负责人、分管负责人、各部门、各车间、各班组、各岗位隐患排查的方式和内容，实行自查、自改、自报闭环管理，确保整改责任、资金、措施、时限和应急预案“五落实”；发挥中央、自治区驻区企业和市、区直属国有企业安全生产示范带头作用。</w:t>
      </w:r>
    </w:p>
    <w:p w14:paraId="77091D20" w14:textId="77777777" w:rsidR="00EC2C51" w:rsidRDefault="00A971AA">
      <w:pPr>
        <w:pStyle w:val="HTML1"/>
        <w:widowControl/>
        <w:ind w:firstLine="640"/>
        <w:outlineLvl w:val="1"/>
        <w:rPr>
          <w:rFonts w:ascii="楷体_GB2312" w:eastAsia="楷体_GB2312" w:cs="楷体_GB2312" w:hint="default"/>
          <w:color w:val="000000"/>
          <w:sz w:val="31"/>
          <w:szCs w:val="31"/>
        </w:rPr>
      </w:pPr>
      <w:bookmarkStart w:id="53" w:name="_Toc16181"/>
      <w:r>
        <w:rPr>
          <w:rFonts w:ascii="楷体_GB2312" w:eastAsia="楷体_GB2312" w:cs="楷体_GB2312"/>
          <w:color w:val="000000"/>
          <w:sz w:val="31"/>
          <w:szCs w:val="31"/>
        </w:rPr>
        <w:t>（二）健全安全生产监管体系</w:t>
      </w:r>
      <w:bookmarkEnd w:id="53"/>
    </w:p>
    <w:p w14:paraId="33AF3EA6" w14:textId="77777777" w:rsidR="00EC2C51" w:rsidRDefault="00A971AA">
      <w:pPr>
        <w:pStyle w:val="HTML1"/>
        <w:widowControl/>
        <w:ind w:firstLine="640"/>
        <w:rPr>
          <w:rFonts w:hint="default"/>
        </w:rPr>
      </w:pPr>
      <w:r>
        <w:rPr>
          <w:rFonts w:ascii="仿宋_GB2312" w:eastAsia="仿宋_GB2312" w:cs="仿宋_GB2312"/>
          <w:color w:val="000000"/>
          <w:sz w:val="31"/>
          <w:szCs w:val="31"/>
        </w:rPr>
        <w:t>1.创新安全生产监管执法方式。制定执法计划，细化执法工作流程，实行分类分级监督管理，依法严厉查处各类违法违规行为；采用双随机抽查制度，采取突击抽查、暗访暗查、交叉检查、重点抽查等多种方式，加大执法检查频次，深入开展安全生产大检查；健全联合执法机制，强化负有安全生产监管职责部门间的信息通报、协同调查、联动执法机制，实现部门执法信息共享；充分发挥刑事责任追究对安全生产领域违法违规企业的震慑作用，建立行政执法和刑事司法衔接制度，加强负有安全生产监管职责部门与公检法等部门的协调配合，健全安全生产违法线索通报、案件移送与协查机制，提高企业违法成本。</w:t>
      </w:r>
    </w:p>
    <w:p w14:paraId="6503410A" w14:textId="77777777" w:rsidR="00EC2C51" w:rsidRDefault="00A971AA">
      <w:pPr>
        <w:pStyle w:val="HTML1"/>
        <w:widowControl/>
        <w:ind w:firstLine="640"/>
        <w:rPr>
          <w:rFonts w:ascii="仿宋_GB2312" w:eastAsia="仿宋_GB2312" w:cs="仿宋_GB2312" w:hint="default"/>
          <w:color w:val="000000"/>
          <w:sz w:val="31"/>
          <w:szCs w:val="31"/>
        </w:rPr>
      </w:pPr>
      <w:r>
        <w:rPr>
          <w:rFonts w:ascii="仿宋_GB2312" w:eastAsia="仿宋_GB2312" w:cs="仿宋_GB2312"/>
          <w:color w:val="000000"/>
          <w:sz w:val="31"/>
          <w:szCs w:val="31"/>
        </w:rPr>
        <w:t>2.规范安全生产监管执法行为。进一步依法规范行政执法程序，健全行政执法听证制度，完善行政裁量权基准制度，强化行政处罚过程控制；增加配备执法车辆、移动执法终端等执法装备，改善现场执法、调查取证、应急处置等监管执法条件，</w:t>
      </w:r>
      <w:r>
        <w:rPr>
          <w:rFonts w:ascii="仿宋_GB2312" w:eastAsia="仿宋_GB2312" w:cs="仿宋_GB2312"/>
          <w:color w:val="000000"/>
          <w:sz w:val="31"/>
          <w:szCs w:val="31"/>
        </w:rPr>
        <w:lastRenderedPageBreak/>
        <w:t>实施执法全过程记录；实行派驻执法、跨区域执法或委托执法等方式，加强街道安全生产执法工作；制修订康巴什区安全生产执法监察标准化建设工作方案，实现安全生产执法监察队伍执法办案流程统一、执法文书填写统一、执法案卷归档统一、执法礼仪和用语统一，严格履行档案移交、登记、借阅、保管和销毁等手续，定期开展执法监察标准化实施效果评估。</w:t>
      </w:r>
    </w:p>
    <w:p w14:paraId="48E31B90" w14:textId="77777777" w:rsidR="00EC2C51" w:rsidRDefault="00A971AA">
      <w:pPr>
        <w:pStyle w:val="HTML1"/>
        <w:widowControl/>
        <w:ind w:firstLine="640"/>
        <w:rPr>
          <w:rFonts w:hint="default"/>
        </w:rPr>
      </w:pPr>
      <w:r>
        <w:rPr>
          <w:rFonts w:ascii="仿宋_GB2312" w:eastAsia="仿宋_GB2312" w:cs="仿宋_GB2312"/>
          <w:color w:val="000000"/>
          <w:sz w:val="31"/>
          <w:szCs w:val="31"/>
        </w:rPr>
        <w:t>3.增强监管执法能力。优化基层执法人员专业结构，提高专业执法人员配比率，提升执法专业水平；严格监督检查员队伍选拔条件，加强业务培训，制定实施轮训计划，聘请专家指导服务，提高基层监督检查员队伍的专业水平；进一步制定完善监督检查员管理、培训、考核、分类分级、退出机制办法和标准；充分运用移动执法终端、“互联网+监管”、电子案卷等手段提高监管执法效能。</w:t>
      </w:r>
    </w:p>
    <w:p w14:paraId="4BA5319D" w14:textId="77777777" w:rsidR="00EC2C51" w:rsidRDefault="00A971AA">
      <w:pPr>
        <w:spacing w:line="560" w:lineRule="exact"/>
        <w:ind w:firstLine="643"/>
        <w:rPr>
          <w:rFonts w:ascii="仿宋_GB2312" w:eastAsia="仿宋_GB2312" w:cs="仿宋_GB2312"/>
          <w:color w:val="000000"/>
          <w:sz w:val="31"/>
          <w:szCs w:val="31"/>
        </w:rPr>
      </w:pPr>
      <w:r>
        <w:rPr>
          <w:rFonts w:ascii="仿宋_GB2312" w:eastAsia="仿宋_GB2312" w:cs="仿宋_GB2312" w:hint="eastAsia"/>
          <w:color w:val="000000"/>
          <w:sz w:val="31"/>
          <w:szCs w:val="31"/>
        </w:rPr>
        <w:t>4.加强信用监管，完善信用制度。切实把“双公示”工作落到实处，保持“双公示”工作的常态化和信息公示的及时性、全面性、准确性，对照责任清单，认真梳理业务工作流程，结合行政许可和行政处罚工作实际情况，按照“双公示”工作制度要求，查漏补缺，及时向“公示账号”公示相关情况内容；推进涉</w:t>
      </w:r>
      <w:proofErr w:type="gramStart"/>
      <w:r>
        <w:rPr>
          <w:rFonts w:ascii="仿宋_GB2312" w:eastAsia="仿宋_GB2312" w:cs="仿宋_GB2312" w:hint="eastAsia"/>
          <w:color w:val="000000"/>
          <w:sz w:val="31"/>
          <w:szCs w:val="31"/>
        </w:rPr>
        <w:t>企信息</w:t>
      </w:r>
      <w:proofErr w:type="gramEnd"/>
      <w:r>
        <w:rPr>
          <w:rFonts w:ascii="仿宋_GB2312" w:eastAsia="仿宋_GB2312" w:cs="仿宋_GB2312" w:hint="eastAsia"/>
          <w:color w:val="000000"/>
          <w:sz w:val="31"/>
          <w:szCs w:val="31"/>
        </w:rPr>
        <w:t>归集共享，推动信用信息共享和广泛应用，严格依法科学界定守信和失信行为，实行守信联合激励和失信联合惩戒机制，做到市场主体“一处违法、处处受限”。</w:t>
      </w:r>
    </w:p>
    <w:p w14:paraId="1B6D26C2" w14:textId="77777777" w:rsidR="00EC2C51" w:rsidRDefault="00A971AA">
      <w:pPr>
        <w:spacing w:line="560" w:lineRule="exact"/>
        <w:ind w:firstLine="643"/>
        <w:rPr>
          <w:rFonts w:ascii="仿宋_GB2312" w:eastAsia="仿宋_GB2312" w:hAnsi="Times New Roman"/>
          <w:color w:val="000000"/>
          <w:sz w:val="32"/>
        </w:rPr>
      </w:pPr>
      <w:r>
        <w:rPr>
          <w:rFonts w:ascii="仿宋_GB2312" w:eastAsia="仿宋_GB2312" w:hAnsi="Times New Roman" w:hint="eastAsia"/>
          <w:bCs/>
          <w:color w:val="000000"/>
          <w:sz w:val="32"/>
        </w:rPr>
        <w:t>5.</w:t>
      </w:r>
      <w:r>
        <w:rPr>
          <w:rFonts w:ascii="仿宋_GB2312" w:eastAsia="仿宋_GB2312" w:hAnsi="Times New Roman"/>
          <w:bCs/>
          <w:color w:val="000000"/>
          <w:sz w:val="32"/>
        </w:rPr>
        <w:t>完善风险管控机制。</w:t>
      </w:r>
      <w:r>
        <w:rPr>
          <w:rFonts w:ascii="仿宋_GB2312" w:eastAsia="仿宋_GB2312" w:hAnsi="Times New Roman" w:hint="eastAsia"/>
          <w:color w:val="000000"/>
          <w:sz w:val="32"/>
        </w:rPr>
        <w:t>针对安全生产规律和特点，紧紧盯住重点行业、重点领域、重点企业、重点环节、重点部位、</w:t>
      </w:r>
      <w:r>
        <w:rPr>
          <w:rFonts w:ascii="仿宋_GB2312" w:eastAsia="仿宋_GB2312" w:hAnsi="Times New Roman" w:hint="eastAsia"/>
          <w:color w:val="000000"/>
          <w:sz w:val="32"/>
        </w:rPr>
        <w:lastRenderedPageBreak/>
        <w:t>重点时段，超前</w:t>
      </w:r>
      <w:proofErr w:type="gramStart"/>
      <w:r>
        <w:rPr>
          <w:rFonts w:ascii="仿宋_GB2312" w:eastAsia="仿宋_GB2312" w:hAnsi="Times New Roman" w:hint="eastAsia"/>
          <w:color w:val="000000"/>
          <w:sz w:val="32"/>
        </w:rPr>
        <w:t>研判各种</w:t>
      </w:r>
      <w:proofErr w:type="gramEnd"/>
      <w:r>
        <w:rPr>
          <w:rFonts w:ascii="仿宋_GB2312" w:eastAsia="仿宋_GB2312" w:hAnsi="Times New Roman" w:hint="eastAsia"/>
          <w:color w:val="000000"/>
          <w:sz w:val="32"/>
        </w:rPr>
        <w:t>安全风险，制定采取针对性的管控措施，全面排查整治隐患，有效防范各类事故，坚决遏制重特大安全生产事故。加强领导，全面落实全员安全生产责任制；严格监管，大力推进安全风险管控；详细摸排，及时消除各类安全隐患；加强应急值守，强化安全生产应急处置。</w:t>
      </w:r>
    </w:p>
    <w:p w14:paraId="4574A855" w14:textId="77777777" w:rsidR="00EC2C51" w:rsidRDefault="00EC2C51">
      <w:pPr>
        <w:pStyle w:val="HTML1"/>
        <w:widowControl/>
        <w:ind w:firstLine="640"/>
        <w:rPr>
          <w:rFonts w:hint="default"/>
        </w:rPr>
      </w:pPr>
    </w:p>
    <w:p w14:paraId="276AA623" w14:textId="77777777" w:rsidR="00EC2C51" w:rsidRDefault="00A971AA">
      <w:pPr>
        <w:pStyle w:val="HTML1"/>
        <w:widowControl/>
        <w:ind w:firstLine="640"/>
        <w:outlineLvl w:val="1"/>
        <w:rPr>
          <w:rFonts w:ascii="楷体_GB2312" w:eastAsia="楷体_GB2312" w:cs="楷体_GB2312" w:hint="default"/>
          <w:color w:val="000000"/>
          <w:sz w:val="31"/>
          <w:szCs w:val="31"/>
        </w:rPr>
      </w:pPr>
      <w:bookmarkStart w:id="54" w:name="_Toc27920"/>
      <w:r>
        <w:rPr>
          <w:rFonts w:ascii="楷体_GB2312" w:eastAsia="楷体_GB2312" w:cs="楷体_GB2312"/>
          <w:color w:val="000000"/>
          <w:sz w:val="31"/>
          <w:szCs w:val="31"/>
        </w:rPr>
        <w:t>（三）深化重点行业领域安全综合治理</w:t>
      </w:r>
      <w:bookmarkEnd w:id="54"/>
    </w:p>
    <w:p w14:paraId="41745DB6" w14:textId="77777777" w:rsidR="00EC2C51" w:rsidRDefault="00A971AA">
      <w:pPr>
        <w:pStyle w:val="HTML1"/>
        <w:widowControl/>
        <w:ind w:firstLine="640"/>
        <w:rPr>
          <w:rFonts w:ascii="仿宋_GB2312" w:eastAsia="仿宋_GB2312" w:cs="仿宋_GB2312" w:hint="default"/>
          <w:color w:val="000000"/>
          <w:sz w:val="31"/>
          <w:szCs w:val="31"/>
        </w:rPr>
      </w:pPr>
      <w:r>
        <w:rPr>
          <w:rFonts w:ascii="仿宋_GB2312" w:eastAsia="仿宋_GB2312" w:cs="仿宋_GB2312"/>
          <w:color w:val="000000"/>
          <w:sz w:val="31"/>
          <w:szCs w:val="31"/>
        </w:rPr>
        <w:t>1.道路交通安全领域。一是加强道路安全管理。建立道路交通安全审核机制，将道路交通安全审核贯穿于交通规划、设计、建设及运营的各个阶段；优化完善道路交通标志和标线，增加道路防护栏和隔离墩，防范道路交通事故引发的次生灾害；推进城区立体过街设施工程建设；完善道路交通事故应急救援绿色通道网络建设；全力做好恶劣天气交通管控，建立完善气象、环卫、住建、交管等部门的协调联络机制，确保恶劣天气各相关部门早采取措施，及时清除路面积雪、结冰，做好恶劣天气交通安全提示工作；严厉打击超载、超速、酒后驾驶、非法营运等违法违规行为。二是加强重点车辆和配套设施监督管控。持续深化大数据技术应用，对重点车辆和驾驶人实行分类管理、精准管控；强化不符合安全要求电动自行车的源头管理；排查、整治新能源公交车辆安全隐患；研究</w:t>
      </w:r>
      <w:proofErr w:type="gramStart"/>
      <w:r>
        <w:rPr>
          <w:rFonts w:ascii="仿宋_GB2312" w:eastAsia="仿宋_GB2312" w:cs="仿宋_GB2312"/>
          <w:color w:val="000000"/>
          <w:sz w:val="31"/>
          <w:szCs w:val="31"/>
        </w:rPr>
        <w:t>制定网</w:t>
      </w:r>
      <w:proofErr w:type="gramEnd"/>
      <w:r>
        <w:rPr>
          <w:rFonts w:ascii="仿宋_GB2312" w:eastAsia="仿宋_GB2312" w:cs="仿宋_GB2312"/>
          <w:color w:val="000000"/>
          <w:sz w:val="31"/>
          <w:szCs w:val="31"/>
        </w:rPr>
        <w:t>约、共享等新兴运输业态的安全监管措施和实施办法；推动建设出租车监控管理系统，实现对出租车辆和驾驶人员动态监管；开展新能源汽车充电设施安全风险评估，对不符合安全要求的充电</w:t>
      </w:r>
      <w:r>
        <w:rPr>
          <w:rFonts w:ascii="仿宋_GB2312" w:eastAsia="仿宋_GB2312" w:cs="仿宋_GB2312"/>
          <w:color w:val="000000"/>
          <w:sz w:val="31"/>
          <w:szCs w:val="31"/>
        </w:rPr>
        <w:lastRenderedPageBreak/>
        <w:t>设施采取限期整改、迁移、立即关停等措施；规范危险货物运输车辆专用停车场使用管理。三是落实道路运输企业安全主体责任。严格落实行业规定，进一步规范客货运企业车辆和驾驶人员的管理，开展车辆定期安全检查，加强驾驶员应急操作处置和安全生产知识的针对性学习教育；完善客运、货运汽车动态监管系统使用制度，强化对驾驶人员操作规范考核；强化汽车客运站源头安全管理，从严从细规范汽车客运站安全生产工作，密切关注天气预报、交通管制和客流等情况，对影响客运车辆安全行驶的该停班的要坚决停班，同时做好旅客的宣传解释、退票疏导和候车服务等工作。</w:t>
      </w:r>
    </w:p>
    <w:p w14:paraId="283BF685" w14:textId="77777777" w:rsidR="00EC2C51" w:rsidRDefault="00A971AA">
      <w:pPr>
        <w:pStyle w:val="HTML1"/>
        <w:widowControl/>
        <w:ind w:firstLine="640"/>
        <w:rPr>
          <w:rFonts w:ascii="仿宋_GB2312" w:eastAsia="仿宋_GB2312" w:cs="仿宋_GB2312" w:hint="default"/>
          <w:color w:val="000000"/>
          <w:sz w:val="31"/>
          <w:szCs w:val="31"/>
        </w:rPr>
      </w:pPr>
      <w:r>
        <w:rPr>
          <w:rFonts w:ascii="仿宋_GB2312" w:eastAsia="仿宋_GB2312" w:cs="仿宋_GB2312"/>
          <w:color w:val="000000"/>
          <w:sz w:val="31"/>
          <w:szCs w:val="31"/>
        </w:rPr>
        <w:t>2.建筑施工领域。一是加强城市建筑市场管理。严厉打击违法分包、转包、挂靠，无资质或超越资质承包工程等违法违规行为；及时淘汰不符合建筑施工安全生产条件的建筑企业和施工工艺、技术及装备。二是强化监管与隐患排查力度。进一步加大安全监督管理力度，增加检查频次，实行“清单式管理”模式，细化执法检查方案；以深基坑、高支模、建筑起重机械和地下工程等主要风险源为防控重点，建立完善重大风险</w:t>
      </w:r>
      <w:proofErr w:type="gramStart"/>
      <w:r>
        <w:rPr>
          <w:rFonts w:ascii="仿宋_GB2312" w:eastAsia="仿宋_GB2312" w:cs="仿宋_GB2312"/>
          <w:color w:val="000000"/>
          <w:sz w:val="31"/>
          <w:szCs w:val="31"/>
        </w:rPr>
        <w:t>源台账管理</w:t>
      </w:r>
      <w:proofErr w:type="gramEnd"/>
      <w:r>
        <w:rPr>
          <w:rFonts w:ascii="仿宋_GB2312" w:eastAsia="仿宋_GB2312" w:cs="仿宋_GB2312"/>
          <w:color w:val="000000"/>
          <w:sz w:val="31"/>
          <w:szCs w:val="31"/>
        </w:rPr>
        <w:t>及检查结果公示制度；加强在建重大工程对周边构筑物及水、电、气等地下管线的安全影响评估；推进建筑施工企业安全生产标准化创建工作。三是加强建筑工地安全生产培训工作。督促施工单位组织开工前各类安全生产教育培训，要求施工单位安全技术管理人员到岗到位，组织好对作业人员，特别</w:t>
      </w:r>
      <w:r>
        <w:rPr>
          <w:rFonts w:ascii="仿宋_GB2312" w:eastAsia="仿宋_GB2312" w:cs="仿宋_GB2312"/>
          <w:color w:val="000000"/>
          <w:sz w:val="31"/>
          <w:szCs w:val="31"/>
        </w:rPr>
        <w:lastRenderedPageBreak/>
        <w:t>是换岗、转岗及新进场人员的安全生产教育；加强安全生产技术交底，教育进场人员遵守操作规程，增强安全生产意识；严格执行持证上岗制度，施工企业的主要负责人、项目负责人、专职安全生产管理人员以及特种作业人员必须全部持证上岗。</w:t>
      </w:r>
    </w:p>
    <w:p w14:paraId="1F6D1945" w14:textId="77777777" w:rsidR="00EC2C51" w:rsidRDefault="00A971AA">
      <w:pPr>
        <w:pStyle w:val="HTML1"/>
        <w:widowControl/>
        <w:ind w:firstLine="640"/>
        <w:rPr>
          <w:rFonts w:ascii="仿宋_GB2312" w:eastAsia="仿宋_GB2312" w:cs="仿宋_GB2312" w:hint="default"/>
          <w:color w:val="000000"/>
          <w:sz w:val="31"/>
          <w:szCs w:val="31"/>
        </w:rPr>
      </w:pPr>
      <w:r>
        <w:rPr>
          <w:rFonts w:ascii="仿宋_GB2312" w:eastAsia="仿宋_GB2312" w:cs="仿宋_GB2312"/>
          <w:color w:val="000000"/>
          <w:sz w:val="31"/>
          <w:szCs w:val="31"/>
        </w:rPr>
        <w:t>3.危险化学品和烟花爆竹领域。一是强化危险化学品运输、使用和废弃处置安全管理；强化事故责任追究，经事故调查明确应对事故负有责任的企业主要负责人、实际控制人和有关责任人员，及时移交司法机关依法追责。二是提升危险化学品从业人员专业素质能力。强化从业人员教育培训，定期开展危险化学品企业负责人培训考核。三是强化危险化学品安全监管能力建设。提升危险化学品安全监管队伍监管能力，聘请专家指导服务，每年定期安排检查；运用“互联网+监管”提高监管水平。四是推动企业落实主体责任。严格精准监管执法，制定并公布危险化学品和烟花爆竹行业执法计划，进一步加大对重大隐患和安全生产违法行为的执法力度；督促企业完善特殊作业安全管理制度；切实提升企业安全生产标准化、规范化、制度化管理水平和能力。</w:t>
      </w:r>
    </w:p>
    <w:p w14:paraId="376F3473" w14:textId="77777777" w:rsidR="00EC2C51" w:rsidRDefault="00A971AA">
      <w:pPr>
        <w:pStyle w:val="HTML1"/>
        <w:widowControl/>
        <w:ind w:firstLineChars="200" w:firstLine="620"/>
        <w:rPr>
          <w:rFonts w:hint="default"/>
        </w:rPr>
      </w:pPr>
      <w:r>
        <w:rPr>
          <w:rFonts w:ascii="仿宋_GB2312" w:eastAsia="仿宋_GB2312" w:cs="仿宋_GB2312"/>
          <w:color w:val="000000"/>
          <w:sz w:val="31"/>
          <w:szCs w:val="31"/>
        </w:rPr>
        <w:t>4.消防安全领域。一是强化火灾隐患源头管控。依法加强消防产品质量监督管理以及消防产品的生产、经销企业的管理，对违法失信行为和违反消防安全“承诺书”的违约失信行为进行公示；到2025年，不合格消防产品市场占有率控制在5%以下。二是狠抓火灾隐患排查整治。定期组织开展消防安</w:t>
      </w:r>
      <w:r>
        <w:rPr>
          <w:rFonts w:ascii="仿宋_GB2312" w:eastAsia="仿宋_GB2312" w:cs="仿宋_GB2312"/>
          <w:color w:val="000000"/>
          <w:sz w:val="31"/>
          <w:szCs w:val="31"/>
        </w:rPr>
        <w:lastRenderedPageBreak/>
        <w:t>全评估，结合康巴什区产业结构、经济特点和火灾形势，分析消防安全薄弱环节，建立常态化且有针对性的火灾隐患排查整治机制；以人员密集场所、易燃易爆场所、高层地下建筑、火灾高危单位及重大火灾隐患等为重点，加大消防安全检查频次和火灾隐患整治力度，创新基层消防安全管理，严防发生较大以上火灾事故；将老旧居民楼消防设施改造、消防车通道整治、火灾隐患集中区域治理等重大消防安全问题纳入政府民生实事工程。三是推广落实区域联防机制。合理划分消防安全重点单位联防片区，明确牵头单位，细化职责分工，开展专门培训；结合消防监督检查，组织联防单位开展互查互检、会议会商、业务交流、培训演练等活动，定期分析隐患问题，研究解决对策；单位隐患自查自改、火灾自防自救和区域应急联动能力得到大幅提升。</w:t>
      </w:r>
    </w:p>
    <w:p w14:paraId="403BE516" w14:textId="77777777" w:rsidR="00EC2C51" w:rsidRDefault="00A971AA">
      <w:pPr>
        <w:pStyle w:val="HTML1"/>
        <w:widowControl/>
        <w:ind w:firstLine="640"/>
        <w:rPr>
          <w:rFonts w:hint="default"/>
        </w:rPr>
      </w:pPr>
      <w:r>
        <w:rPr>
          <w:rFonts w:ascii="仿宋_GB2312" w:eastAsia="仿宋_GB2312" w:cs="仿宋_GB2312"/>
          <w:color w:val="000000"/>
          <w:sz w:val="31"/>
          <w:szCs w:val="31"/>
        </w:rPr>
        <w:t>5.特种设备领域。全面强化特种设备安全监察，以锅炉、压力容器、压力管道、电梯、大型游乐设施等为重点开展专项整治；加强行业自律，建立“黑名单”制度，促进行业诚信体系建设；强化特种设备安全宣传教育，普及公众特种设备安全知识，不断提高社会公众的特种设备安全意识，降低电梯事故率，杜绝特种设备事故；继续完善特种设备应急救援体制机制建设；利用“互联网+”等现代信息技术，提升特种设备安全监管信息化水平，突出重点监管，提升监管效能。</w:t>
      </w:r>
    </w:p>
    <w:p w14:paraId="54D05781" w14:textId="77777777" w:rsidR="00EC2C51" w:rsidRDefault="00A971AA">
      <w:pPr>
        <w:pStyle w:val="HTML1"/>
        <w:widowControl/>
        <w:ind w:firstLine="640"/>
        <w:rPr>
          <w:rFonts w:hint="default"/>
        </w:rPr>
      </w:pPr>
      <w:r>
        <w:rPr>
          <w:rFonts w:ascii="仿宋_GB2312" w:eastAsia="仿宋_GB2312" w:cs="仿宋_GB2312"/>
          <w:color w:val="000000"/>
          <w:sz w:val="31"/>
          <w:szCs w:val="31"/>
        </w:rPr>
        <w:lastRenderedPageBreak/>
        <w:t>6.工矿商贸领域。大力推进康巴什区工矿商贸企业进行隐患排查、风险管控，确认企业是否具备安全生产条件，整改隐患，提升安全条件；持续开展有限空间作业场所、涉及可燃爆粉尘作业场所等重点领域安全专项整治；实施粉尘防爆、有限空间作业等安全技术改造，鼓励企业采用新技术、新工艺、新材料、新设备；督促企业全面排查隐患，建立完善企业</w:t>
      </w:r>
      <w:proofErr w:type="gramStart"/>
      <w:r>
        <w:rPr>
          <w:rFonts w:ascii="仿宋_GB2312" w:eastAsia="仿宋_GB2312" w:cs="仿宋_GB2312"/>
          <w:color w:val="000000"/>
          <w:sz w:val="31"/>
          <w:szCs w:val="31"/>
        </w:rPr>
        <w:t>基础台</w:t>
      </w:r>
      <w:proofErr w:type="gramEnd"/>
      <w:r>
        <w:rPr>
          <w:rFonts w:ascii="仿宋_GB2312" w:eastAsia="仿宋_GB2312" w:cs="仿宋_GB2312"/>
          <w:color w:val="000000"/>
          <w:sz w:val="31"/>
          <w:szCs w:val="31"/>
        </w:rPr>
        <w:t>账，做到“</w:t>
      </w:r>
      <w:proofErr w:type="gramStart"/>
      <w:r>
        <w:rPr>
          <w:rFonts w:ascii="仿宋_GB2312" w:eastAsia="仿宋_GB2312" w:cs="仿宋_GB2312"/>
          <w:color w:val="000000"/>
          <w:sz w:val="31"/>
          <w:szCs w:val="31"/>
        </w:rPr>
        <w:t>一</w:t>
      </w:r>
      <w:proofErr w:type="gramEnd"/>
      <w:r>
        <w:rPr>
          <w:rFonts w:ascii="仿宋_GB2312" w:eastAsia="仿宋_GB2312" w:cs="仿宋_GB2312"/>
          <w:color w:val="000000"/>
          <w:sz w:val="31"/>
          <w:szCs w:val="31"/>
        </w:rPr>
        <w:t>企一档”；加强宣传培训和服务指导，促进企业落实安全标准化，提升企业安全生产隐患排查治理能力。</w:t>
      </w:r>
    </w:p>
    <w:p w14:paraId="57B9D9E3" w14:textId="77777777" w:rsidR="00EC2C51" w:rsidRDefault="00A971AA">
      <w:pPr>
        <w:pStyle w:val="HTML1"/>
        <w:widowControl/>
        <w:ind w:firstLine="640"/>
        <w:rPr>
          <w:rFonts w:hint="default"/>
        </w:rPr>
      </w:pPr>
      <w:r>
        <w:rPr>
          <w:rFonts w:ascii="仿宋_GB2312" w:eastAsia="仿宋_GB2312" w:cs="仿宋_GB2312"/>
          <w:color w:val="000000"/>
          <w:sz w:val="31"/>
          <w:szCs w:val="31"/>
        </w:rPr>
        <w:t>7.文体旅游。加强对大型文体活动、公共场馆和景点景区等人员密集场所的人流管控与风险评估，落实景区最大承载量核定和行业标准化管理；建立旅游市场综合监管部门间联席会议机制，健全旅游市场监管信息共享和联合执法工作机制；强化旅行社及在线旅游企业的监督检查力度；督促经营单位完善应急救援预案，健全抢险和医疗应急救援队伍，配</w:t>
      </w:r>
      <w:proofErr w:type="gramStart"/>
      <w:r>
        <w:rPr>
          <w:rFonts w:ascii="仿宋_GB2312" w:eastAsia="仿宋_GB2312" w:cs="仿宋_GB2312"/>
          <w:color w:val="000000"/>
          <w:sz w:val="31"/>
          <w:szCs w:val="31"/>
        </w:rPr>
        <w:t>强专业</w:t>
      </w:r>
      <w:proofErr w:type="gramEnd"/>
      <w:r>
        <w:rPr>
          <w:rFonts w:ascii="仿宋_GB2312" w:eastAsia="仿宋_GB2312" w:cs="仿宋_GB2312"/>
          <w:color w:val="000000"/>
          <w:sz w:val="31"/>
          <w:szCs w:val="31"/>
        </w:rPr>
        <w:t>救援设备。</w:t>
      </w:r>
    </w:p>
    <w:p w14:paraId="0FE8B422" w14:textId="77777777" w:rsidR="00EC2C51" w:rsidRDefault="00A971AA">
      <w:pPr>
        <w:pStyle w:val="HTML1"/>
        <w:widowControl/>
        <w:ind w:firstLine="640"/>
        <w:rPr>
          <w:rFonts w:hint="default"/>
        </w:rPr>
      </w:pPr>
      <w:r>
        <w:rPr>
          <w:rFonts w:ascii="仿宋_GB2312" w:eastAsia="仿宋_GB2312" w:cs="仿宋_GB2312"/>
          <w:color w:val="000000"/>
          <w:sz w:val="31"/>
          <w:szCs w:val="31"/>
        </w:rPr>
        <w:t>8.学校校园。加强学校安全教育，将安全教育纳入日常教育体系；完善校园及周边地区安全防护设施、安全警示标识、交通设施建设；加强校车、校舍、跑道、游泳池、实验室等基础设备设施的安全管理；加大对“黑校车”的打击力度；全面排查、整治无证幼儿园的安全隐患。</w:t>
      </w:r>
    </w:p>
    <w:p w14:paraId="6D532795" w14:textId="77777777" w:rsidR="00EC2C51" w:rsidRDefault="00A971AA">
      <w:pPr>
        <w:pStyle w:val="HTML1"/>
        <w:widowControl/>
        <w:ind w:firstLine="640"/>
        <w:outlineLvl w:val="1"/>
        <w:rPr>
          <w:rFonts w:hint="default"/>
        </w:rPr>
      </w:pPr>
      <w:bookmarkStart w:id="55" w:name="_Toc29385"/>
      <w:r>
        <w:rPr>
          <w:rFonts w:ascii="楷体_GB2312" w:eastAsia="楷体_GB2312" w:cs="楷体_GB2312"/>
          <w:color w:val="000000"/>
          <w:sz w:val="31"/>
          <w:szCs w:val="31"/>
        </w:rPr>
        <w:t>（四）增强安全生产科技支撑</w:t>
      </w:r>
      <w:bookmarkEnd w:id="55"/>
    </w:p>
    <w:p w14:paraId="2A2277EA" w14:textId="77777777" w:rsidR="00EC2C51" w:rsidRDefault="00A971AA">
      <w:pPr>
        <w:pStyle w:val="HTML1"/>
        <w:widowControl/>
        <w:ind w:firstLine="640"/>
        <w:rPr>
          <w:rFonts w:ascii="仿宋_GB2312" w:eastAsia="仿宋_GB2312" w:cs="仿宋_GB2312" w:hint="default"/>
          <w:color w:val="000000"/>
          <w:sz w:val="31"/>
          <w:szCs w:val="31"/>
        </w:rPr>
      </w:pPr>
      <w:r>
        <w:rPr>
          <w:rFonts w:ascii="仿宋_GB2312" w:eastAsia="仿宋_GB2312" w:cs="仿宋_GB2312"/>
          <w:color w:val="000000"/>
          <w:sz w:val="31"/>
          <w:szCs w:val="31"/>
        </w:rPr>
        <w:lastRenderedPageBreak/>
        <w:t>1.推广应用先进适用技术与装备。引导、鼓励企业采用新技术、新工艺、新装备，推动粉尘涉爆、危险化学品、建筑施工、道路运输等高风险企业开展安全技术改造和工艺设备更新；完善安全科技成果转化激励机制，加大企业安全科技研发和推广力度，健全安全生产科技政策和和投入制度；推进“机械化换人、自动化减人”，提升高危行业机械化、自动化生产水平。</w:t>
      </w:r>
    </w:p>
    <w:p w14:paraId="075F1E5C" w14:textId="77777777" w:rsidR="00EC2C51" w:rsidRDefault="00A971AA">
      <w:pPr>
        <w:pStyle w:val="HTML1"/>
        <w:widowControl/>
        <w:ind w:firstLine="640"/>
        <w:rPr>
          <w:rFonts w:hint="default"/>
        </w:rPr>
      </w:pPr>
      <w:r>
        <w:rPr>
          <w:rFonts w:ascii="仿宋_GB2312" w:eastAsia="仿宋_GB2312" w:cs="仿宋_GB2312"/>
          <w:color w:val="000000"/>
          <w:sz w:val="31"/>
          <w:szCs w:val="31"/>
        </w:rPr>
        <w:t>2.推进安全生产信息化建设。完善康巴什区企业基础数据库更新长效机制，实时对数据库中注册企业、重点监管企业，企业监控视频接入进行更新与增减；进一步细化安全生产信息平台网格化管理人员监管责任，明确网格人员监管内容，通过平台实时上传当日工作开展情况，压实监管责任；简化手持执法终端（手机APP）功能和界面，降低操作难度，加强终端的使用培训；完善安全生产信息化系统，实现建筑、工矿商贸、危化等行业数据的横向接入；充分利用危险化学品安全生产风险监测预警系统、工矿商贸综合信息化监控系统等推行“互联网+监管”的新型监管模式；按照应急管理部信息化建设任务部署，完成数据接入、平台建设等相关工作。</w:t>
      </w:r>
    </w:p>
    <w:p w14:paraId="671C546F" w14:textId="77777777" w:rsidR="00EC2C51" w:rsidRDefault="00A971AA">
      <w:pPr>
        <w:pStyle w:val="HTML1"/>
        <w:widowControl/>
        <w:ind w:firstLine="640"/>
        <w:outlineLvl w:val="1"/>
        <w:rPr>
          <w:rFonts w:hint="default"/>
        </w:rPr>
      </w:pPr>
      <w:bookmarkStart w:id="56" w:name="_Toc12784"/>
      <w:r>
        <w:rPr>
          <w:rFonts w:ascii="楷体_GB2312" w:eastAsia="楷体_GB2312" w:cs="楷体_GB2312"/>
          <w:color w:val="000000"/>
          <w:sz w:val="31"/>
          <w:szCs w:val="31"/>
        </w:rPr>
        <w:t>（五）推动安全生产文化建设</w:t>
      </w:r>
      <w:bookmarkEnd w:id="56"/>
    </w:p>
    <w:p w14:paraId="44E01C30" w14:textId="77777777" w:rsidR="00EC2C51" w:rsidRDefault="00A971AA">
      <w:pPr>
        <w:pStyle w:val="HTML1"/>
        <w:widowControl/>
        <w:ind w:firstLine="640"/>
        <w:outlineLvl w:val="2"/>
        <w:rPr>
          <w:rFonts w:hint="default"/>
        </w:rPr>
      </w:pPr>
      <w:bookmarkStart w:id="57" w:name="_Toc18676"/>
      <w:r>
        <w:rPr>
          <w:rFonts w:ascii="仿宋_GB2312" w:eastAsia="仿宋_GB2312" w:cs="仿宋_GB2312"/>
          <w:color w:val="000000"/>
          <w:sz w:val="31"/>
          <w:szCs w:val="31"/>
        </w:rPr>
        <w:t>1.提高各级地方领导干部安全领导力</w:t>
      </w:r>
      <w:bookmarkEnd w:id="57"/>
    </w:p>
    <w:p w14:paraId="64A62C8F" w14:textId="77777777" w:rsidR="00EC2C51" w:rsidRDefault="00A971AA">
      <w:pPr>
        <w:pStyle w:val="HTML1"/>
        <w:widowControl/>
        <w:ind w:firstLine="640"/>
        <w:rPr>
          <w:rFonts w:hint="default"/>
        </w:rPr>
      </w:pPr>
      <w:r>
        <w:rPr>
          <w:rFonts w:ascii="仿宋_GB2312" w:eastAsia="仿宋_GB2312" w:cs="仿宋_GB2312"/>
          <w:color w:val="000000"/>
          <w:sz w:val="31"/>
          <w:szCs w:val="31"/>
        </w:rPr>
        <w:t>通过开展“领导干部安全领导力”锻造工程，坚定贯彻执行“安全发展”理念牢记总书记的安全生产重要论述，把保护</w:t>
      </w:r>
      <w:r>
        <w:rPr>
          <w:rFonts w:ascii="仿宋_GB2312" w:eastAsia="仿宋_GB2312" w:cs="仿宋_GB2312"/>
          <w:color w:val="000000"/>
          <w:sz w:val="31"/>
          <w:szCs w:val="31"/>
        </w:rPr>
        <w:lastRenderedPageBreak/>
        <w:t>人民群众的生命安全作为最高职责，不因追求一时发展而降低安全门槛，放宽安全标准，触碰</w:t>
      </w:r>
      <w:proofErr w:type="gramStart"/>
      <w:r>
        <w:rPr>
          <w:rFonts w:ascii="仿宋_GB2312" w:eastAsia="仿宋_GB2312" w:cs="仿宋_GB2312"/>
          <w:color w:val="000000"/>
          <w:sz w:val="31"/>
          <w:szCs w:val="31"/>
        </w:rPr>
        <w:t>安全红</w:t>
      </w:r>
      <w:proofErr w:type="gramEnd"/>
      <w:r>
        <w:rPr>
          <w:rFonts w:ascii="仿宋_GB2312" w:eastAsia="仿宋_GB2312" w:cs="仿宋_GB2312"/>
          <w:color w:val="000000"/>
          <w:sz w:val="31"/>
          <w:szCs w:val="31"/>
        </w:rPr>
        <w:t>线；推进“红线意识”、“生命至上”理念落地，运用法治思维和科学方式，将“生命至上”理念落实在发展规划、制度建设、安全管理、队伍建设、安全投入等工作过程中；提高各级领导干部安全生产风险防范专业能力，增强业务本领，学习相关专业知识，特别是安全分管领导要懂行专行，对分管领域的专业业务不当外行。</w:t>
      </w:r>
    </w:p>
    <w:p w14:paraId="560862F5" w14:textId="77777777" w:rsidR="00EC2C51" w:rsidRDefault="00A971AA">
      <w:pPr>
        <w:pStyle w:val="HTML1"/>
        <w:widowControl/>
        <w:ind w:firstLine="640"/>
        <w:outlineLvl w:val="2"/>
        <w:rPr>
          <w:rFonts w:hint="default"/>
        </w:rPr>
      </w:pPr>
      <w:bookmarkStart w:id="58" w:name="_Toc30254"/>
      <w:r>
        <w:rPr>
          <w:rFonts w:ascii="仿宋_GB2312" w:eastAsia="仿宋_GB2312" w:cs="仿宋_GB2312"/>
          <w:color w:val="000000"/>
          <w:sz w:val="31"/>
          <w:szCs w:val="31"/>
        </w:rPr>
        <w:t>2.强化企业负责人以人为本观念</w:t>
      </w:r>
      <w:bookmarkEnd w:id="58"/>
    </w:p>
    <w:p w14:paraId="1AC93842" w14:textId="77777777" w:rsidR="00EC2C51" w:rsidRDefault="00A971AA">
      <w:pPr>
        <w:pStyle w:val="HTML1"/>
        <w:widowControl/>
        <w:ind w:firstLine="640"/>
        <w:rPr>
          <w:rFonts w:hint="default"/>
        </w:rPr>
      </w:pPr>
      <w:r>
        <w:rPr>
          <w:rFonts w:ascii="仿宋_GB2312" w:eastAsia="仿宋_GB2312" w:cs="仿宋_GB2312"/>
          <w:color w:val="000000"/>
          <w:sz w:val="31"/>
          <w:szCs w:val="31"/>
        </w:rPr>
        <w:t>推动实施企业负责人“安全发展”观念落地，强化企业负责人带头意识，重视、支持、亲力亲为抓安全生产工作，严格落实企业安全生产主体责任；推进企业负责人安全生产专业素质提升，建立安全生产决策层人员的安全理论学习制度，制定和实施企业主要负责人安全专业化分级能力培训计划。</w:t>
      </w:r>
    </w:p>
    <w:p w14:paraId="347FFAFE" w14:textId="77777777" w:rsidR="00EC2C51" w:rsidRDefault="00A971AA">
      <w:pPr>
        <w:pStyle w:val="HTML1"/>
        <w:widowControl/>
        <w:ind w:firstLine="640"/>
        <w:outlineLvl w:val="2"/>
        <w:rPr>
          <w:rFonts w:hint="default"/>
        </w:rPr>
      </w:pPr>
      <w:bookmarkStart w:id="59" w:name="_Toc2202"/>
      <w:r>
        <w:rPr>
          <w:rFonts w:ascii="仿宋_GB2312" w:eastAsia="仿宋_GB2312" w:cs="仿宋_GB2312"/>
          <w:color w:val="000000"/>
          <w:sz w:val="31"/>
          <w:szCs w:val="31"/>
        </w:rPr>
        <w:t>3.提升从业人员安全生产素质</w:t>
      </w:r>
      <w:bookmarkEnd w:id="59"/>
    </w:p>
    <w:p w14:paraId="2CCCB2E6" w14:textId="77777777" w:rsidR="00EC2C51" w:rsidRDefault="00A971AA">
      <w:pPr>
        <w:widowControl/>
        <w:ind w:firstLineChars="200" w:firstLine="620"/>
        <w:jc w:val="left"/>
      </w:pPr>
      <w:r>
        <w:rPr>
          <w:rFonts w:ascii="仿宋_GB2312" w:eastAsia="仿宋_GB2312" w:cs="仿宋_GB2312" w:hint="eastAsia"/>
          <w:color w:val="000000"/>
          <w:sz w:val="31"/>
          <w:szCs w:val="31"/>
        </w:rPr>
        <w:t>开展企业管理人员“以人为本，生命至上”的宣教活动，全面组织企业各级、各类管理人员，学习、领悟总书记“以人为本、生命至上”的重要论述，理解其深义，内化于心、外化于行；围</w:t>
      </w:r>
      <w:r>
        <w:rPr>
          <w:rFonts w:ascii="仿宋_GB2312" w:eastAsia="仿宋_GB2312" w:hAnsi="宋体" w:cs="仿宋_GB2312"/>
          <w:color w:val="000000"/>
          <w:kern w:val="0"/>
          <w:sz w:val="31"/>
          <w:szCs w:val="31"/>
        </w:rPr>
        <w:t>绕提升职工基本技能水平和岗位风险管控、安全隐患排查及初始</w:t>
      </w:r>
      <w:r>
        <w:rPr>
          <w:rFonts w:ascii="仿宋_GB2312" w:eastAsia="仿宋_GB2312" w:cs="仿宋_GB2312" w:hint="eastAsia"/>
          <w:color w:val="000000"/>
          <w:sz w:val="31"/>
          <w:szCs w:val="31"/>
        </w:rPr>
        <w:t>应急处置能力，构建针对性培训课程体系和考核标准；推动高危行业从业人员取得职业资格证书或职业技能等级证书，并按照有关规定给予职业培训补贴或参保职工技能提升补贴；严把新上岗员工安全素质培训关，严格落实安全生产三</w:t>
      </w:r>
      <w:r>
        <w:rPr>
          <w:rFonts w:ascii="仿宋_GB2312" w:eastAsia="仿宋_GB2312" w:cs="仿宋_GB2312" w:hint="eastAsia"/>
          <w:color w:val="000000"/>
          <w:sz w:val="31"/>
          <w:szCs w:val="31"/>
        </w:rPr>
        <w:lastRenderedPageBreak/>
        <w:t>级教育；强化特种作业人员安全技能培训考试，提高特种作业人员学历准入条件。</w:t>
      </w:r>
    </w:p>
    <w:p w14:paraId="43F7E61D" w14:textId="77777777" w:rsidR="00EC2C51" w:rsidRDefault="00A971AA">
      <w:pPr>
        <w:pStyle w:val="HTML1"/>
        <w:widowControl/>
        <w:ind w:firstLine="640"/>
        <w:outlineLvl w:val="2"/>
        <w:rPr>
          <w:rFonts w:hint="default"/>
        </w:rPr>
      </w:pPr>
      <w:bookmarkStart w:id="60" w:name="_Toc28729"/>
      <w:r>
        <w:rPr>
          <w:rFonts w:ascii="仿宋_GB2312" w:eastAsia="仿宋_GB2312" w:cs="仿宋_GB2312"/>
          <w:color w:val="000000"/>
          <w:sz w:val="31"/>
          <w:szCs w:val="31"/>
        </w:rPr>
        <w:t>4.</w:t>
      </w:r>
      <w:proofErr w:type="gramStart"/>
      <w:r>
        <w:rPr>
          <w:rFonts w:ascii="仿宋_GB2312" w:eastAsia="仿宋_GB2312" w:cs="仿宋_GB2312"/>
          <w:color w:val="000000"/>
          <w:sz w:val="31"/>
          <w:szCs w:val="31"/>
        </w:rPr>
        <w:t>培塑全社会</w:t>
      </w:r>
      <w:proofErr w:type="gramEnd"/>
      <w:r>
        <w:rPr>
          <w:rFonts w:ascii="仿宋_GB2312" w:eastAsia="仿宋_GB2312" w:cs="仿宋_GB2312"/>
          <w:color w:val="000000"/>
          <w:sz w:val="31"/>
          <w:szCs w:val="31"/>
        </w:rPr>
        <w:t>良好安全文化氛围</w:t>
      </w:r>
      <w:bookmarkEnd w:id="60"/>
    </w:p>
    <w:p w14:paraId="1843C818" w14:textId="10E543BE" w:rsidR="00EC2C51" w:rsidRDefault="00A971AA">
      <w:pPr>
        <w:pStyle w:val="HTML1"/>
        <w:widowControl/>
        <w:ind w:firstLine="640"/>
        <w:rPr>
          <w:rFonts w:hint="default"/>
        </w:rPr>
      </w:pPr>
      <w:r>
        <w:rPr>
          <w:rFonts w:ascii="仿宋_GB2312" w:eastAsia="仿宋_GB2312" w:cs="仿宋_GB2312"/>
          <w:color w:val="000000"/>
          <w:sz w:val="31"/>
          <w:szCs w:val="31"/>
        </w:rPr>
        <w:t>扎实推进安全法规、安全文化、安全理念、安全知识进企业、进学校、进社区、进家庭。推动落实企业安全生产主体责任，培育企业安全文化，筑牢安全管理防线，推动企业建立自我约束、持续改进的内生机制；重点开展学校开学、复课安全防控和居家学生生活安全教育，做到安全宣传从早抓起、从小抓起；建立社区安全宣传机制，推动安全示范社区建设，结合社区特点开展示范性、浸润式安全宣传；同时社区安全宣传有组织体系、有展示窗口、有便民册子、有广播设施等“四有”工作机制，全面提升居民安全意识和应急避险能力；积极推动家庭安全知识</w:t>
      </w:r>
      <w:r w:rsidR="00B6554D" w:rsidRPr="00B6554D">
        <w:rPr>
          <w:rFonts w:ascii="仿宋_GB2312" w:eastAsia="仿宋_GB2312" w:cs="仿宋_GB2312"/>
          <w:color w:val="000000"/>
          <w:sz w:val="31"/>
          <w:szCs w:val="31"/>
        </w:rPr>
        <w:t>宣传教育</w:t>
      </w:r>
      <w:r>
        <w:rPr>
          <w:rFonts w:ascii="仿宋_GB2312" w:eastAsia="仿宋_GB2312" w:cs="仿宋_GB2312"/>
          <w:color w:val="000000"/>
          <w:sz w:val="31"/>
          <w:szCs w:val="31"/>
        </w:rPr>
        <w:t>，提升以家庭为单元的安全能力建设，结合家庭特点开展个性化、亲情式安全教育，汇聚关注安全的家庭合力；加快建设安全企业、安全校园、安全社区，建设评选区级安全文化发展示范企业和社区，发挥模范带头作用。</w:t>
      </w:r>
    </w:p>
    <w:p w14:paraId="7B600739" w14:textId="77777777" w:rsidR="00EC2C51" w:rsidRDefault="00A971AA">
      <w:pPr>
        <w:pStyle w:val="HTML1"/>
        <w:widowControl/>
        <w:numPr>
          <w:ilvl w:val="0"/>
          <w:numId w:val="4"/>
        </w:numPr>
        <w:ind w:firstLine="640"/>
        <w:outlineLvl w:val="1"/>
        <w:rPr>
          <w:rFonts w:ascii="楷体_GB2312" w:eastAsia="楷体_GB2312" w:cs="楷体_GB2312" w:hint="default"/>
          <w:color w:val="000000"/>
          <w:sz w:val="31"/>
          <w:szCs w:val="31"/>
        </w:rPr>
      </w:pPr>
      <w:bookmarkStart w:id="61" w:name="_Toc21795"/>
      <w:r>
        <w:rPr>
          <w:rFonts w:ascii="楷体_GB2312" w:eastAsia="楷体_GB2312" w:cs="楷体_GB2312"/>
          <w:color w:val="000000"/>
          <w:sz w:val="31"/>
          <w:szCs w:val="31"/>
        </w:rPr>
        <w:t>建立健全社会共治体系</w:t>
      </w:r>
      <w:bookmarkEnd w:id="61"/>
    </w:p>
    <w:p w14:paraId="2E0212FD" w14:textId="77777777" w:rsidR="00EC2C51" w:rsidRDefault="00A971AA">
      <w:pPr>
        <w:pStyle w:val="HTML1"/>
        <w:widowControl/>
        <w:ind w:firstLineChars="200" w:firstLine="620"/>
        <w:rPr>
          <w:rFonts w:hint="default"/>
        </w:rPr>
      </w:pPr>
      <w:r>
        <w:rPr>
          <w:rFonts w:ascii="仿宋_GB2312" w:eastAsia="仿宋_GB2312" w:cs="仿宋_GB2312"/>
          <w:color w:val="000000"/>
          <w:sz w:val="31"/>
          <w:szCs w:val="31"/>
        </w:rPr>
        <w:t>1.推进安全风险网格化管理。合理规划网格、匹配监管任务与监管力量，提高基层风险辨识评估、隐患排查治理、信息报告和先期处置能力；整合消防网格员、安全生产网格员、灾害信息员等</w:t>
      </w:r>
      <w:proofErr w:type="gramStart"/>
      <w:r>
        <w:rPr>
          <w:rFonts w:ascii="仿宋_GB2312" w:eastAsia="仿宋_GB2312" w:cs="仿宋_GB2312"/>
          <w:color w:val="000000"/>
          <w:sz w:val="31"/>
          <w:szCs w:val="31"/>
        </w:rPr>
        <w:t>网格员</w:t>
      </w:r>
      <w:proofErr w:type="gramEnd"/>
      <w:r>
        <w:rPr>
          <w:rFonts w:ascii="仿宋_GB2312" w:eastAsia="仿宋_GB2312" w:cs="仿宋_GB2312"/>
          <w:color w:val="000000"/>
          <w:sz w:val="31"/>
          <w:szCs w:val="31"/>
        </w:rPr>
        <w:t>职责，实行集中统一管理；提高网格化管理信息化水平，规范</w:t>
      </w:r>
      <w:proofErr w:type="gramStart"/>
      <w:r>
        <w:rPr>
          <w:rFonts w:ascii="仿宋_GB2312" w:eastAsia="仿宋_GB2312" w:cs="仿宋_GB2312"/>
          <w:color w:val="000000"/>
          <w:sz w:val="31"/>
          <w:szCs w:val="31"/>
        </w:rPr>
        <w:t>网格员信息</w:t>
      </w:r>
      <w:proofErr w:type="gramEnd"/>
      <w:r>
        <w:rPr>
          <w:rFonts w:ascii="仿宋_GB2312" w:eastAsia="仿宋_GB2312" w:cs="仿宋_GB2312"/>
          <w:color w:val="000000"/>
          <w:sz w:val="31"/>
          <w:szCs w:val="31"/>
        </w:rPr>
        <w:t>上报途径，增强网格化管理信息</w:t>
      </w:r>
      <w:r>
        <w:rPr>
          <w:rFonts w:ascii="仿宋_GB2312" w:eastAsia="仿宋_GB2312" w:cs="仿宋_GB2312"/>
          <w:color w:val="000000"/>
          <w:sz w:val="31"/>
          <w:szCs w:val="31"/>
        </w:rPr>
        <w:lastRenderedPageBreak/>
        <w:t>系统与政府相关服务管理系统的互联互通，推行“社区吹哨，部门报到”等联合联动共建共管的社会管理模式；进一步畅通安全生产微博、微信、电话等安全隐患、安全事故举报监督渠道；支持引导社区居民开展风险隐患排查治理和事故前期应急处置，积极推进安全风险网格化管理，筑牢防灾减灾救灾的人民防线。</w:t>
      </w:r>
    </w:p>
    <w:p w14:paraId="209F425D" w14:textId="77777777" w:rsidR="00EC2C51" w:rsidRDefault="00A971AA">
      <w:pPr>
        <w:pStyle w:val="HTML1"/>
        <w:widowControl/>
        <w:ind w:firstLine="640"/>
        <w:rPr>
          <w:rFonts w:ascii="仿宋_GB2312" w:eastAsia="仿宋_GB2312" w:cs="仿宋_GB2312" w:hint="default"/>
          <w:color w:val="000000"/>
          <w:sz w:val="31"/>
          <w:szCs w:val="31"/>
        </w:rPr>
      </w:pPr>
      <w:r>
        <w:rPr>
          <w:rFonts w:ascii="仿宋_GB2312" w:eastAsia="仿宋_GB2312" w:cs="仿宋_GB2312"/>
          <w:color w:val="000000"/>
          <w:sz w:val="31"/>
          <w:szCs w:val="31"/>
        </w:rPr>
        <w:t>2.提高安全生产社会化服务水平。完善技术支撑体系建设，建立康巴什区安全生产专家库，制定资格推入、测评考核、动态调整等管理制度，完善专家参与技术服务、监督检查和决策咨询机制；进一步加强政府向社会力量购买安全技术服务的工作力度；鼓励行业协会、安评机构等中介组织接受企业委托参与安全管理，提供安全生产专业技术服务；引导国有企业和有条件的民营企业发挥自身安全技术、管理和人才优势，在专业服务队伍培育等方面承担更多社会责任；全面推行安全生产责任保险，加大推广宣传、完善保险方案、优化理赔流程，充分发挥保险机制的预防和保障作用。</w:t>
      </w:r>
    </w:p>
    <w:p w14:paraId="18C1A415" w14:textId="77777777" w:rsidR="00EC2C51" w:rsidRDefault="00A971AA">
      <w:pPr>
        <w:pStyle w:val="HTML1"/>
        <w:widowControl/>
        <w:ind w:firstLine="640"/>
        <w:rPr>
          <w:rFonts w:hint="default"/>
        </w:rPr>
      </w:pPr>
      <w:r>
        <w:rPr>
          <w:rFonts w:ascii="仿宋_GB2312" w:eastAsia="仿宋_GB2312" w:cs="仿宋_GB2312"/>
          <w:color w:val="000000"/>
          <w:sz w:val="31"/>
          <w:szCs w:val="31"/>
        </w:rPr>
        <w:t>3.规范安全生产社会化服务市场秩序。引入市场化竞争性选择机制，规范服务市场从业行为，进一步加强监管，依法严格查处各类违法违规行为，加强安全生产社会化服务信用体系管理，探索建立专业安全服务机构考核评价和惩戒淘汰机制，引导安全生产服务市场健康有序发展。</w:t>
      </w:r>
    </w:p>
    <w:p w14:paraId="57C0793E" w14:textId="77777777" w:rsidR="00EC2C51" w:rsidRDefault="00A971AA">
      <w:pPr>
        <w:pStyle w:val="HTML1"/>
        <w:widowControl/>
        <w:ind w:firstLine="640"/>
        <w:rPr>
          <w:rFonts w:hint="default"/>
        </w:rPr>
      </w:pPr>
      <w:r>
        <w:rPr>
          <w:rFonts w:ascii="仿宋_GB2312" w:eastAsia="仿宋_GB2312" w:cs="仿宋_GB2312"/>
          <w:color w:val="000000"/>
          <w:sz w:val="31"/>
          <w:szCs w:val="31"/>
        </w:rPr>
        <w:lastRenderedPageBreak/>
        <w:t>4.完善合作交流机制。加强各镇街道与各部门间协调联动，建立互联互通、信息共享、协同处置等有效的联防联控工作机制；推动建立与市内各旗区特别是周边各旗区的安全生产事故应急管理合作机制，加强联防联控、经验交流、资源共享、救援比武等方面的合作交流。</w:t>
      </w:r>
    </w:p>
    <w:p w14:paraId="0DF82188" w14:textId="77777777" w:rsidR="00EC2C51" w:rsidRDefault="00A971AA">
      <w:pPr>
        <w:pStyle w:val="HTML1"/>
        <w:widowControl/>
        <w:ind w:firstLine="640"/>
        <w:outlineLvl w:val="1"/>
        <w:rPr>
          <w:rFonts w:hint="default"/>
        </w:rPr>
      </w:pPr>
      <w:bookmarkStart w:id="62" w:name="_Toc10690"/>
      <w:r>
        <w:rPr>
          <w:rFonts w:ascii="楷体_GB2312" w:eastAsia="楷体_GB2312" w:cs="楷体_GB2312"/>
          <w:color w:val="000000"/>
          <w:sz w:val="31"/>
          <w:szCs w:val="31"/>
        </w:rPr>
        <w:t>（七）提升事故救援和应急处置能力</w:t>
      </w:r>
      <w:bookmarkEnd w:id="62"/>
    </w:p>
    <w:p w14:paraId="032B285D" w14:textId="77777777" w:rsidR="00EC2C51" w:rsidRDefault="00A971AA">
      <w:pPr>
        <w:pStyle w:val="HTML1"/>
        <w:widowControl/>
        <w:ind w:firstLine="640"/>
        <w:rPr>
          <w:rFonts w:ascii="仿宋_GB2312" w:eastAsia="仿宋_GB2312" w:cs="仿宋_GB2312" w:hint="default"/>
          <w:color w:val="000000"/>
          <w:sz w:val="31"/>
          <w:szCs w:val="31"/>
        </w:rPr>
      </w:pPr>
      <w:r>
        <w:rPr>
          <w:rFonts w:ascii="仿宋_GB2312" w:eastAsia="仿宋_GB2312" w:cs="仿宋_GB2312"/>
          <w:color w:val="000000"/>
          <w:sz w:val="31"/>
          <w:szCs w:val="31"/>
        </w:rPr>
        <w:t>1.强化安全生产应急救援指挥机构建设。配强应急管理专业人才，加强应急监管和协调指挥工作；开展应急救援专项培训，强化应急措施动态修订和应急救援演练，切实增强组织协调能力和现场救援效果；整合全区应急、地震、气象、交通、公安、农牧水利、医疗、消防救援等各联动单位信息资源，实现警情信息互联互通，</w:t>
      </w:r>
      <w:proofErr w:type="gramStart"/>
      <w:r>
        <w:rPr>
          <w:rFonts w:ascii="仿宋_GB2312" w:eastAsia="仿宋_GB2312" w:cs="仿宋_GB2312"/>
          <w:color w:val="000000"/>
          <w:sz w:val="31"/>
          <w:szCs w:val="31"/>
        </w:rPr>
        <w:t>完善部门间数据</w:t>
      </w:r>
      <w:proofErr w:type="gramEnd"/>
      <w:r>
        <w:rPr>
          <w:rFonts w:ascii="仿宋_GB2312" w:eastAsia="仿宋_GB2312" w:cs="仿宋_GB2312"/>
          <w:color w:val="000000"/>
          <w:sz w:val="31"/>
          <w:szCs w:val="31"/>
        </w:rPr>
        <w:t>交换共享机制，实现应急救援技术支持、应急指挥平台功能和应急资源共享与统一调度，衔接好“防”与“救”、“统”与“分”的责任链条，确保责任链条无缝对接，形成整体合力，发挥好应急部门的综合优势和各相关部门的专业优势。</w:t>
      </w:r>
    </w:p>
    <w:p w14:paraId="29B835FA" w14:textId="77777777" w:rsidR="00EC2C51" w:rsidRDefault="00A971AA">
      <w:pPr>
        <w:pStyle w:val="HTML1"/>
        <w:widowControl/>
        <w:ind w:firstLine="640"/>
        <w:rPr>
          <w:rFonts w:hint="default"/>
        </w:rPr>
      </w:pPr>
      <w:r>
        <w:rPr>
          <w:rFonts w:ascii="仿宋_GB2312" w:eastAsia="仿宋_GB2312" w:cs="仿宋_GB2312"/>
          <w:color w:val="000000"/>
          <w:sz w:val="31"/>
          <w:szCs w:val="31"/>
        </w:rPr>
        <w:t>2.加强应急救援队伍和物资保障能力建设。加强综合应急救援队伍建设，构建以消防救援队伍以及综合救援队伍等专业救援队伍为主力，以基干民兵应急队伍、行业救援队伍、街道应急救援队伍等3类队伍为补充，以社会救援力量、社区级网格员、社区级灾情信息员等力量为辅助的三级应急救援队伍体系；健全应急物资管理体制，制定应急物资分级分类储备目录，</w:t>
      </w:r>
      <w:r>
        <w:rPr>
          <w:rFonts w:ascii="仿宋_GB2312" w:eastAsia="仿宋_GB2312" w:cs="仿宋_GB2312"/>
          <w:color w:val="000000"/>
          <w:sz w:val="31"/>
          <w:szCs w:val="31"/>
        </w:rPr>
        <w:lastRenderedPageBreak/>
        <w:t>健全应急物资紧急征用和补偿等制度，明确各级各部门应急物资管理、储备范围和权限；完善应急物资采储调配体系，科学确定各类应急物资政府实物储备、企业（商业）储备、产能储备和社会化储备的比例及数量，优化应急物资储备布局。</w:t>
      </w:r>
    </w:p>
    <w:p w14:paraId="1AFB8886" w14:textId="77777777" w:rsidR="00EC2C51" w:rsidRDefault="00A971AA">
      <w:pPr>
        <w:pStyle w:val="HTML1"/>
        <w:widowControl/>
        <w:ind w:firstLine="640"/>
        <w:outlineLvl w:val="1"/>
        <w:rPr>
          <w:rFonts w:hint="default"/>
        </w:rPr>
      </w:pPr>
      <w:bookmarkStart w:id="63" w:name="_Toc23995"/>
      <w:r>
        <w:rPr>
          <w:rFonts w:ascii="楷体_GB2312" w:eastAsia="楷体_GB2312" w:cs="楷体_GB2312"/>
          <w:color w:val="000000"/>
          <w:sz w:val="31"/>
          <w:szCs w:val="31"/>
        </w:rPr>
        <w:t>（八）推进城市安全发展</w:t>
      </w:r>
      <w:bookmarkEnd w:id="63"/>
    </w:p>
    <w:p w14:paraId="3EB138D9" w14:textId="77777777" w:rsidR="00EC2C51" w:rsidRDefault="00A971AA">
      <w:pPr>
        <w:pStyle w:val="HTML1"/>
        <w:widowControl/>
        <w:ind w:firstLine="640"/>
        <w:rPr>
          <w:rFonts w:ascii="仿宋_GB2312" w:eastAsia="仿宋_GB2312" w:cs="仿宋_GB2312" w:hint="default"/>
          <w:color w:val="000000"/>
          <w:sz w:val="31"/>
          <w:szCs w:val="31"/>
        </w:rPr>
      </w:pPr>
      <w:r>
        <w:rPr>
          <w:rFonts w:ascii="仿宋_GB2312" w:eastAsia="仿宋_GB2312" w:cs="仿宋_GB2312"/>
          <w:color w:val="000000"/>
          <w:sz w:val="31"/>
          <w:szCs w:val="31"/>
        </w:rPr>
        <w:t>1.加强城市安全源头管控。科学制定康巴什区城市</w:t>
      </w:r>
      <w:proofErr w:type="gramStart"/>
      <w:r>
        <w:rPr>
          <w:rFonts w:ascii="仿宋_GB2312" w:eastAsia="仿宋_GB2312" w:cs="仿宋_GB2312"/>
          <w:color w:val="000000"/>
          <w:sz w:val="31"/>
          <w:szCs w:val="31"/>
        </w:rPr>
        <w:t>安全发展</w:t>
      </w:r>
      <w:proofErr w:type="gramEnd"/>
      <w:r>
        <w:rPr>
          <w:rFonts w:ascii="仿宋_GB2312" w:eastAsia="仿宋_GB2312" w:cs="仿宋_GB2312"/>
          <w:color w:val="000000"/>
          <w:sz w:val="31"/>
          <w:szCs w:val="31"/>
        </w:rPr>
        <w:t>总体规划，以及城市综合防灾减灾、地质灾害防治、防震减灾、排水防涝、防洪、安全生产、消防、道路交通安全管理、地下综合管廊建设等专项规划；严格各项法规标准体系落实，针对康巴什区实际情况制定相应规范文件，形成完善的城市安全法治体系；严格执行并适时修订新增产业的禁止和限制目录，加快重点产业安全改造升级；加强基础设施安全管理，严格城市供水、供电、供热、供气、排水防涝等基础设施建设以及运营过程中的安全监管；加强对城市建筑特别是老旧小区外墙及保温墙皮掉落、落水管掉落、外挂平台护栏腐蚀等公共安全隐患排查治理；加强城市小区天然气管道、集中充电棚以及地下停车库等的安全监管；加强城市公交车、客运车辆、校车、危险化学品运输车辆、物流货运和邮政快递运输车辆日常运行的安全监管。</w:t>
      </w:r>
    </w:p>
    <w:p w14:paraId="2FDEB134" w14:textId="77777777" w:rsidR="00EC2C51" w:rsidRDefault="00A971AA">
      <w:pPr>
        <w:pStyle w:val="HTML1"/>
        <w:widowControl/>
        <w:ind w:firstLine="640"/>
        <w:rPr>
          <w:rFonts w:hint="default"/>
        </w:rPr>
      </w:pPr>
      <w:r>
        <w:rPr>
          <w:rFonts w:ascii="仿宋_GB2312" w:eastAsia="仿宋_GB2312" w:cs="仿宋_GB2312"/>
          <w:color w:val="000000"/>
          <w:sz w:val="31"/>
          <w:szCs w:val="31"/>
        </w:rPr>
        <w:t>2.健全城市安全防控机制。强化安全风险管控，出台城市</w:t>
      </w:r>
      <w:proofErr w:type="gramStart"/>
      <w:r>
        <w:rPr>
          <w:rFonts w:ascii="仿宋_GB2312" w:eastAsia="仿宋_GB2312" w:cs="仿宋_GB2312"/>
          <w:color w:val="000000"/>
          <w:sz w:val="31"/>
          <w:szCs w:val="31"/>
        </w:rPr>
        <w:t>安全发展</w:t>
      </w:r>
      <w:proofErr w:type="gramEnd"/>
      <w:r>
        <w:rPr>
          <w:rFonts w:ascii="仿宋_GB2312" w:eastAsia="仿宋_GB2312" w:cs="仿宋_GB2312"/>
          <w:color w:val="000000"/>
          <w:sz w:val="31"/>
          <w:szCs w:val="31"/>
        </w:rPr>
        <w:t>战略规划，构建城市安全风险立体防控体系，制定街道、重点行业领域、灾害多发区域等多个层面的风险评估方法，</w:t>
      </w:r>
      <w:r>
        <w:rPr>
          <w:rFonts w:ascii="仿宋_GB2312" w:eastAsia="仿宋_GB2312" w:cs="仿宋_GB2312"/>
          <w:color w:val="000000"/>
          <w:sz w:val="31"/>
          <w:szCs w:val="31"/>
        </w:rPr>
        <w:lastRenderedPageBreak/>
        <w:t>全面辨识评估城市安全风险，绘制“红、橙、黄、蓝”四色等级安全风险空间分布图，至少每五年开展一次安全风险辨识评估，充分利用康巴什区安全生产信息平台，完成危险化学品、煤矿、道路交通等重点领域风险信息数据横向接入，建立城市安全信息“一张网”，提高智慧决策水平；深化隐患排查治理，健全城市安全隐患排查治理长效机制，建立完善重大安全风险联防联控机制，严格实施重大事故隐患挂牌督办制度，推动消防、危化、建筑施工、道路交通等领域安全生产监管；建设广域、高效应急管理体系，完善城市应急救援信息共享、多部门协同预警和响应处置，完善康巴什区应急指挥管理平台建设，推动城市应急数据整合，提高城市生产安全事故处置水平。</w:t>
      </w:r>
    </w:p>
    <w:p w14:paraId="0D40DF9A" w14:textId="77777777" w:rsidR="00EC2C51" w:rsidRDefault="00A971AA">
      <w:pPr>
        <w:pStyle w:val="HTML1"/>
        <w:widowControl/>
        <w:ind w:firstLine="640"/>
        <w:rPr>
          <w:rFonts w:hint="default"/>
        </w:rPr>
      </w:pPr>
      <w:r>
        <w:rPr>
          <w:rFonts w:ascii="仿宋_GB2312" w:eastAsia="仿宋_GB2312" w:cs="仿宋_GB2312"/>
          <w:color w:val="000000"/>
          <w:sz w:val="31"/>
          <w:szCs w:val="31"/>
        </w:rPr>
        <w:t>3.强化城市安全保障能力。推动地区安全产业发展，鼓励健全社会化服务体系，提升安全专业技术服务力量；强化安全科技创新和应用，加大对城市安全监管信息化、风险辨识和重大安全隐患整治、安全设施和应急装备等方面的科技创新投入；运用大数据改进社会治理模式，着力构建企业信用监管体系，创新民主管理形式和方法，推动社会参与监督；建立城市</w:t>
      </w:r>
      <w:proofErr w:type="gramStart"/>
      <w:r>
        <w:rPr>
          <w:rFonts w:ascii="仿宋_GB2312" w:eastAsia="仿宋_GB2312" w:cs="仿宋_GB2312"/>
          <w:color w:val="000000"/>
          <w:sz w:val="31"/>
          <w:szCs w:val="31"/>
        </w:rPr>
        <w:t>安全发展</w:t>
      </w:r>
      <w:proofErr w:type="gramEnd"/>
      <w:r>
        <w:rPr>
          <w:rFonts w:ascii="仿宋_GB2312" w:eastAsia="仿宋_GB2312" w:cs="仿宋_GB2312"/>
          <w:color w:val="000000"/>
          <w:sz w:val="31"/>
          <w:szCs w:val="31"/>
        </w:rPr>
        <w:t>指数体系，综合评估城市安全发展水平，建立城市安全效能评价方法体系，统筹整合、科学设定城市安全考核指标；加强安全宣传教育，融合推动安全文化示范企业、应急管理示范单位、青年安全示范岗建设，全面提升市民安全素质和技能，</w:t>
      </w:r>
      <w:r>
        <w:rPr>
          <w:rFonts w:ascii="仿宋_GB2312" w:eastAsia="仿宋_GB2312" w:cs="仿宋_GB2312"/>
          <w:color w:val="000000"/>
          <w:sz w:val="31"/>
          <w:szCs w:val="31"/>
        </w:rPr>
        <w:lastRenderedPageBreak/>
        <w:t>建立完善城市安全公众互动交流信息平台，增强人民群众安全意识和应急处置能力。</w:t>
      </w:r>
    </w:p>
    <w:p w14:paraId="0CCEC3E8" w14:textId="77777777" w:rsidR="00EC2C51" w:rsidRDefault="00A971AA">
      <w:pPr>
        <w:pStyle w:val="HTML1"/>
        <w:widowControl/>
        <w:ind w:firstLine="640"/>
        <w:outlineLvl w:val="0"/>
        <w:rPr>
          <w:rFonts w:hint="default"/>
        </w:rPr>
      </w:pPr>
      <w:bookmarkStart w:id="64" w:name="_Toc14466"/>
      <w:r>
        <w:rPr>
          <w:rFonts w:ascii="黑体" w:eastAsia="黑体" w:cs="黑体"/>
          <w:color w:val="000000"/>
          <w:sz w:val="31"/>
          <w:szCs w:val="31"/>
        </w:rPr>
        <w:t>四、重点工程</w:t>
      </w:r>
      <w:bookmarkEnd w:id="64"/>
    </w:p>
    <w:p w14:paraId="733E4E28" w14:textId="77777777" w:rsidR="00EC2C51" w:rsidRDefault="00A971AA">
      <w:pPr>
        <w:pStyle w:val="HTML1"/>
        <w:widowControl/>
        <w:ind w:firstLine="640"/>
        <w:outlineLvl w:val="1"/>
        <w:rPr>
          <w:rFonts w:ascii="楷体_GB2312" w:eastAsia="楷体_GB2312" w:cs="楷体_GB2312" w:hint="default"/>
          <w:color w:val="000000"/>
          <w:sz w:val="31"/>
          <w:szCs w:val="31"/>
        </w:rPr>
      </w:pPr>
      <w:bookmarkStart w:id="65" w:name="_Toc24460"/>
      <w:r>
        <w:rPr>
          <w:rFonts w:ascii="楷体_GB2312" w:eastAsia="楷体_GB2312" w:cs="楷体_GB2312"/>
          <w:color w:val="000000"/>
          <w:sz w:val="31"/>
          <w:szCs w:val="31"/>
        </w:rPr>
        <w:t>（一）安全监管执法能力提升工程</w:t>
      </w:r>
      <w:bookmarkEnd w:id="65"/>
    </w:p>
    <w:p w14:paraId="38493B2F" w14:textId="77777777" w:rsidR="00EC2C51" w:rsidRDefault="00A971AA">
      <w:pPr>
        <w:pStyle w:val="HTML1"/>
        <w:widowControl/>
        <w:ind w:firstLine="640"/>
        <w:rPr>
          <w:rFonts w:hint="default"/>
        </w:rPr>
      </w:pPr>
      <w:r>
        <w:rPr>
          <w:rFonts w:ascii="仿宋_GB2312" w:eastAsia="仿宋_GB2312" w:cs="仿宋_GB2312"/>
          <w:color w:val="000000"/>
          <w:sz w:val="31"/>
          <w:szCs w:val="31"/>
        </w:rPr>
        <w:t>按照简政放权和“能减即减、应减必减、能放必放、重心下移”要求，依法依规取消或下放安全生产行政审批事项，行政审批项目一律进入政务大厅，实行“一站式”服务，提高审批效能；把安全法治纳入领导干部教育培训的重要内容，切实加强安全生产监管执法人员法律法规和执法培训，优化基层执法人员专业结构，提高专业执法人员配备比率，对在岗人员原则上每3年轮训一次，危险化学品领域2025年底前具有化工安全生产相关专业学历和实践经验的执法人员数量达到在职人员的75%以上；制修订执法监察标准化办法，实现执法监察标准化达标率100%；配齐执法装备，强化移动执法终端使用培训；强化动态实时监管，探索推行“互联网+监管”模式。</w:t>
      </w:r>
    </w:p>
    <w:p w14:paraId="6C704E37" w14:textId="77777777" w:rsidR="00EC2C51" w:rsidRDefault="00A971AA">
      <w:pPr>
        <w:pStyle w:val="HTML1"/>
        <w:widowControl/>
        <w:ind w:firstLine="640"/>
        <w:outlineLvl w:val="1"/>
        <w:rPr>
          <w:rFonts w:hint="default"/>
        </w:rPr>
      </w:pPr>
      <w:bookmarkStart w:id="66" w:name="_Toc12798"/>
      <w:r>
        <w:rPr>
          <w:rFonts w:ascii="楷体_GB2312" w:eastAsia="楷体_GB2312" w:cs="楷体_GB2312"/>
          <w:color w:val="000000"/>
          <w:sz w:val="31"/>
          <w:szCs w:val="31"/>
        </w:rPr>
        <w:t>（二）安全生产标准化达标工程</w:t>
      </w:r>
      <w:bookmarkEnd w:id="66"/>
    </w:p>
    <w:p w14:paraId="2B759383" w14:textId="77777777" w:rsidR="00EC2C51" w:rsidRDefault="00A971AA">
      <w:pPr>
        <w:pStyle w:val="HTML1"/>
        <w:widowControl/>
        <w:ind w:firstLineChars="200" w:firstLine="620"/>
        <w:rPr>
          <w:rFonts w:hint="default"/>
        </w:rPr>
      </w:pPr>
      <w:r>
        <w:rPr>
          <w:rFonts w:ascii="仿宋_GB2312" w:eastAsia="仿宋_GB2312" w:cs="仿宋_GB2312"/>
          <w:color w:val="000000"/>
          <w:sz w:val="31"/>
          <w:szCs w:val="31"/>
        </w:rPr>
        <w:t>2025年底前，  规模以上工矿商贸企业全部按照安全生产标准化三级以上标准有效运行，建筑施工企业及其他施工企业安全生产标准化合格率达到100%，新建工程项目100%安全标准化达标；推动安全生产企业标准“</w:t>
      </w:r>
      <w:proofErr w:type="gramStart"/>
      <w:r>
        <w:rPr>
          <w:rFonts w:ascii="仿宋_GB2312" w:eastAsia="仿宋_GB2312" w:cs="仿宋_GB2312"/>
          <w:color w:val="000000"/>
          <w:sz w:val="31"/>
          <w:szCs w:val="31"/>
        </w:rPr>
        <w:t>一</w:t>
      </w:r>
      <w:proofErr w:type="gramEnd"/>
      <w:r>
        <w:rPr>
          <w:rFonts w:ascii="仿宋_GB2312" w:eastAsia="仿宋_GB2312" w:cs="仿宋_GB2312"/>
          <w:color w:val="000000"/>
          <w:sz w:val="31"/>
          <w:szCs w:val="31"/>
        </w:rPr>
        <w:t>企</w:t>
      </w:r>
      <w:proofErr w:type="gramStart"/>
      <w:r>
        <w:rPr>
          <w:rFonts w:ascii="仿宋_GB2312" w:eastAsia="仿宋_GB2312" w:cs="仿宋_GB2312"/>
          <w:color w:val="000000"/>
          <w:sz w:val="31"/>
          <w:szCs w:val="31"/>
        </w:rPr>
        <w:t>一</w:t>
      </w:r>
      <w:proofErr w:type="gramEnd"/>
      <w:r>
        <w:rPr>
          <w:rFonts w:ascii="仿宋_GB2312" w:eastAsia="仿宋_GB2312" w:cs="仿宋_GB2312"/>
          <w:color w:val="000000"/>
          <w:sz w:val="31"/>
          <w:szCs w:val="31"/>
        </w:rPr>
        <w:t>策”工作开展，鼓励企业结合实际，按照“完善机制、落实责任、自主制定、持续改进、标杆引领、科技支撑、循序渐进、全面提升”的原</w:t>
      </w:r>
      <w:r>
        <w:rPr>
          <w:rFonts w:ascii="仿宋_GB2312" w:eastAsia="仿宋_GB2312" w:cs="仿宋_GB2312"/>
          <w:color w:val="000000"/>
          <w:sz w:val="31"/>
          <w:szCs w:val="31"/>
        </w:rPr>
        <w:lastRenderedPageBreak/>
        <w:t>则制定企业标准，形成一批可推广复制的企业标准化工作做法和经验。</w:t>
      </w:r>
    </w:p>
    <w:p w14:paraId="58A8C20F" w14:textId="77777777" w:rsidR="00EC2C51" w:rsidRDefault="00A971AA">
      <w:pPr>
        <w:pStyle w:val="HTML1"/>
        <w:widowControl/>
        <w:numPr>
          <w:ilvl w:val="0"/>
          <w:numId w:val="5"/>
        </w:numPr>
        <w:ind w:firstLine="640"/>
        <w:outlineLvl w:val="1"/>
        <w:rPr>
          <w:rFonts w:ascii="楷体_GB2312" w:eastAsia="楷体_GB2312" w:cs="楷体_GB2312" w:hint="default"/>
          <w:color w:val="000000"/>
          <w:sz w:val="31"/>
          <w:szCs w:val="31"/>
        </w:rPr>
      </w:pPr>
      <w:bookmarkStart w:id="67" w:name="_Toc23269"/>
      <w:r>
        <w:rPr>
          <w:rFonts w:ascii="楷体_GB2312" w:eastAsia="楷体_GB2312" w:cs="楷体_GB2312"/>
          <w:color w:val="000000"/>
          <w:sz w:val="31"/>
          <w:szCs w:val="31"/>
        </w:rPr>
        <w:t>安全生产信息化建设工程</w:t>
      </w:r>
      <w:bookmarkEnd w:id="67"/>
    </w:p>
    <w:p w14:paraId="5D299F80" w14:textId="77777777" w:rsidR="00EC2C51" w:rsidRDefault="00A971AA">
      <w:pPr>
        <w:pStyle w:val="HTML1"/>
        <w:widowControl/>
        <w:ind w:firstLineChars="200" w:firstLine="620"/>
        <w:rPr>
          <w:rFonts w:hint="default"/>
        </w:rPr>
      </w:pPr>
      <w:r>
        <w:rPr>
          <w:rFonts w:ascii="仿宋_GB2312" w:eastAsia="仿宋_GB2312" w:cs="仿宋_GB2312"/>
          <w:color w:val="000000"/>
          <w:sz w:val="31"/>
          <w:szCs w:val="31"/>
        </w:rPr>
        <w:t>开展城市公共安全整体评估，出台城市</w:t>
      </w:r>
      <w:proofErr w:type="gramStart"/>
      <w:r>
        <w:rPr>
          <w:rFonts w:ascii="仿宋_GB2312" w:eastAsia="仿宋_GB2312" w:cs="仿宋_GB2312"/>
          <w:color w:val="000000"/>
          <w:sz w:val="31"/>
          <w:szCs w:val="31"/>
        </w:rPr>
        <w:t>安全发展</w:t>
      </w:r>
      <w:proofErr w:type="gramEnd"/>
      <w:r>
        <w:rPr>
          <w:rFonts w:ascii="仿宋_GB2312" w:eastAsia="仿宋_GB2312" w:cs="仿宋_GB2312"/>
          <w:color w:val="000000"/>
          <w:sz w:val="31"/>
          <w:szCs w:val="31"/>
        </w:rPr>
        <w:t>战略规划，全面开展城市安全风险综合评估，绘制全区安全风险分布电子地图；配合完成鄂尔多斯</w:t>
      </w:r>
      <w:proofErr w:type="gramStart"/>
      <w:r>
        <w:rPr>
          <w:rFonts w:ascii="仿宋_GB2312" w:eastAsia="仿宋_GB2312" w:cs="仿宋_GB2312"/>
          <w:color w:val="000000"/>
          <w:sz w:val="31"/>
          <w:szCs w:val="31"/>
        </w:rPr>
        <w:t>市危险</w:t>
      </w:r>
      <w:proofErr w:type="gramEnd"/>
      <w:r>
        <w:rPr>
          <w:rFonts w:ascii="仿宋_GB2312" w:eastAsia="仿宋_GB2312" w:cs="仿宋_GB2312"/>
          <w:color w:val="000000"/>
          <w:sz w:val="31"/>
          <w:szCs w:val="31"/>
        </w:rPr>
        <w:t>化学品安全生产风险监测预警系统建设任务，对照市应急管理局下达的建设任务,重点围绕"感知范围扩展、支撑能力强化、系统建设完善</w:t>
      </w:r>
      <w:proofErr w:type="gramStart"/>
      <w:r>
        <w:rPr>
          <w:rFonts w:ascii="仿宋_GB2312" w:eastAsia="仿宋_GB2312" w:cs="仿宋_GB2312"/>
          <w:color w:val="000000"/>
          <w:sz w:val="31"/>
          <w:szCs w:val="31"/>
        </w:rPr>
        <w:t>”</w:t>
      </w:r>
      <w:proofErr w:type="gramEnd"/>
      <w:r>
        <w:rPr>
          <w:rFonts w:ascii="仿宋_GB2312" w:eastAsia="仿宋_GB2312" w:cs="仿宋_GB2312"/>
          <w:color w:val="000000"/>
          <w:sz w:val="31"/>
          <w:szCs w:val="31"/>
        </w:rPr>
        <w:t>的要求，完善平台使用建设，实现以信息化推进安全生产管理现代化，促进企业落实安全生产主体责任；进一步规范康巴什区安全生产信息化管理平台应用，加快工矿商贸、道路交通等重点领域安全信息横向接入工作，构建城市安全风险“一张网”，严格落实《康巴什区安全生产信息化管理平台管理办法》，加大平台使用力度，实时掌握康巴什区安全生产动态；推进应急信息平台系统建设，充分利用互联网+、物联网、</w:t>
      </w:r>
      <w:proofErr w:type="gramStart"/>
      <w:r>
        <w:rPr>
          <w:rFonts w:ascii="仿宋_GB2312" w:eastAsia="仿宋_GB2312" w:cs="仿宋_GB2312"/>
          <w:color w:val="000000"/>
          <w:sz w:val="31"/>
          <w:szCs w:val="31"/>
        </w:rPr>
        <w:t>云计算</w:t>
      </w:r>
      <w:proofErr w:type="gramEnd"/>
      <w:r>
        <w:rPr>
          <w:rFonts w:ascii="仿宋_GB2312" w:eastAsia="仿宋_GB2312" w:cs="仿宋_GB2312"/>
          <w:color w:val="000000"/>
          <w:sz w:val="31"/>
          <w:szCs w:val="31"/>
        </w:rPr>
        <w:t>和5G信息技术等先进科技手段，实现重大风险和隐患在线监测、超前预警预报和灾害事故高效处置，实现应急预案管理、信息汇总、综合</w:t>
      </w:r>
      <w:proofErr w:type="gramStart"/>
      <w:r>
        <w:rPr>
          <w:rFonts w:ascii="仿宋_GB2312" w:eastAsia="仿宋_GB2312" w:cs="仿宋_GB2312"/>
          <w:color w:val="000000"/>
          <w:sz w:val="31"/>
          <w:szCs w:val="31"/>
        </w:rPr>
        <w:t>研</w:t>
      </w:r>
      <w:proofErr w:type="gramEnd"/>
      <w:r>
        <w:rPr>
          <w:rFonts w:ascii="仿宋_GB2312" w:eastAsia="仿宋_GB2312" w:cs="仿宋_GB2312"/>
          <w:color w:val="000000"/>
          <w:sz w:val="31"/>
          <w:szCs w:val="31"/>
        </w:rPr>
        <w:t>判、辅助决策、模拟演练、综合评估等功能；强化重大危险源分类监管，实现重大危险源实时动态监控，推动建筑施工、危险化学品、烟花爆竹、交通运输、工矿商贸等高危行业领域企业提升重大风险智能监测系统覆盖密度和建设质量，健全完善多种感知设备科学布局的先进物联网监测系统，建筑安</w:t>
      </w:r>
      <w:r>
        <w:rPr>
          <w:rFonts w:ascii="仿宋_GB2312" w:eastAsia="仿宋_GB2312" w:cs="仿宋_GB2312"/>
          <w:color w:val="000000"/>
          <w:sz w:val="31"/>
          <w:szCs w:val="31"/>
        </w:rPr>
        <w:lastRenderedPageBreak/>
        <w:t>全生产领域到2025年实现2个以上施工工地具备智能化在线安全监管。</w:t>
      </w:r>
    </w:p>
    <w:p w14:paraId="20D8DA7A" w14:textId="77777777" w:rsidR="00EC2C51" w:rsidRDefault="00A971AA">
      <w:pPr>
        <w:pStyle w:val="HTML1"/>
        <w:widowControl/>
        <w:ind w:firstLine="640"/>
        <w:outlineLvl w:val="1"/>
        <w:rPr>
          <w:rFonts w:hint="default"/>
        </w:rPr>
      </w:pPr>
      <w:bookmarkStart w:id="68" w:name="_Toc6756"/>
      <w:r>
        <w:rPr>
          <w:rFonts w:ascii="楷体_GB2312" w:eastAsia="楷体_GB2312" w:cs="楷体_GB2312"/>
          <w:color w:val="000000"/>
          <w:sz w:val="31"/>
          <w:szCs w:val="31"/>
        </w:rPr>
        <w:t>（四）重点行业领域整治工程</w:t>
      </w:r>
      <w:bookmarkEnd w:id="68"/>
    </w:p>
    <w:p w14:paraId="3A424027" w14:textId="77777777" w:rsidR="00EC2C51" w:rsidRDefault="00A971AA">
      <w:pPr>
        <w:pStyle w:val="HTML1"/>
        <w:widowControl/>
        <w:ind w:firstLine="640"/>
        <w:rPr>
          <w:rFonts w:hint="default"/>
        </w:rPr>
      </w:pPr>
      <w:r>
        <w:rPr>
          <w:rFonts w:ascii="仿宋_GB2312" w:eastAsia="仿宋_GB2312" w:cs="仿宋_GB2312"/>
          <w:color w:val="000000"/>
          <w:sz w:val="31"/>
          <w:szCs w:val="31"/>
        </w:rPr>
        <w:t>推进商场市场、学校、“九小”场所、高层建筑防火能力提升建设工程；更新现役老旧钢质中压燃气管道，实施重要场所管道天然气入户改造；加大工矿商贸行业“两场所</w:t>
      </w:r>
      <w:proofErr w:type="gramStart"/>
      <w:r>
        <w:rPr>
          <w:rFonts w:ascii="仿宋_GB2312" w:eastAsia="仿宋_GB2312" w:cs="仿宋_GB2312"/>
          <w:color w:val="000000"/>
          <w:sz w:val="31"/>
          <w:szCs w:val="31"/>
        </w:rPr>
        <w:t>一</w:t>
      </w:r>
      <w:proofErr w:type="gramEnd"/>
      <w:r>
        <w:rPr>
          <w:rFonts w:ascii="仿宋_GB2312" w:eastAsia="仿宋_GB2312" w:cs="仿宋_GB2312"/>
          <w:color w:val="000000"/>
          <w:sz w:val="31"/>
          <w:szCs w:val="31"/>
        </w:rPr>
        <w:t>企业”治理；推进公路安全生命防护工程和城区立体过街设施工程建设；推进智能化数字化工矿商贸建设工程。</w:t>
      </w:r>
    </w:p>
    <w:p w14:paraId="1AA3FD19" w14:textId="77777777" w:rsidR="00EC2C51" w:rsidRDefault="00A971AA">
      <w:pPr>
        <w:pStyle w:val="HTML1"/>
        <w:widowControl/>
        <w:ind w:left="640"/>
        <w:outlineLvl w:val="1"/>
        <w:rPr>
          <w:rFonts w:ascii="楷体_GB2312" w:eastAsia="楷体_GB2312" w:cs="楷体_GB2312" w:hint="default"/>
          <w:color w:val="000000"/>
          <w:sz w:val="31"/>
          <w:szCs w:val="31"/>
        </w:rPr>
      </w:pPr>
      <w:bookmarkStart w:id="69" w:name="_Toc21201"/>
      <w:r>
        <w:rPr>
          <w:rFonts w:ascii="楷体_GB2312" w:eastAsia="楷体_GB2312" w:cs="楷体_GB2312"/>
          <w:color w:val="000000"/>
          <w:sz w:val="31"/>
          <w:szCs w:val="31"/>
        </w:rPr>
        <w:t>（五）安全生产实训基地建设工程</w:t>
      </w:r>
      <w:bookmarkEnd w:id="69"/>
    </w:p>
    <w:p w14:paraId="20317543" w14:textId="77777777" w:rsidR="00EC2C51" w:rsidRDefault="00A971AA">
      <w:pPr>
        <w:pStyle w:val="HTML1"/>
        <w:widowControl/>
        <w:ind w:firstLineChars="200" w:firstLine="620"/>
        <w:rPr>
          <w:rFonts w:hint="default"/>
        </w:rPr>
      </w:pPr>
      <w:r>
        <w:rPr>
          <w:rFonts w:ascii="仿宋_GB2312" w:eastAsia="仿宋_GB2312" w:cs="仿宋_GB2312"/>
          <w:color w:val="000000"/>
          <w:sz w:val="31"/>
          <w:szCs w:val="31"/>
        </w:rPr>
        <w:t>购置安装应急安全教育培训各类设施设备，搭建智能化、大数据的综合性培训平台。设立云机房、多媒体演示区；建设消防安全教育体验区、自然灾害体验区、交通安全教育体验区、安全生产体验区、校园安全教育区、应急设备产品展示区和各类应急救援（事故、灾害等）演练区，医疗救助教学区、禁毒教育基地、人民防空体验区及素质拓展区；</w:t>
      </w:r>
      <w:proofErr w:type="gramStart"/>
      <w:r>
        <w:rPr>
          <w:rFonts w:ascii="仿宋_GB2312" w:eastAsia="仿宋_GB2312" w:cs="仿宋_GB2312"/>
          <w:color w:val="000000"/>
          <w:sz w:val="31"/>
          <w:szCs w:val="31"/>
        </w:rPr>
        <w:t>建设建设</w:t>
      </w:r>
      <w:proofErr w:type="gramEnd"/>
      <w:r>
        <w:rPr>
          <w:rFonts w:ascii="仿宋_GB2312" w:eastAsia="仿宋_GB2312" w:cs="仿宋_GB2312"/>
          <w:color w:val="000000"/>
          <w:sz w:val="31"/>
          <w:szCs w:val="31"/>
        </w:rPr>
        <w:t>工程施工、危险化学品、工矿商贸、烟花爆竹等高危行业领域培训教室；</w:t>
      </w:r>
      <w:proofErr w:type="gramStart"/>
      <w:r>
        <w:rPr>
          <w:rFonts w:ascii="仿宋_GB2312" w:eastAsia="仿宋_GB2312" w:cs="仿宋_GB2312"/>
          <w:color w:val="000000"/>
          <w:sz w:val="31"/>
          <w:szCs w:val="31"/>
        </w:rPr>
        <w:t>建设建设</w:t>
      </w:r>
      <w:proofErr w:type="gramEnd"/>
      <w:r>
        <w:rPr>
          <w:rFonts w:ascii="仿宋_GB2312" w:eastAsia="仿宋_GB2312" w:cs="仿宋_GB2312"/>
          <w:color w:val="000000"/>
          <w:sz w:val="31"/>
          <w:szCs w:val="31"/>
        </w:rPr>
        <w:t>工程施工、危险化学品、冶金、工矿商贸、烟花爆竹等高危行业领域的实训演示场馆。</w:t>
      </w:r>
    </w:p>
    <w:p w14:paraId="246C4244" w14:textId="77777777" w:rsidR="00EC2C51" w:rsidRDefault="00A971AA">
      <w:pPr>
        <w:pStyle w:val="HTML1"/>
        <w:widowControl/>
        <w:ind w:firstLine="640"/>
        <w:outlineLvl w:val="1"/>
        <w:rPr>
          <w:rFonts w:hint="default"/>
        </w:rPr>
      </w:pPr>
      <w:bookmarkStart w:id="70" w:name="_Toc25755"/>
      <w:r>
        <w:rPr>
          <w:rFonts w:ascii="楷体_GB2312" w:eastAsia="楷体_GB2312" w:cs="楷体_GB2312"/>
          <w:color w:val="000000"/>
          <w:sz w:val="31"/>
          <w:szCs w:val="31"/>
        </w:rPr>
        <w:t>（六）安全生产标杆榜样引领工程</w:t>
      </w:r>
      <w:bookmarkEnd w:id="70"/>
    </w:p>
    <w:p w14:paraId="6836E3A6" w14:textId="77777777" w:rsidR="00EC2C51" w:rsidRDefault="00A971AA">
      <w:pPr>
        <w:pStyle w:val="HTML1"/>
        <w:widowControl/>
        <w:ind w:firstLineChars="200" w:firstLine="620"/>
        <w:rPr>
          <w:rFonts w:hint="default"/>
        </w:rPr>
      </w:pPr>
      <w:r>
        <w:rPr>
          <w:rFonts w:ascii="仿宋_GB2312" w:eastAsia="仿宋_GB2312" w:cs="仿宋_GB2312"/>
          <w:color w:val="000000"/>
          <w:sz w:val="31"/>
          <w:szCs w:val="31"/>
        </w:rPr>
        <w:t>创建安全文化建设标杆示范企业，到2025年，</w:t>
      </w:r>
      <w:proofErr w:type="gramStart"/>
      <w:r>
        <w:rPr>
          <w:rFonts w:ascii="仿宋_GB2312" w:eastAsia="仿宋_GB2312" w:cs="仿宋_GB2312"/>
          <w:color w:val="000000"/>
          <w:sz w:val="31"/>
          <w:szCs w:val="31"/>
        </w:rPr>
        <w:t>培塑1家</w:t>
      </w:r>
      <w:proofErr w:type="gramEnd"/>
      <w:r>
        <w:rPr>
          <w:rFonts w:ascii="仿宋_GB2312" w:eastAsia="仿宋_GB2312" w:cs="仿宋_GB2312"/>
          <w:color w:val="000000"/>
          <w:sz w:val="31"/>
          <w:szCs w:val="31"/>
        </w:rPr>
        <w:t>以上区级安全文化示范企业，开展企业安全文化优秀案例征集活动，树立文化建设先进典型，总结推广一批先进适用的企业</w:t>
      </w:r>
      <w:r>
        <w:rPr>
          <w:rFonts w:ascii="仿宋_GB2312" w:eastAsia="仿宋_GB2312" w:cs="仿宋_GB2312"/>
          <w:color w:val="000000"/>
          <w:sz w:val="31"/>
          <w:szCs w:val="31"/>
        </w:rPr>
        <w:lastRenderedPageBreak/>
        <w:t>安全文化模式，进一步推动安全文化建设规范、有序、健康发展；遴选安全生产榜样个人，利用榜样力量，发挥其在各层次、各岗位的标杆示范引领作用，以小促大、以点带面，激励从业人员学习先进、追赶先进、争当先进，积极释放潜在的正能量，全力营造</w:t>
      </w:r>
      <w:proofErr w:type="gramStart"/>
      <w:r>
        <w:rPr>
          <w:rFonts w:ascii="仿宋_GB2312" w:eastAsia="仿宋_GB2312" w:cs="仿宋_GB2312"/>
          <w:color w:val="000000"/>
          <w:sz w:val="31"/>
          <w:szCs w:val="31"/>
        </w:rPr>
        <w:t>安全发展</w:t>
      </w:r>
      <w:proofErr w:type="gramEnd"/>
      <w:r>
        <w:rPr>
          <w:rFonts w:ascii="仿宋_GB2312" w:eastAsia="仿宋_GB2312" w:cs="仿宋_GB2312"/>
          <w:color w:val="000000"/>
          <w:sz w:val="31"/>
          <w:szCs w:val="31"/>
        </w:rPr>
        <w:t>良好氛围。</w:t>
      </w:r>
    </w:p>
    <w:p w14:paraId="1CC832F2" w14:textId="77777777" w:rsidR="00EC2C51" w:rsidRDefault="00A971AA">
      <w:pPr>
        <w:pStyle w:val="HTML1"/>
        <w:widowControl/>
        <w:ind w:firstLine="640"/>
        <w:outlineLvl w:val="0"/>
        <w:rPr>
          <w:rFonts w:hint="default"/>
        </w:rPr>
      </w:pPr>
      <w:bookmarkStart w:id="71" w:name="_Toc22588"/>
      <w:r>
        <w:rPr>
          <w:rFonts w:ascii="黑体" w:eastAsia="黑体" w:cs="黑体"/>
          <w:color w:val="000000"/>
          <w:sz w:val="31"/>
          <w:szCs w:val="31"/>
        </w:rPr>
        <w:t>五、保障措施</w:t>
      </w:r>
      <w:bookmarkEnd w:id="71"/>
    </w:p>
    <w:p w14:paraId="47572702" w14:textId="77777777" w:rsidR="00EC2C51" w:rsidRDefault="00A971AA">
      <w:pPr>
        <w:pStyle w:val="HTML1"/>
        <w:widowControl/>
        <w:ind w:firstLine="640"/>
        <w:outlineLvl w:val="1"/>
        <w:rPr>
          <w:rFonts w:hint="default"/>
        </w:rPr>
      </w:pPr>
      <w:bookmarkStart w:id="72" w:name="_Toc13264"/>
      <w:r>
        <w:rPr>
          <w:rFonts w:ascii="楷体_GB2312" w:eastAsia="楷体_GB2312" w:cs="楷体_GB2312"/>
          <w:color w:val="000000"/>
          <w:sz w:val="31"/>
          <w:szCs w:val="31"/>
        </w:rPr>
        <w:t>（一）组织领导</w:t>
      </w:r>
      <w:bookmarkEnd w:id="72"/>
    </w:p>
    <w:p w14:paraId="7580614C" w14:textId="77777777" w:rsidR="00EC2C51" w:rsidRDefault="00A971AA">
      <w:pPr>
        <w:pStyle w:val="HTML1"/>
        <w:widowControl/>
        <w:ind w:firstLine="640"/>
        <w:rPr>
          <w:rFonts w:hint="default"/>
        </w:rPr>
      </w:pPr>
      <w:r>
        <w:rPr>
          <w:rFonts w:ascii="仿宋_GB2312" w:eastAsia="仿宋_GB2312" w:cs="仿宋_GB2312"/>
          <w:color w:val="000000"/>
          <w:sz w:val="31"/>
          <w:szCs w:val="31"/>
        </w:rPr>
        <w:t>加强组织领导，区各相关部门要按照本规划的要求，严格执行安全生产“党政同责、一岗双责”制度，将安全生产工作纳入经济社会发展战略和总体布局，与经济和社会发展规划相衔接，做好规划目标、任务的分解和落实，制定具体实施方案，明确各单位的任务和责任。</w:t>
      </w:r>
    </w:p>
    <w:p w14:paraId="59219E30" w14:textId="77777777" w:rsidR="00EC2C51" w:rsidRDefault="00A971AA">
      <w:pPr>
        <w:pStyle w:val="HTML1"/>
        <w:widowControl/>
        <w:ind w:firstLine="640"/>
        <w:outlineLvl w:val="1"/>
        <w:rPr>
          <w:rFonts w:hint="default"/>
        </w:rPr>
      </w:pPr>
      <w:bookmarkStart w:id="73" w:name="_Toc10590"/>
      <w:r>
        <w:rPr>
          <w:rFonts w:ascii="楷体_GB2312" w:eastAsia="楷体_GB2312" w:cs="楷体_GB2312"/>
          <w:color w:val="000000"/>
          <w:sz w:val="31"/>
          <w:szCs w:val="31"/>
        </w:rPr>
        <w:t>（二）机制保障</w:t>
      </w:r>
      <w:bookmarkEnd w:id="73"/>
    </w:p>
    <w:p w14:paraId="79BE81C2" w14:textId="77777777" w:rsidR="00EC2C51" w:rsidRDefault="00A971AA">
      <w:pPr>
        <w:pStyle w:val="HTML1"/>
        <w:widowControl/>
        <w:ind w:firstLine="640"/>
        <w:rPr>
          <w:rFonts w:hint="default"/>
        </w:rPr>
      </w:pPr>
      <w:r>
        <w:rPr>
          <w:rFonts w:ascii="仿宋_GB2312" w:eastAsia="仿宋_GB2312" w:cs="仿宋_GB2312"/>
          <w:color w:val="000000"/>
          <w:sz w:val="31"/>
          <w:szCs w:val="31"/>
        </w:rPr>
        <w:t>将本规划落实情况纳入对各级党委、政府和各部门、各企事业单位领导班子及其成员年终考核内容，进一步提高考核权重，把考核结果作为能力评价、选拔任用和奖励惩戒的重要依据。完善监督检查、定量考核和评比奖惩制度，将年度安全生产事故控制指标等作为各级政府部门安全生产“一票否决”考核指标。</w:t>
      </w:r>
    </w:p>
    <w:p w14:paraId="1C84E604" w14:textId="77777777" w:rsidR="00EC2C51" w:rsidRDefault="00A971AA">
      <w:pPr>
        <w:pStyle w:val="HTML1"/>
        <w:widowControl/>
        <w:ind w:firstLine="640"/>
        <w:outlineLvl w:val="1"/>
        <w:rPr>
          <w:rFonts w:hint="default"/>
        </w:rPr>
      </w:pPr>
      <w:bookmarkStart w:id="74" w:name="_Toc27845"/>
      <w:r>
        <w:rPr>
          <w:rFonts w:ascii="楷体_GB2312" w:eastAsia="楷体_GB2312" w:cs="楷体_GB2312"/>
          <w:color w:val="000000"/>
          <w:sz w:val="31"/>
          <w:szCs w:val="31"/>
        </w:rPr>
        <w:t>（三）资金保障</w:t>
      </w:r>
      <w:bookmarkEnd w:id="74"/>
    </w:p>
    <w:p w14:paraId="3178E8B8" w14:textId="77777777" w:rsidR="00EC2C51" w:rsidRDefault="00A971AA">
      <w:pPr>
        <w:pStyle w:val="HTML1"/>
        <w:widowControl/>
        <w:ind w:firstLine="640"/>
        <w:rPr>
          <w:rFonts w:hint="default"/>
        </w:rPr>
      </w:pPr>
      <w:r>
        <w:rPr>
          <w:rFonts w:ascii="仿宋_GB2312" w:eastAsia="仿宋_GB2312" w:cs="仿宋_GB2312"/>
          <w:color w:val="000000"/>
          <w:sz w:val="31"/>
          <w:szCs w:val="31"/>
        </w:rPr>
        <w:t>建立企业、政府和社会共同参与的多元化安全生产投入机制。督促企业落实安全生产经济政策，</w:t>
      </w:r>
      <w:proofErr w:type="gramStart"/>
      <w:r>
        <w:rPr>
          <w:rFonts w:ascii="仿宋_GB2312" w:eastAsia="仿宋_GB2312" w:cs="仿宋_GB2312"/>
          <w:color w:val="000000"/>
          <w:sz w:val="31"/>
          <w:szCs w:val="31"/>
        </w:rPr>
        <w:t>列支专项</w:t>
      </w:r>
      <w:proofErr w:type="gramEnd"/>
      <w:r>
        <w:rPr>
          <w:rFonts w:ascii="仿宋_GB2312" w:eastAsia="仿宋_GB2312" w:cs="仿宋_GB2312"/>
          <w:color w:val="000000"/>
          <w:sz w:val="31"/>
          <w:szCs w:val="31"/>
        </w:rPr>
        <w:t>资金治理重大</w:t>
      </w:r>
      <w:r>
        <w:rPr>
          <w:rFonts w:ascii="仿宋_GB2312" w:eastAsia="仿宋_GB2312" w:cs="仿宋_GB2312"/>
          <w:color w:val="000000"/>
          <w:sz w:val="31"/>
          <w:szCs w:val="31"/>
        </w:rPr>
        <w:lastRenderedPageBreak/>
        <w:t>隐患。建立完善安全生产专项资金制度，严格资金使用管理，确保资金使用效率。各级要将公共安全基础设施建设、安全生产保障体系建设、安全生产重点工程项目、重大事故隐患治理、安全生产监管监察能力建设等纳入本级政府公共财政支出的优先领域。</w:t>
      </w:r>
    </w:p>
    <w:p w14:paraId="06849657" w14:textId="77777777" w:rsidR="00EC2C51" w:rsidRDefault="00A971AA">
      <w:pPr>
        <w:pStyle w:val="HTML1"/>
        <w:widowControl/>
        <w:ind w:firstLine="640"/>
        <w:outlineLvl w:val="1"/>
        <w:rPr>
          <w:rFonts w:hint="default"/>
        </w:rPr>
      </w:pPr>
      <w:bookmarkStart w:id="75" w:name="_Toc16270"/>
      <w:r>
        <w:rPr>
          <w:rFonts w:ascii="楷体_GB2312" w:eastAsia="楷体_GB2312" w:cs="楷体_GB2312"/>
          <w:color w:val="000000"/>
          <w:sz w:val="31"/>
          <w:szCs w:val="31"/>
        </w:rPr>
        <w:t>（四）人才保障</w:t>
      </w:r>
      <w:bookmarkEnd w:id="75"/>
    </w:p>
    <w:p w14:paraId="278843A0" w14:textId="77777777" w:rsidR="00EC2C51" w:rsidRDefault="00A971AA">
      <w:pPr>
        <w:pStyle w:val="HTML1"/>
        <w:widowControl/>
        <w:ind w:firstLine="640"/>
        <w:rPr>
          <w:rFonts w:hint="default"/>
        </w:rPr>
      </w:pPr>
      <w:r>
        <w:rPr>
          <w:rFonts w:ascii="仿宋_GB2312" w:eastAsia="仿宋_GB2312" w:cs="仿宋_GB2312"/>
          <w:color w:val="000000"/>
          <w:sz w:val="31"/>
          <w:szCs w:val="31"/>
        </w:rPr>
        <w:t>加强安全管理人才培养和储备机制，加强对各级领导和安全管理人员的培训，扩充人才队伍数量，优化人才队伍结构，提高人才队伍素质。建立康巴什区安全生产专家库，制定资格推入、测评考核、动态调整等管理制度，完善专家参与技术服务、监督检查和决策咨询机制。进一步加强政府向社会力量购买安全技术服务的工作力度。推动行业协会、安评机构等中介组织规范发展，鼓励参与安全生产，提供安全生产专业技术服务。</w:t>
      </w:r>
    </w:p>
    <w:p w14:paraId="3197178F" w14:textId="77777777" w:rsidR="00EC2C51" w:rsidRDefault="00EC2C51">
      <w:pPr>
        <w:pStyle w:val="HTML1"/>
        <w:widowControl/>
        <w:ind w:firstLine="640"/>
        <w:rPr>
          <w:rFonts w:hint="default"/>
        </w:rPr>
      </w:pPr>
    </w:p>
    <w:p w14:paraId="0C6F98E7" w14:textId="77777777" w:rsidR="00EC2C51" w:rsidRDefault="00EC2C51">
      <w:pPr>
        <w:pStyle w:val="HTML1"/>
        <w:widowControl/>
        <w:ind w:firstLine="640"/>
        <w:rPr>
          <w:rFonts w:hint="default"/>
        </w:rPr>
      </w:pPr>
    </w:p>
    <w:p w14:paraId="30498220" w14:textId="77777777" w:rsidR="00EC2C51" w:rsidRDefault="00EC2C51">
      <w:pPr>
        <w:pStyle w:val="HTML1"/>
        <w:widowControl/>
        <w:ind w:firstLine="640"/>
        <w:rPr>
          <w:rFonts w:hint="default"/>
        </w:rPr>
      </w:pPr>
    </w:p>
    <w:p w14:paraId="0F11E5E9" w14:textId="77777777" w:rsidR="00EC2C51" w:rsidRDefault="00EC2C51">
      <w:pPr>
        <w:pStyle w:val="HTML1"/>
        <w:widowControl/>
        <w:ind w:firstLine="640"/>
        <w:rPr>
          <w:rFonts w:hint="default"/>
        </w:rPr>
      </w:pPr>
    </w:p>
    <w:p w14:paraId="3CADDEC8" w14:textId="77777777" w:rsidR="00EC2C51" w:rsidRDefault="00EC2C51">
      <w:pPr>
        <w:pStyle w:val="HTML1"/>
        <w:widowControl/>
        <w:jc w:val="center"/>
        <w:rPr>
          <w:rFonts w:ascii="方正小标宋_GBK" w:eastAsia="方正小标宋_GBK" w:hAnsi="方正小标宋_GBK" w:cs="方正小标宋_GBK" w:hint="default"/>
          <w:color w:val="000000"/>
          <w:sz w:val="36"/>
          <w:szCs w:val="36"/>
        </w:rPr>
      </w:pPr>
    </w:p>
    <w:p w14:paraId="75486EE7" w14:textId="77777777" w:rsidR="00EC2C51" w:rsidRDefault="00EC2C51">
      <w:pPr>
        <w:pStyle w:val="HTML1"/>
        <w:widowControl/>
        <w:jc w:val="center"/>
        <w:rPr>
          <w:rFonts w:ascii="方正小标宋_GBK" w:eastAsia="方正小标宋_GBK" w:hAnsi="方正小标宋_GBK" w:cs="方正小标宋_GBK" w:hint="default"/>
          <w:color w:val="000000"/>
          <w:sz w:val="36"/>
          <w:szCs w:val="36"/>
        </w:rPr>
      </w:pPr>
    </w:p>
    <w:p w14:paraId="76D3825C" w14:textId="77777777" w:rsidR="00EC2C51" w:rsidRDefault="00A971AA">
      <w:pPr>
        <w:rPr>
          <w:rFonts w:ascii="方正小标宋_GBK" w:eastAsia="方正小标宋_GBK" w:hAnsi="方正小标宋_GBK" w:cs="方正小标宋_GBK"/>
          <w:color w:val="000000"/>
          <w:sz w:val="36"/>
          <w:szCs w:val="36"/>
        </w:rPr>
      </w:pPr>
      <w:r>
        <w:rPr>
          <w:rFonts w:ascii="方正小标宋_GBK" w:eastAsia="方正小标宋_GBK" w:hAnsi="方正小标宋_GBK" w:cs="方正小标宋_GBK"/>
          <w:color w:val="000000"/>
          <w:sz w:val="36"/>
          <w:szCs w:val="36"/>
        </w:rPr>
        <w:br w:type="page"/>
      </w:r>
    </w:p>
    <w:p w14:paraId="2B3CF9BC" w14:textId="77777777" w:rsidR="00EC2C51" w:rsidRDefault="00A971AA">
      <w:pPr>
        <w:pStyle w:val="HTML1"/>
        <w:widowControl/>
        <w:jc w:val="center"/>
        <w:outlineLvl w:val="0"/>
        <w:rPr>
          <w:rFonts w:hint="default"/>
        </w:rPr>
      </w:pPr>
      <w:bookmarkStart w:id="76" w:name="_Toc5288"/>
      <w:r>
        <w:rPr>
          <w:rFonts w:ascii="方正小标宋_GBK" w:eastAsia="方正小标宋_GBK" w:hAnsi="方正小标宋_GBK" w:cs="方正小标宋_GBK"/>
          <w:color w:val="000000"/>
          <w:sz w:val="36"/>
          <w:szCs w:val="36"/>
        </w:rPr>
        <w:t xml:space="preserve">第三篇 </w:t>
      </w:r>
      <w:r>
        <w:rPr>
          <w:rFonts w:ascii="方正小标宋_GBK" w:eastAsia="方正小标宋_GBK" w:hAnsi="方正小标宋_GBK" w:cs="方正小标宋_GBK" w:hint="default"/>
          <w:color w:val="000000"/>
          <w:sz w:val="36"/>
          <w:szCs w:val="36"/>
        </w:rPr>
        <w:t>综合防灾减灾救灾</w:t>
      </w:r>
      <w:bookmarkEnd w:id="76"/>
    </w:p>
    <w:p w14:paraId="5D4573F1" w14:textId="77777777" w:rsidR="00EC2C51" w:rsidRDefault="00A971AA">
      <w:pPr>
        <w:widowControl/>
        <w:jc w:val="center"/>
      </w:pPr>
      <w:r>
        <w:rPr>
          <w:rFonts w:ascii="方正小标宋_GBK" w:eastAsia="方正小标宋_GBK" w:hAnsi="方正小标宋_GBK" w:cs="方正小标宋_GBK"/>
          <w:color w:val="000000"/>
          <w:kern w:val="0"/>
          <w:sz w:val="36"/>
          <w:szCs w:val="36"/>
        </w:rPr>
        <w:t>“十四五”规划</w:t>
      </w:r>
    </w:p>
    <w:p w14:paraId="4C7DCBCD" w14:textId="77777777" w:rsidR="00EC2C51" w:rsidRDefault="00EC2C51">
      <w:pPr>
        <w:pStyle w:val="HTML1"/>
        <w:widowControl/>
        <w:ind w:firstLine="640"/>
        <w:rPr>
          <w:rFonts w:ascii="仿宋_GB2312" w:eastAsia="仿宋_GB2312" w:cs="仿宋_GB2312" w:hint="default"/>
          <w:color w:val="000000"/>
          <w:sz w:val="31"/>
          <w:szCs w:val="31"/>
        </w:rPr>
      </w:pPr>
    </w:p>
    <w:p w14:paraId="11005CDB" w14:textId="77777777" w:rsidR="00EC2C51" w:rsidRDefault="00A971AA">
      <w:pPr>
        <w:pStyle w:val="HTML1"/>
        <w:widowControl/>
        <w:ind w:firstLine="640"/>
        <w:rPr>
          <w:rFonts w:hint="default"/>
        </w:rPr>
      </w:pPr>
      <w:r>
        <w:rPr>
          <w:rFonts w:ascii="仿宋_GB2312" w:eastAsia="仿宋_GB2312" w:cs="仿宋_GB2312"/>
          <w:color w:val="000000"/>
          <w:sz w:val="31"/>
          <w:szCs w:val="31"/>
        </w:rPr>
        <w:t>防灾减灾救灾工作事关人民群众生命财产安全，事关社会和谐稳定，是衡量执政党领导力、检验政府执行力、评判国家动员力的重要方面，是国家治理体系和治理能力现代化的基本要求，是彰显民族凝聚力的重要标志。</w:t>
      </w:r>
    </w:p>
    <w:p w14:paraId="55F6E7D1" w14:textId="343A4684" w:rsidR="00EC2C51" w:rsidRDefault="00A971AA">
      <w:pPr>
        <w:pStyle w:val="HTML1"/>
        <w:widowControl/>
        <w:ind w:firstLine="640"/>
        <w:rPr>
          <w:rFonts w:hint="default"/>
        </w:rPr>
      </w:pPr>
      <w:r>
        <w:rPr>
          <w:rFonts w:ascii="仿宋_GB2312" w:eastAsia="仿宋_GB2312" w:cs="仿宋_GB2312"/>
          <w:color w:val="000000"/>
          <w:sz w:val="31"/>
          <w:szCs w:val="31"/>
        </w:rPr>
        <w:t>本规划是康巴什区“十四五”时期的防灾减灾救灾专项规划。依据《中华人民共和国防震减灾法》、《中华人民共和国防洪法》、《</w:t>
      </w:r>
      <w:r w:rsidR="00ED3EA3" w:rsidRPr="00ED3EA3">
        <w:rPr>
          <w:rFonts w:ascii="仿宋_GB2312" w:eastAsia="仿宋_GB2312" w:cs="仿宋_GB2312"/>
          <w:color w:val="000000"/>
          <w:sz w:val="31"/>
          <w:szCs w:val="31"/>
        </w:rPr>
        <w:t>森林防火条例</w:t>
      </w:r>
      <w:r>
        <w:rPr>
          <w:rFonts w:ascii="仿宋_GB2312" w:eastAsia="仿宋_GB2312" w:cs="仿宋_GB2312"/>
          <w:color w:val="000000"/>
          <w:sz w:val="31"/>
          <w:szCs w:val="31"/>
        </w:rPr>
        <w:t>》、《中华人民共和国地质灾害防治条例》、《自然灾害救助条例》、《中华人民共和国国民经济和社会发展第十四个五年规划和2035年远景目标纲要》、《内蒙古自治区国民经济和社会发展第十四个五年规划和2035年远景目标纲要》、《内蒙古自治区应急体系建设“十四五”规划》、《鄂尔多斯市国民经济和社会发展第十四个五年规划和2035年远景目标纲要》以及有关法律法规，结合康巴什区防灾减灾救灾工作实际，制定本规划。</w:t>
      </w:r>
    </w:p>
    <w:p w14:paraId="7C2827D8" w14:textId="77777777" w:rsidR="00EC2C51" w:rsidRDefault="00A971AA">
      <w:pPr>
        <w:pStyle w:val="HTML1"/>
        <w:widowControl/>
        <w:ind w:firstLine="640"/>
        <w:outlineLvl w:val="0"/>
        <w:rPr>
          <w:rFonts w:hint="default"/>
        </w:rPr>
      </w:pPr>
      <w:bookmarkStart w:id="77" w:name="_Toc32684"/>
      <w:r>
        <w:rPr>
          <w:rFonts w:ascii="黑体" w:eastAsia="黑体" w:cs="黑体"/>
          <w:color w:val="000000"/>
          <w:sz w:val="31"/>
          <w:szCs w:val="31"/>
        </w:rPr>
        <w:t>一、现状与形势</w:t>
      </w:r>
      <w:bookmarkEnd w:id="77"/>
    </w:p>
    <w:p w14:paraId="2B8D9164" w14:textId="77777777" w:rsidR="00EC2C51" w:rsidRDefault="00A971AA">
      <w:pPr>
        <w:pStyle w:val="HTML1"/>
        <w:widowControl/>
        <w:ind w:firstLine="640"/>
        <w:outlineLvl w:val="1"/>
        <w:rPr>
          <w:rFonts w:ascii="楷体_GB2312" w:eastAsia="楷体_GB2312" w:cs="楷体_GB2312" w:hint="default"/>
          <w:color w:val="000000"/>
          <w:sz w:val="31"/>
          <w:szCs w:val="31"/>
        </w:rPr>
      </w:pPr>
      <w:bookmarkStart w:id="78" w:name="_Toc18331"/>
      <w:r>
        <w:rPr>
          <w:rFonts w:ascii="楷体_GB2312" w:eastAsia="楷体_GB2312" w:cs="楷体_GB2312"/>
          <w:color w:val="000000"/>
          <w:sz w:val="31"/>
          <w:szCs w:val="31"/>
        </w:rPr>
        <w:t>（一）发展现状</w:t>
      </w:r>
      <w:bookmarkEnd w:id="78"/>
    </w:p>
    <w:p w14:paraId="710F6FFC" w14:textId="77777777" w:rsidR="00EC2C51" w:rsidRDefault="00A971AA">
      <w:pPr>
        <w:pStyle w:val="HTML1"/>
        <w:widowControl/>
        <w:ind w:firstLine="640"/>
        <w:rPr>
          <w:rFonts w:hint="default"/>
        </w:rPr>
      </w:pPr>
      <w:r>
        <w:rPr>
          <w:rFonts w:ascii="仿宋_GB2312" w:eastAsia="仿宋_GB2312" w:cs="仿宋_GB2312"/>
          <w:color w:val="000000"/>
          <w:sz w:val="31"/>
          <w:szCs w:val="31"/>
        </w:rPr>
        <w:t>1.设区以来的建设成效。设区期间，康巴什区在区委、区政府的正确领导下，主动寻求防灾减灾救灾的有效途径，积极</w:t>
      </w:r>
      <w:r>
        <w:rPr>
          <w:rFonts w:ascii="仿宋_GB2312" w:eastAsia="仿宋_GB2312" w:cs="仿宋_GB2312"/>
          <w:color w:val="000000"/>
          <w:sz w:val="31"/>
          <w:szCs w:val="31"/>
        </w:rPr>
        <w:lastRenderedPageBreak/>
        <w:t>争取上级政府支持，广泛动员社会参与，大力引导灾区群众生产自救，全力保障受灾群众的基本生活，最大限度地减轻各类自然灾害造成的损失。</w:t>
      </w:r>
    </w:p>
    <w:p w14:paraId="7847FB66" w14:textId="77777777" w:rsidR="00EC2C51" w:rsidRDefault="00A971AA">
      <w:pPr>
        <w:pStyle w:val="HTML1"/>
        <w:widowControl/>
        <w:ind w:firstLine="640"/>
        <w:rPr>
          <w:rFonts w:hint="default"/>
        </w:rPr>
      </w:pPr>
      <w:r>
        <w:rPr>
          <w:rFonts w:ascii="仿宋_GB2312" w:eastAsia="仿宋_GB2312" w:cs="仿宋_GB2312"/>
          <w:color w:val="000000"/>
          <w:sz w:val="31"/>
          <w:szCs w:val="31"/>
        </w:rPr>
        <w:t>“防、减、救”灾害体制机制基本健全。初步建立了以减灾委员会为主体，政府统一领导、部门分工负责、属地管理为主的灾害管理体制。成立防汛抗旱指挥部及抗震救灾指挥部，各</w:t>
      </w:r>
      <w:proofErr w:type="gramStart"/>
      <w:r>
        <w:rPr>
          <w:rFonts w:ascii="仿宋_GB2312" w:eastAsia="仿宋_GB2312" w:cs="仿宋_GB2312"/>
          <w:color w:val="000000"/>
          <w:sz w:val="31"/>
          <w:szCs w:val="31"/>
        </w:rPr>
        <w:t>涉灾部门</w:t>
      </w:r>
      <w:proofErr w:type="gramEnd"/>
      <w:r>
        <w:rPr>
          <w:rFonts w:ascii="仿宋_GB2312" w:eastAsia="仿宋_GB2312" w:cs="仿宋_GB2312"/>
          <w:color w:val="000000"/>
          <w:sz w:val="31"/>
          <w:szCs w:val="31"/>
        </w:rPr>
        <w:t>紧密配合，建立起相应的应急联动和协作机制。</w:t>
      </w:r>
    </w:p>
    <w:p w14:paraId="7C8464C6" w14:textId="77777777" w:rsidR="00EC2C51" w:rsidRDefault="00A971AA">
      <w:pPr>
        <w:pStyle w:val="HTML1"/>
        <w:widowControl/>
        <w:ind w:firstLine="640"/>
        <w:rPr>
          <w:rFonts w:ascii="仿宋_GB2312" w:eastAsia="仿宋_GB2312" w:cs="仿宋_GB2312" w:hint="default"/>
          <w:color w:val="000000"/>
          <w:sz w:val="31"/>
          <w:szCs w:val="31"/>
        </w:rPr>
      </w:pPr>
      <w:r>
        <w:rPr>
          <w:rFonts w:ascii="仿宋_GB2312" w:eastAsia="仿宋_GB2312" w:cs="仿宋_GB2312"/>
          <w:color w:val="000000"/>
          <w:sz w:val="31"/>
          <w:szCs w:val="31"/>
        </w:rPr>
        <w:t>灾害应急预案体系得到完善。对《鄂尔多斯市康巴什区自然灾害救助应急预案》、《鄂尔多斯市康巴什区地震应急预案》、《鄂尔多斯市康巴什区突发地质灾害应急预案》进行了修订，并组织开展了三项应急预案的专家评审会，为提高全区应急能力奠定了坚实基础。</w:t>
      </w:r>
    </w:p>
    <w:p w14:paraId="7E1AEF58" w14:textId="77777777" w:rsidR="00EC2C51" w:rsidRDefault="00A971AA">
      <w:pPr>
        <w:pStyle w:val="HTML1"/>
        <w:widowControl/>
        <w:ind w:firstLine="640"/>
        <w:rPr>
          <w:rFonts w:hint="default"/>
        </w:rPr>
      </w:pPr>
      <w:r>
        <w:rPr>
          <w:rFonts w:ascii="仿宋_GB2312" w:eastAsia="仿宋_GB2312" w:cs="仿宋_GB2312"/>
          <w:color w:val="000000"/>
          <w:sz w:val="31"/>
          <w:szCs w:val="31"/>
        </w:rPr>
        <w:t>防灾减灾综合能力有所提升。康巴什区全面摸排常住人口、森林草原亩数、品种等底数，为灾情救助提供前期数据支撑。减灾委成员单位不断完善覆盖各类自然灾害的监测预警体系，实施矿区地质灾害危险性评估、重点火险区综合治理工程等预警监测项目。加强监测预警类设备投入，做到24小时动态监测天气及水库水量情况。除险加固 2座淤地坝，治理1条河道，有效提升了防汛抗旱能力。森林草原火灾24小时内扑灭率达100%，森林草原灭火作战能力大幅提升。地质灾害隐患排查整改率100%，防震减灾能力稳步提升。林业无公害</w:t>
      </w:r>
      <w:r>
        <w:rPr>
          <w:rFonts w:ascii="仿宋_GB2312" w:eastAsia="仿宋_GB2312" w:cs="仿宋_GB2312"/>
          <w:color w:val="000000"/>
          <w:sz w:val="31"/>
          <w:szCs w:val="31"/>
        </w:rPr>
        <w:lastRenderedPageBreak/>
        <w:t>防治率达100%，连续四年无林业成灾情况，林业有害生物防治能力显著提升。</w:t>
      </w:r>
    </w:p>
    <w:p w14:paraId="6A5D0711" w14:textId="77777777" w:rsidR="00EC2C51" w:rsidRDefault="00A971AA">
      <w:pPr>
        <w:pStyle w:val="HTML1"/>
        <w:widowControl/>
        <w:ind w:firstLine="640"/>
        <w:rPr>
          <w:rFonts w:hint="default"/>
        </w:rPr>
      </w:pPr>
      <w:r>
        <w:rPr>
          <w:rFonts w:ascii="仿宋_GB2312" w:eastAsia="仿宋_GB2312" w:cs="仿宋_GB2312"/>
          <w:color w:val="000000"/>
          <w:sz w:val="31"/>
          <w:szCs w:val="31"/>
        </w:rPr>
        <w:t>多方救灾能力不断提高。康巴什区形成了以综合应急救援总队为骨干，以部门、行业、预备役部队和民兵应急救援力量为补充，以社会力量为辅助的应急救援队伍体系。现有应急救援队伍包括消防救援大队、森林草原防灭火队伍、红十字会、医疗救护、水电暖气、通信抢修等13支专业应急救援队伍，蓝天救援队等综合救援队伍。各救援队伍共开展各类应急演练</w:t>
      </w:r>
      <w:proofErr w:type="gramStart"/>
      <w:r>
        <w:rPr>
          <w:rFonts w:ascii="仿宋_GB2312" w:eastAsia="仿宋_GB2312" w:cs="仿宋_GB2312"/>
          <w:color w:val="000000"/>
          <w:sz w:val="31"/>
          <w:szCs w:val="31"/>
        </w:rPr>
        <w:t>48余次</w:t>
      </w:r>
      <w:proofErr w:type="gramEnd"/>
      <w:r>
        <w:rPr>
          <w:rFonts w:ascii="仿宋_GB2312" w:eastAsia="仿宋_GB2312" w:cs="仿宋_GB2312"/>
          <w:color w:val="000000"/>
          <w:sz w:val="31"/>
          <w:szCs w:val="31"/>
        </w:rPr>
        <w:t>，应急反应能力显著提高。</w:t>
      </w:r>
    </w:p>
    <w:p w14:paraId="0DE4FA02" w14:textId="77777777" w:rsidR="00EC2C51" w:rsidRDefault="00A971AA">
      <w:pPr>
        <w:pStyle w:val="HTML1"/>
        <w:widowControl/>
        <w:ind w:firstLine="640"/>
        <w:rPr>
          <w:rFonts w:ascii="仿宋_GB2312" w:eastAsia="仿宋_GB2312" w:cs="仿宋_GB2312" w:hint="default"/>
          <w:color w:val="000000"/>
          <w:sz w:val="31"/>
          <w:szCs w:val="31"/>
        </w:rPr>
      </w:pPr>
      <w:r>
        <w:rPr>
          <w:rFonts w:ascii="仿宋_GB2312" w:eastAsia="仿宋_GB2312" w:cs="仿宋_GB2312"/>
          <w:color w:val="000000"/>
          <w:sz w:val="31"/>
          <w:szCs w:val="31"/>
        </w:rPr>
        <w:t>全区防灾减灾意识逐步增强。康巴什区建成 3个综合性应急避难场所。全区共有 42名灾害信息员，建成比较完善的“区-街道-社区”三级灾害信息员队伍体系。以“防灾减灾日”等为契机，开展张贴海报、设立防灾减灾咨询台、连线交通广播电台，放映影片等多种形式的防灾减灾科普教育活动，发放防灾减灾科普读物3500余册。开展进社区活动，对居民进行地震科普宣传。做到科普宣传全覆盖，初步形成了涵盖传统媒体、户外媒体和网络媒体的立体宣教网络，社会参与度不断提升，居民防灾减灾救灾意识及预防和处理突发事件的能力明显增强。</w:t>
      </w:r>
    </w:p>
    <w:p w14:paraId="2457E89C" w14:textId="77777777" w:rsidR="00EC2C51" w:rsidRDefault="00A971AA">
      <w:pPr>
        <w:pStyle w:val="HTML1"/>
        <w:widowControl/>
        <w:ind w:firstLine="640"/>
        <w:rPr>
          <w:rFonts w:hint="default"/>
        </w:rPr>
      </w:pPr>
      <w:r>
        <w:rPr>
          <w:rFonts w:ascii="仿宋_GB2312" w:eastAsia="仿宋_GB2312" w:cs="仿宋_GB2312"/>
          <w:color w:val="000000"/>
          <w:sz w:val="31"/>
          <w:szCs w:val="31"/>
        </w:rPr>
        <w:t>2.设区以来存在问题。与其他旗区相比，康巴什区的防灾减灾救灾能力还存在一定差距。一是综合统筹联动不够。各灾种分散管理，缺少规划统筹指引；各部门之间存在信息分割、</w:t>
      </w:r>
      <w:r>
        <w:rPr>
          <w:rFonts w:ascii="仿宋_GB2312" w:eastAsia="仿宋_GB2312" w:cs="仿宋_GB2312"/>
          <w:color w:val="000000"/>
          <w:sz w:val="31"/>
          <w:szCs w:val="31"/>
        </w:rPr>
        <w:lastRenderedPageBreak/>
        <w:t>资源分散、衔接不畅的问题，应急救援联动机制有待完善；各类自然灾害的应急预案体系和专项规划方案需进一步健全。二是财政投入能力不足。气象监测预警设备仍然薄弱，预警信息准确率较低。救援装备相对薄弱，只能满足基本救援所需。信息传播手段较为落后，预警信息不能及时全部覆盖。灾害信息员队伍和防灾减灾志愿者队伍建设处于起步阶段，专业化能力有待加强。三是科技支撑能力有限。森林、气象、水利监测预警体系台站、网点布局有待补充优化；预测预报的准确性和精细化程度有待提高。信息共享能力仍显不足，信息化统一平台需要投入使用。四是综合保障能力薄弱。部分街道社区基础设施设防标准偏低；淤地坝、病险水库加固工程开展较慢，防洪排涝能力不够；各部门联合开展防灾减灾宣传次数较少，公众的防灾减灾意识不强；专业化队伍建设滞后，救援队伍的扑救能力不强；社会力量和市场机制作用尚未得到充分发挥。</w:t>
      </w:r>
    </w:p>
    <w:p w14:paraId="5B835FE5" w14:textId="77777777" w:rsidR="00EC2C51" w:rsidRDefault="00A971AA">
      <w:pPr>
        <w:pStyle w:val="HTML1"/>
        <w:widowControl/>
        <w:ind w:firstLine="640"/>
        <w:outlineLvl w:val="1"/>
        <w:rPr>
          <w:rFonts w:ascii="楷体_GB2312" w:eastAsia="楷体_GB2312" w:cs="楷体_GB2312" w:hint="default"/>
          <w:color w:val="000000"/>
          <w:sz w:val="31"/>
          <w:szCs w:val="31"/>
        </w:rPr>
      </w:pPr>
      <w:bookmarkStart w:id="79" w:name="_Toc15626"/>
      <w:r>
        <w:rPr>
          <w:rFonts w:ascii="楷体_GB2312" w:eastAsia="楷体_GB2312" w:cs="楷体_GB2312"/>
          <w:color w:val="000000"/>
          <w:sz w:val="31"/>
          <w:szCs w:val="31"/>
        </w:rPr>
        <w:t>（二）“十四五”形势与挑战</w:t>
      </w:r>
      <w:bookmarkEnd w:id="79"/>
    </w:p>
    <w:p w14:paraId="5A02A902" w14:textId="77777777" w:rsidR="00EC2C51" w:rsidRDefault="00A971AA">
      <w:pPr>
        <w:pStyle w:val="HTML1"/>
        <w:widowControl/>
        <w:ind w:firstLine="640"/>
        <w:rPr>
          <w:rFonts w:hint="default"/>
        </w:rPr>
      </w:pPr>
      <w:r>
        <w:rPr>
          <w:rFonts w:ascii="仿宋_GB2312" w:eastAsia="仿宋_GB2312" w:cs="仿宋_GB2312"/>
          <w:color w:val="000000"/>
          <w:sz w:val="31"/>
          <w:szCs w:val="31"/>
        </w:rPr>
        <w:t>1.“十四五”时期面对的形势。全面审视和准确把握内外部环境条件的深刻变化，是谋划好当前及今后一个时期工作的前提。在当前形势下，适应经济新常态、认清发展新趋势是提高防灾减灾救灾能力的大逻辑。首先，“十四五”时期是我国实现第二个百年奋斗目标的第一个五年，是深入贯彻习近平新时代中国特色社会主义思想和党的十九大精神的第一个五年。党的十九大以来，以习近平同志为核心的党中央多次就防灾减</w:t>
      </w:r>
      <w:r>
        <w:rPr>
          <w:rFonts w:ascii="仿宋_GB2312" w:eastAsia="仿宋_GB2312" w:cs="仿宋_GB2312"/>
          <w:color w:val="000000"/>
          <w:sz w:val="31"/>
          <w:szCs w:val="31"/>
        </w:rPr>
        <w:lastRenderedPageBreak/>
        <w:t>灾救灾工作</w:t>
      </w:r>
      <w:proofErr w:type="gramStart"/>
      <w:r>
        <w:rPr>
          <w:rFonts w:ascii="仿宋_GB2312" w:eastAsia="仿宋_GB2312" w:cs="仿宋_GB2312"/>
          <w:color w:val="000000"/>
          <w:sz w:val="31"/>
          <w:szCs w:val="31"/>
        </w:rPr>
        <w:t>作出</w:t>
      </w:r>
      <w:proofErr w:type="gramEnd"/>
      <w:r>
        <w:rPr>
          <w:rFonts w:ascii="仿宋_GB2312" w:eastAsia="仿宋_GB2312" w:cs="仿宋_GB2312"/>
          <w:color w:val="000000"/>
          <w:sz w:val="31"/>
          <w:szCs w:val="31"/>
        </w:rPr>
        <w:t>重要指示，提出了一系列新理念新思路新战略，深刻回答了我国防灾减灾救灾重大理论和实践问题，为新时代防灾减灾救灾工作指明了方向、提供了重要遵循。</w:t>
      </w:r>
    </w:p>
    <w:p w14:paraId="331AA33E" w14:textId="77777777" w:rsidR="00EC2C51" w:rsidRDefault="00A971AA">
      <w:pPr>
        <w:pStyle w:val="HTML1"/>
        <w:widowControl/>
        <w:ind w:firstLine="640"/>
        <w:rPr>
          <w:rFonts w:ascii="仿宋_GB2312" w:eastAsia="仿宋_GB2312" w:cs="仿宋_GB2312" w:hint="default"/>
          <w:color w:val="000000"/>
          <w:sz w:val="31"/>
          <w:szCs w:val="31"/>
        </w:rPr>
      </w:pPr>
      <w:r>
        <w:rPr>
          <w:rFonts w:ascii="仿宋_GB2312" w:eastAsia="仿宋_GB2312" w:cs="仿宋_GB2312"/>
          <w:color w:val="000000"/>
          <w:sz w:val="31"/>
          <w:szCs w:val="31"/>
        </w:rPr>
        <w:t>随着经济社会发展进一步提质增效，产业结构进一步优化升级，城区面貌将焕然一新，历史遗留短板将得到本质改变，城市</w:t>
      </w:r>
      <w:proofErr w:type="gramStart"/>
      <w:r>
        <w:rPr>
          <w:rFonts w:ascii="仿宋_GB2312" w:eastAsia="仿宋_GB2312" w:cs="仿宋_GB2312"/>
          <w:color w:val="000000"/>
          <w:sz w:val="31"/>
          <w:szCs w:val="31"/>
        </w:rPr>
        <w:t>安全发展</w:t>
      </w:r>
      <w:proofErr w:type="gramEnd"/>
      <w:r>
        <w:rPr>
          <w:rFonts w:ascii="仿宋_GB2312" w:eastAsia="仿宋_GB2312" w:cs="仿宋_GB2312"/>
          <w:color w:val="000000"/>
          <w:sz w:val="31"/>
          <w:szCs w:val="31"/>
        </w:rPr>
        <w:t>环境会得到显著优化，防灾减灾救灾能力将进一步提升。此外，新基建带来科技发展的新机遇，随着新科技、新产品的推广应用，自然灾害的预警预报、监管效能、应急救援、风险防治等科技化水平得到有效提升。新冠疫情的成功应对也给基层防灾减灾救灾提供了宝贵的治理经验，为筑牢防灾减灾救灾人民防线打下坚实的基础。康巴什区在“十四五”期间逐步推进国家</w:t>
      </w:r>
      <w:proofErr w:type="gramStart"/>
      <w:r>
        <w:rPr>
          <w:rFonts w:ascii="仿宋_GB2312" w:eastAsia="仿宋_GB2312" w:cs="仿宋_GB2312"/>
          <w:color w:val="000000"/>
          <w:sz w:val="31"/>
          <w:szCs w:val="31"/>
        </w:rPr>
        <w:t>安全发展</w:t>
      </w:r>
      <w:proofErr w:type="gramEnd"/>
      <w:r>
        <w:rPr>
          <w:rFonts w:ascii="仿宋_GB2312" w:eastAsia="仿宋_GB2312" w:cs="仿宋_GB2312"/>
          <w:color w:val="000000"/>
          <w:sz w:val="31"/>
          <w:szCs w:val="31"/>
        </w:rPr>
        <w:t>示范城市建设，需紧抓发展机遇，集中统筹各方力量，统筹谋划防灾减灾救灾工作，确保“十四五”期间实现防灾减灾救灾能力的跨越发展。</w:t>
      </w:r>
    </w:p>
    <w:p w14:paraId="1FF5627C" w14:textId="77777777" w:rsidR="00EC2C51" w:rsidRDefault="00A971AA">
      <w:pPr>
        <w:pStyle w:val="HTML1"/>
        <w:widowControl/>
        <w:ind w:firstLine="640"/>
        <w:rPr>
          <w:rFonts w:hint="default"/>
        </w:rPr>
      </w:pPr>
      <w:r>
        <w:rPr>
          <w:rFonts w:ascii="仿宋_GB2312" w:eastAsia="仿宋_GB2312" w:cs="仿宋_GB2312"/>
          <w:color w:val="000000"/>
          <w:sz w:val="31"/>
          <w:szCs w:val="31"/>
        </w:rPr>
        <w:t>2.“十四五”面临的挑战。防灾减灾救灾工作作为公共安全体系的重要组成部分，事关人民群众生命财产安全和社会和谐稳定，由于康巴什区特殊的地理环境、日益复杂严峻的灾害形势，面临的任务繁重而艰巨。一是防灾减灾救灾基础相对薄弱。防灾减灾救灾体制机制和法规制度体系有待完善，预警预报系统需要进一步提高；应急救灾物资储备种类、数量有待补充；救灾应急装备、技术手段、通信和应急广播设施相对滞后；各级灾害信息管理人员业务能力亟需进一步提升；防灾减灾救</w:t>
      </w:r>
      <w:r>
        <w:rPr>
          <w:rFonts w:ascii="仿宋_GB2312" w:eastAsia="仿宋_GB2312" w:cs="仿宋_GB2312"/>
          <w:color w:val="000000"/>
          <w:sz w:val="31"/>
          <w:szCs w:val="31"/>
        </w:rPr>
        <w:lastRenderedPageBreak/>
        <w:t>灾专家队伍建设有待进一步加强；社会力量和市场机制作用有待进一步发挥；宣传教育有待进一步深入。二是自然灾害对社会经济影响日益突出。受全球气候变化和人类活动等因素影响，自然灾害的突发性、反常性和复杂性有所增加，康巴什区干旱、冰雹等异常情况的可能性始终存在，有害生物对农林生产和生态环境可能造成较大危害，威胁全区经济社会发展和城市运行。此外，城镇基础设施承载负荷不断加大，各类灾害对城市的影响日趋严重。农牧居民自身抵御自然灾害的能力较为薄弱，受自然灾害影响较大，部分农牧居民可能会因灾致贫。区域性自然灾害极易通过灾害链等放大影响范围，造成更大的损失，提高防灾减灾救灾区域协作能力的迫切性日益突出。</w:t>
      </w:r>
    </w:p>
    <w:p w14:paraId="23CFE42C" w14:textId="77777777" w:rsidR="00EC2C51" w:rsidRDefault="00A971AA">
      <w:pPr>
        <w:pStyle w:val="HTML1"/>
        <w:widowControl/>
        <w:ind w:firstLine="640"/>
        <w:outlineLvl w:val="0"/>
        <w:rPr>
          <w:rFonts w:hint="default"/>
        </w:rPr>
      </w:pPr>
      <w:bookmarkStart w:id="80" w:name="_Toc31866"/>
      <w:r>
        <w:rPr>
          <w:rFonts w:ascii="黑体" w:eastAsia="黑体" w:cs="黑体"/>
          <w:color w:val="000000"/>
          <w:sz w:val="31"/>
          <w:szCs w:val="31"/>
        </w:rPr>
        <w:t>二、指导思想、原则与目标</w:t>
      </w:r>
      <w:bookmarkEnd w:id="80"/>
    </w:p>
    <w:p w14:paraId="79713D81" w14:textId="77777777" w:rsidR="00EC2C51" w:rsidRDefault="00A971AA">
      <w:pPr>
        <w:pStyle w:val="HTML1"/>
        <w:widowControl/>
        <w:ind w:firstLine="640"/>
        <w:outlineLvl w:val="1"/>
        <w:rPr>
          <w:rFonts w:ascii="楷体_GB2312" w:eastAsia="楷体_GB2312" w:cs="楷体_GB2312" w:hint="default"/>
          <w:color w:val="000000"/>
          <w:sz w:val="31"/>
          <w:szCs w:val="31"/>
        </w:rPr>
      </w:pPr>
      <w:bookmarkStart w:id="81" w:name="_Toc2207"/>
      <w:r>
        <w:rPr>
          <w:rFonts w:ascii="楷体_GB2312" w:eastAsia="楷体_GB2312" w:cs="楷体_GB2312"/>
          <w:color w:val="000000"/>
          <w:sz w:val="31"/>
          <w:szCs w:val="31"/>
        </w:rPr>
        <w:t>（一）指导思想</w:t>
      </w:r>
      <w:bookmarkEnd w:id="81"/>
    </w:p>
    <w:p w14:paraId="08516FAF" w14:textId="77777777" w:rsidR="00EC2C51" w:rsidRDefault="00A971AA">
      <w:pPr>
        <w:pStyle w:val="HTML1"/>
        <w:widowControl/>
        <w:ind w:firstLine="640"/>
        <w:rPr>
          <w:rFonts w:hint="default"/>
        </w:rPr>
      </w:pPr>
      <w:r>
        <w:rPr>
          <w:rFonts w:ascii="仿宋_GB2312" w:eastAsia="仿宋_GB2312" w:cs="仿宋_GB2312"/>
          <w:color w:val="000000"/>
          <w:sz w:val="31"/>
          <w:szCs w:val="31"/>
        </w:rPr>
        <w:t>以习近平新时代中国特色社会主义思想为指导，全面贯彻党的十九大和十九届二中、三中、四中、五中、六中全会精神，以及习近平总书记关于防灾减灾救灾的重要指示精神。坚持党的集中统一领导，坚持“人民至上、生命至上”原则；坚持以防为主、防抗救相结合，常态减灾与非常态救灾相统一；坚持从注重灾后救助向注重灾前预防转变，从应对单一灾种向综合减灾转变，从减少灾害损失向减轻灾害风险转变；坚持源头治理、综合治理、依法治理、精准治理；坚持底线思维、有备无患，统筹谋划、突出重点，分步实施、持续推进；着力构建与</w:t>
      </w:r>
      <w:r>
        <w:rPr>
          <w:rFonts w:ascii="仿宋_GB2312" w:eastAsia="仿宋_GB2312" w:cs="仿宋_GB2312"/>
          <w:color w:val="000000"/>
          <w:sz w:val="31"/>
          <w:szCs w:val="31"/>
        </w:rPr>
        <w:lastRenderedPageBreak/>
        <w:t>康巴什区经济社会发展新阶段相适应的防灾减灾救灾体制机制，全面提升抵御自然灾害的综合防范能力，切实维护人民群众生命财产安全；为促进康巴什区经济发展、民生改善、生态文明和社会稳定提供坚实保障。</w:t>
      </w:r>
    </w:p>
    <w:p w14:paraId="37363CC1" w14:textId="77777777" w:rsidR="00EC2C51" w:rsidRDefault="00A971AA">
      <w:pPr>
        <w:pStyle w:val="HTML1"/>
        <w:widowControl/>
        <w:ind w:firstLine="640"/>
        <w:outlineLvl w:val="1"/>
        <w:rPr>
          <w:rFonts w:hint="default"/>
        </w:rPr>
      </w:pPr>
      <w:bookmarkStart w:id="82" w:name="_Toc18372"/>
      <w:r>
        <w:rPr>
          <w:rFonts w:ascii="楷体_GB2312" w:eastAsia="楷体_GB2312" w:cs="楷体_GB2312"/>
          <w:color w:val="000000"/>
          <w:sz w:val="31"/>
          <w:szCs w:val="31"/>
        </w:rPr>
        <w:t>（二）基本原则</w:t>
      </w:r>
      <w:bookmarkEnd w:id="82"/>
    </w:p>
    <w:p w14:paraId="36C58A16" w14:textId="77777777" w:rsidR="00EC2C51" w:rsidRDefault="00A971AA">
      <w:pPr>
        <w:pStyle w:val="HTML1"/>
        <w:widowControl/>
        <w:ind w:firstLine="640"/>
        <w:rPr>
          <w:rFonts w:hint="default"/>
        </w:rPr>
      </w:pPr>
      <w:r>
        <w:rPr>
          <w:rFonts w:ascii="仿宋_GB2312" w:eastAsia="仿宋_GB2312" w:cs="仿宋_GB2312"/>
          <w:color w:val="000000"/>
          <w:sz w:val="31"/>
          <w:szCs w:val="31"/>
        </w:rPr>
        <w:t>1.以人为本，减少危害。切实履行政府的社会管理和公共服务职能，坚持生命至上、安全第一，把保障公众生命财产安全作为首要任务，最大程度减少自然灾害及各类突发事件造成的人员伤亡和危害。</w:t>
      </w:r>
    </w:p>
    <w:p w14:paraId="534F3CE4" w14:textId="77777777" w:rsidR="00EC2C51" w:rsidRDefault="00A971AA">
      <w:pPr>
        <w:pStyle w:val="HTML1"/>
        <w:widowControl/>
        <w:ind w:firstLine="640"/>
        <w:rPr>
          <w:rFonts w:ascii="仿宋_GB2312" w:eastAsia="仿宋_GB2312" w:cs="仿宋_GB2312" w:hint="default"/>
          <w:color w:val="000000"/>
          <w:sz w:val="31"/>
          <w:szCs w:val="31"/>
        </w:rPr>
      </w:pPr>
      <w:r>
        <w:rPr>
          <w:rFonts w:ascii="仿宋_GB2312" w:eastAsia="仿宋_GB2312" w:cs="仿宋_GB2312"/>
          <w:color w:val="000000"/>
          <w:sz w:val="31"/>
          <w:szCs w:val="31"/>
        </w:rPr>
        <w:t>2.居安思危，预防为主。高度重视防灾减灾工作，增强隐患意识和风险意识，常抓不懈，防患于未然。坚持预防与应急相结合，坚持常态减灾与非常态救灾相结合，牢固树立底线思维，做好应对突发事件的各项准备工作。</w:t>
      </w:r>
    </w:p>
    <w:p w14:paraId="21DFDAEF" w14:textId="77777777" w:rsidR="00EC2C51" w:rsidRDefault="00A971AA">
      <w:pPr>
        <w:pStyle w:val="HTML1"/>
        <w:widowControl/>
        <w:ind w:firstLine="640"/>
        <w:rPr>
          <w:rFonts w:hint="default"/>
        </w:rPr>
      </w:pPr>
      <w:r>
        <w:rPr>
          <w:rFonts w:ascii="仿宋_GB2312" w:eastAsia="仿宋_GB2312" w:cs="仿宋_GB2312"/>
          <w:color w:val="000000"/>
          <w:sz w:val="31"/>
          <w:szCs w:val="31"/>
        </w:rPr>
        <w:t>3.统一领导，依法规范。在应急管理局的领导下，充分发挥专业应急指挥机构及各部门、各单位的作用。依据有关法律法规，加强应急管理，维护公众的合法权益，使突发事件应对工作更加科学化、规范化、制度化。</w:t>
      </w:r>
    </w:p>
    <w:p w14:paraId="23DED014" w14:textId="77777777" w:rsidR="00EC2C51" w:rsidRDefault="00A971AA">
      <w:pPr>
        <w:pStyle w:val="HTML1"/>
        <w:widowControl/>
        <w:ind w:firstLine="640"/>
        <w:rPr>
          <w:rFonts w:hint="default"/>
        </w:rPr>
      </w:pPr>
      <w:r>
        <w:rPr>
          <w:rFonts w:ascii="仿宋_GB2312" w:eastAsia="仿宋_GB2312" w:cs="仿宋_GB2312"/>
          <w:color w:val="000000"/>
          <w:sz w:val="31"/>
          <w:szCs w:val="31"/>
        </w:rPr>
        <w:t>4.快速反应，协同应对。加强应急队伍建设，健全和完善应急处置快速反应机制。依靠社会力量，充分动员和发挥社区、企业、机构、社会组织的作用，建立协同应对机制，形成统一指挥、反应灵敏、功能齐全、协调有序、运转高效的应急管理机制。</w:t>
      </w:r>
    </w:p>
    <w:p w14:paraId="35E14D28" w14:textId="77777777" w:rsidR="00EC2C51" w:rsidRDefault="00A971AA">
      <w:pPr>
        <w:pStyle w:val="HTML1"/>
        <w:widowControl/>
        <w:ind w:firstLine="640"/>
        <w:rPr>
          <w:rFonts w:hint="default"/>
        </w:rPr>
      </w:pPr>
      <w:r>
        <w:rPr>
          <w:rFonts w:ascii="仿宋_GB2312" w:eastAsia="仿宋_GB2312" w:cs="仿宋_GB2312"/>
          <w:color w:val="000000"/>
          <w:sz w:val="31"/>
          <w:szCs w:val="31"/>
        </w:rPr>
        <w:lastRenderedPageBreak/>
        <w:t>5.整合资源，突出重点。充分利用政府和社会应急资源，优化人员、物资、装备等资源的配置。重点加强基础设施防灾减灾、监测预警、应急指挥协调、信息与资源管理、社会协同应对、区域联动与资源共享等方面的能力建设。</w:t>
      </w:r>
    </w:p>
    <w:p w14:paraId="1F59D2B9" w14:textId="77777777" w:rsidR="00EC2C51" w:rsidRDefault="00A971AA">
      <w:pPr>
        <w:pStyle w:val="HTML1"/>
        <w:widowControl/>
        <w:ind w:firstLine="640"/>
        <w:rPr>
          <w:rFonts w:hint="default"/>
        </w:rPr>
      </w:pPr>
      <w:r>
        <w:rPr>
          <w:rFonts w:ascii="仿宋_GB2312" w:eastAsia="仿宋_GB2312" w:cs="仿宋_GB2312"/>
          <w:color w:val="000000"/>
          <w:sz w:val="31"/>
          <w:szCs w:val="31"/>
        </w:rPr>
        <w:t>6.依靠科技，提高能力。采用先进的监测、预测、预警、决策和应急处置技术及装备设施，充分发挥专家队伍和专业人员的作用，提高应对突发事件的科技水平。加强宣传和培训教育工作，增强公众忧患意识和自救互救能力，提高应对各类突发事件的综合素质。</w:t>
      </w:r>
    </w:p>
    <w:p w14:paraId="53F5B8DB" w14:textId="77777777" w:rsidR="00EC2C51" w:rsidRDefault="00A971AA">
      <w:pPr>
        <w:pStyle w:val="HTML1"/>
        <w:widowControl/>
        <w:ind w:firstLine="640"/>
        <w:outlineLvl w:val="1"/>
        <w:rPr>
          <w:rFonts w:hint="default"/>
        </w:rPr>
      </w:pPr>
      <w:bookmarkStart w:id="83" w:name="_Toc22216"/>
      <w:r>
        <w:rPr>
          <w:rFonts w:ascii="楷体_GB2312" w:eastAsia="楷体_GB2312" w:cs="楷体_GB2312"/>
          <w:color w:val="000000"/>
          <w:sz w:val="31"/>
          <w:szCs w:val="31"/>
        </w:rPr>
        <w:t>（三）规划目标</w:t>
      </w:r>
      <w:bookmarkEnd w:id="83"/>
    </w:p>
    <w:p w14:paraId="14C18580" w14:textId="77777777" w:rsidR="00EC2C51" w:rsidRDefault="00A971AA">
      <w:pPr>
        <w:pStyle w:val="HTML1"/>
        <w:widowControl/>
        <w:ind w:firstLine="640"/>
        <w:rPr>
          <w:rFonts w:ascii="仿宋_GB2312" w:eastAsia="仿宋_GB2312" w:cs="仿宋_GB2312" w:hint="default"/>
          <w:color w:val="000000"/>
          <w:sz w:val="31"/>
          <w:szCs w:val="31"/>
        </w:rPr>
      </w:pPr>
      <w:r>
        <w:rPr>
          <w:rFonts w:ascii="仿宋_GB2312" w:eastAsia="仿宋_GB2312" w:cs="仿宋_GB2312"/>
          <w:color w:val="000000"/>
          <w:sz w:val="31"/>
          <w:szCs w:val="31"/>
        </w:rPr>
        <w:t>1.总体目标。到2025年，康巴什区防灾减灾救灾体制机制和制度体系基本健全，防灾减灾基础设施配备完善，自然灾害损失明显降低，物资储备体系明显完善，防灾减灾救灾能力显著提升，灾害风险意识、安全观念、社会安全感明显增强，人民生命安全和财产安全得到有力保障，防灾减灾救灾总体形势达到鄂尔多斯市领先水平。</w:t>
      </w:r>
    </w:p>
    <w:p w14:paraId="5F2B2E1B" w14:textId="77777777" w:rsidR="00EC2C51" w:rsidRDefault="00A971AA">
      <w:pPr>
        <w:pStyle w:val="HTML1"/>
        <w:widowControl/>
        <w:ind w:firstLine="640"/>
        <w:outlineLvl w:val="2"/>
        <w:rPr>
          <w:rFonts w:hint="default"/>
        </w:rPr>
      </w:pPr>
      <w:bookmarkStart w:id="84" w:name="_Toc7890"/>
      <w:r>
        <w:rPr>
          <w:rFonts w:ascii="仿宋_GB2312" w:eastAsia="仿宋_GB2312" w:cs="仿宋_GB2312"/>
          <w:color w:val="000000"/>
          <w:sz w:val="31"/>
          <w:szCs w:val="31"/>
        </w:rPr>
        <w:t>2.具体分类目标</w:t>
      </w:r>
      <w:bookmarkEnd w:id="84"/>
    </w:p>
    <w:p w14:paraId="16949AE7" w14:textId="77777777" w:rsidR="00EC2C51" w:rsidRDefault="00A971AA">
      <w:pPr>
        <w:pStyle w:val="HTML1"/>
        <w:widowControl/>
        <w:jc w:val="center"/>
        <w:outlineLvl w:val="0"/>
        <w:rPr>
          <w:rFonts w:hint="default"/>
          <w:b/>
          <w:bCs/>
          <w:color w:val="000000"/>
        </w:rPr>
      </w:pPr>
      <w:bookmarkStart w:id="85" w:name="_Toc6183"/>
      <w:r>
        <w:rPr>
          <w:b/>
          <w:bCs/>
          <w:color w:val="000000"/>
        </w:rPr>
        <w:t>防灾减灾救灾“十四五”规划指标及目标</w:t>
      </w:r>
      <w:bookmarkEnd w:id="85"/>
    </w:p>
    <w:tbl>
      <w:tblPr>
        <w:tblpPr w:leftFromText="180" w:rightFromText="180" w:vertAnchor="text" w:horzAnchor="page" w:tblpX="2026" w:tblpY="378"/>
        <w:tblOverlap w:val="never"/>
        <w:tblW w:w="7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690"/>
        <w:gridCol w:w="3480"/>
        <w:gridCol w:w="1335"/>
        <w:gridCol w:w="1365"/>
      </w:tblGrid>
      <w:tr w:rsidR="00EC2C51" w14:paraId="041358A0" w14:textId="77777777">
        <w:tc>
          <w:tcPr>
            <w:tcW w:w="1480" w:type="dxa"/>
            <w:gridSpan w:val="2"/>
            <w:vAlign w:val="center"/>
          </w:tcPr>
          <w:p w14:paraId="5E074245" w14:textId="77777777" w:rsidR="00EC2C51" w:rsidRDefault="00A971AA">
            <w:pPr>
              <w:pStyle w:val="HTML1"/>
              <w:widowControl/>
              <w:jc w:val="center"/>
              <w:rPr>
                <w:rFonts w:hint="default"/>
                <w:sz w:val="21"/>
                <w:szCs w:val="21"/>
              </w:rPr>
            </w:pPr>
            <w:r>
              <w:rPr>
                <w:sz w:val="21"/>
                <w:szCs w:val="21"/>
              </w:rPr>
              <w:t>指标分类</w:t>
            </w:r>
          </w:p>
        </w:tc>
        <w:tc>
          <w:tcPr>
            <w:tcW w:w="3480" w:type="dxa"/>
          </w:tcPr>
          <w:p w14:paraId="57862D4D" w14:textId="77777777" w:rsidR="00EC2C51" w:rsidRDefault="00A971AA">
            <w:pPr>
              <w:pStyle w:val="HTML1"/>
              <w:widowControl/>
              <w:jc w:val="center"/>
              <w:rPr>
                <w:rFonts w:hint="default"/>
                <w:sz w:val="21"/>
                <w:szCs w:val="21"/>
              </w:rPr>
            </w:pPr>
            <w:r>
              <w:rPr>
                <w:sz w:val="21"/>
                <w:szCs w:val="21"/>
              </w:rPr>
              <w:t>指标名称</w:t>
            </w:r>
          </w:p>
        </w:tc>
        <w:tc>
          <w:tcPr>
            <w:tcW w:w="1335" w:type="dxa"/>
          </w:tcPr>
          <w:p w14:paraId="5184D3D0" w14:textId="77777777" w:rsidR="00EC2C51" w:rsidRDefault="00A971AA">
            <w:pPr>
              <w:pStyle w:val="HTML1"/>
              <w:widowControl/>
              <w:jc w:val="center"/>
              <w:rPr>
                <w:rFonts w:hint="default"/>
                <w:sz w:val="21"/>
                <w:szCs w:val="21"/>
              </w:rPr>
            </w:pPr>
            <w:r>
              <w:rPr>
                <w:sz w:val="21"/>
                <w:szCs w:val="21"/>
              </w:rPr>
              <w:t>十四五</w:t>
            </w:r>
          </w:p>
        </w:tc>
        <w:tc>
          <w:tcPr>
            <w:tcW w:w="1365" w:type="dxa"/>
          </w:tcPr>
          <w:p w14:paraId="6FBEC187" w14:textId="77777777" w:rsidR="00EC2C51" w:rsidRDefault="00A971AA">
            <w:pPr>
              <w:pStyle w:val="HTML1"/>
              <w:widowControl/>
              <w:jc w:val="center"/>
              <w:rPr>
                <w:rFonts w:hint="default"/>
                <w:sz w:val="21"/>
                <w:szCs w:val="21"/>
              </w:rPr>
            </w:pPr>
            <w:r>
              <w:rPr>
                <w:sz w:val="21"/>
                <w:szCs w:val="21"/>
              </w:rPr>
              <w:t>指标属性</w:t>
            </w:r>
          </w:p>
        </w:tc>
      </w:tr>
      <w:tr w:rsidR="00EC2C51" w14:paraId="62D4CACC" w14:textId="77777777">
        <w:trPr>
          <w:trHeight w:val="765"/>
        </w:trPr>
        <w:tc>
          <w:tcPr>
            <w:tcW w:w="790" w:type="dxa"/>
            <w:vMerge w:val="restart"/>
            <w:vAlign w:val="center"/>
          </w:tcPr>
          <w:p w14:paraId="753B99E9" w14:textId="77777777" w:rsidR="00EC2C51" w:rsidRDefault="00A971AA">
            <w:pPr>
              <w:pStyle w:val="HTML1"/>
              <w:widowControl/>
              <w:jc w:val="center"/>
              <w:rPr>
                <w:rFonts w:hint="default"/>
                <w:sz w:val="21"/>
                <w:szCs w:val="21"/>
              </w:rPr>
            </w:pPr>
            <w:r>
              <w:rPr>
                <w:color w:val="000000"/>
                <w:sz w:val="21"/>
                <w:szCs w:val="21"/>
              </w:rPr>
              <w:t>能力性指标</w:t>
            </w:r>
          </w:p>
        </w:tc>
        <w:tc>
          <w:tcPr>
            <w:tcW w:w="690" w:type="dxa"/>
            <w:vMerge w:val="restart"/>
            <w:vAlign w:val="center"/>
          </w:tcPr>
          <w:p w14:paraId="0A8C6ACC" w14:textId="77777777" w:rsidR="00EC2C51" w:rsidRDefault="00EC2C51">
            <w:pPr>
              <w:pStyle w:val="HTML1"/>
              <w:widowControl/>
              <w:jc w:val="both"/>
              <w:rPr>
                <w:rFonts w:hint="default"/>
                <w:sz w:val="21"/>
                <w:szCs w:val="21"/>
              </w:rPr>
            </w:pPr>
          </w:p>
          <w:p w14:paraId="47E9BDFE" w14:textId="77777777" w:rsidR="00EC2C51" w:rsidRDefault="00A971AA">
            <w:pPr>
              <w:pStyle w:val="HTML1"/>
              <w:widowControl/>
              <w:jc w:val="center"/>
              <w:rPr>
                <w:rFonts w:hint="default"/>
                <w:sz w:val="21"/>
                <w:szCs w:val="21"/>
              </w:rPr>
            </w:pPr>
            <w:r>
              <w:rPr>
                <w:color w:val="000000"/>
                <w:sz w:val="21"/>
                <w:szCs w:val="21"/>
              </w:rPr>
              <w:t>综合类指标</w:t>
            </w:r>
          </w:p>
        </w:tc>
        <w:tc>
          <w:tcPr>
            <w:tcW w:w="3480" w:type="dxa"/>
            <w:vAlign w:val="center"/>
          </w:tcPr>
          <w:p w14:paraId="6D2AA7B7" w14:textId="77777777" w:rsidR="00EC2C51" w:rsidRDefault="00A971AA">
            <w:pPr>
              <w:pStyle w:val="HTML1"/>
              <w:widowControl/>
              <w:jc w:val="center"/>
              <w:rPr>
                <w:rFonts w:hint="default"/>
                <w:sz w:val="21"/>
                <w:szCs w:val="21"/>
              </w:rPr>
            </w:pPr>
            <w:r>
              <w:rPr>
                <w:color w:val="000000"/>
                <w:sz w:val="21"/>
                <w:szCs w:val="21"/>
              </w:rPr>
              <w:t>全国综合减灾示范社区数量</w:t>
            </w:r>
          </w:p>
        </w:tc>
        <w:tc>
          <w:tcPr>
            <w:tcW w:w="1335" w:type="dxa"/>
            <w:vAlign w:val="center"/>
          </w:tcPr>
          <w:p w14:paraId="18710DA5" w14:textId="77777777" w:rsidR="00EC2C51" w:rsidRDefault="00A971AA">
            <w:pPr>
              <w:widowControl/>
              <w:jc w:val="center"/>
              <w:rPr>
                <w:rFonts w:ascii="宋体" w:hAnsi="宋体" w:cs="宋体"/>
                <w:szCs w:val="21"/>
              </w:rPr>
            </w:pPr>
            <w:r>
              <w:rPr>
                <w:rFonts w:ascii="宋体" w:hAnsi="宋体" w:cs="宋体" w:hint="eastAsia"/>
                <w:color w:val="000000"/>
                <w:kern w:val="0"/>
                <w:szCs w:val="21"/>
              </w:rPr>
              <w:t>≥1个</w:t>
            </w:r>
          </w:p>
        </w:tc>
        <w:tc>
          <w:tcPr>
            <w:tcW w:w="1365" w:type="dxa"/>
            <w:vAlign w:val="center"/>
          </w:tcPr>
          <w:p w14:paraId="442537A7" w14:textId="77777777" w:rsidR="00EC2C51" w:rsidRDefault="00A971AA">
            <w:pPr>
              <w:widowControl/>
              <w:jc w:val="center"/>
              <w:rPr>
                <w:rFonts w:ascii="宋体" w:hAnsi="宋体" w:cs="宋体"/>
                <w:color w:val="000000"/>
                <w:kern w:val="0"/>
                <w:szCs w:val="21"/>
              </w:rPr>
            </w:pPr>
            <w:r>
              <w:rPr>
                <w:rFonts w:ascii="宋体" w:hAnsi="宋体" w:cs="宋体" w:hint="eastAsia"/>
                <w:color w:val="000000"/>
                <w:kern w:val="0"/>
                <w:szCs w:val="21"/>
              </w:rPr>
              <w:t>预期性</w:t>
            </w:r>
          </w:p>
        </w:tc>
      </w:tr>
      <w:tr w:rsidR="00EC2C51" w14:paraId="306CB580" w14:textId="77777777">
        <w:trPr>
          <w:trHeight w:val="748"/>
        </w:trPr>
        <w:tc>
          <w:tcPr>
            <w:tcW w:w="790" w:type="dxa"/>
            <w:vMerge/>
            <w:vAlign w:val="center"/>
          </w:tcPr>
          <w:p w14:paraId="1874D8BE" w14:textId="77777777" w:rsidR="00EC2C51" w:rsidRDefault="00EC2C51">
            <w:pPr>
              <w:pStyle w:val="HTML1"/>
              <w:widowControl/>
              <w:jc w:val="center"/>
              <w:rPr>
                <w:rFonts w:hint="default"/>
                <w:sz w:val="21"/>
                <w:szCs w:val="21"/>
              </w:rPr>
            </w:pPr>
          </w:p>
        </w:tc>
        <w:tc>
          <w:tcPr>
            <w:tcW w:w="690" w:type="dxa"/>
            <w:vMerge/>
            <w:vAlign w:val="center"/>
          </w:tcPr>
          <w:p w14:paraId="55ABA253" w14:textId="77777777" w:rsidR="00EC2C51" w:rsidRDefault="00EC2C51">
            <w:pPr>
              <w:pStyle w:val="HTML1"/>
              <w:widowControl/>
              <w:jc w:val="center"/>
              <w:rPr>
                <w:rFonts w:hint="default"/>
                <w:sz w:val="21"/>
                <w:szCs w:val="21"/>
              </w:rPr>
            </w:pPr>
          </w:p>
        </w:tc>
        <w:tc>
          <w:tcPr>
            <w:tcW w:w="3480" w:type="dxa"/>
            <w:vAlign w:val="center"/>
          </w:tcPr>
          <w:p w14:paraId="347F37EC" w14:textId="77777777" w:rsidR="00EC2C51" w:rsidRDefault="00A971AA">
            <w:pPr>
              <w:pStyle w:val="HTML1"/>
              <w:widowControl/>
              <w:jc w:val="center"/>
              <w:rPr>
                <w:rFonts w:hint="default"/>
                <w:color w:val="000000"/>
                <w:sz w:val="21"/>
                <w:szCs w:val="21"/>
              </w:rPr>
            </w:pPr>
            <w:r>
              <w:rPr>
                <w:color w:val="000000"/>
                <w:sz w:val="21"/>
                <w:szCs w:val="21"/>
              </w:rPr>
              <w:t>自治区综合减灾示范社区数量</w:t>
            </w:r>
          </w:p>
        </w:tc>
        <w:tc>
          <w:tcPr>
            <w:tcW w:w="1335" w:type="dxa"/>
            <w:vAlign w:val="center"/>
          </w:tcPr>
          <w:p w14:paraId="0F91368C" w14:textId="77777777" w:rsidR="00EC2C51" w:rsidRDefault="00A971AA">
            <w:pPr>
              <w:widowControl/>
              <w:jc w:val="center"/>
              <w:rPr>
                <w:rFonts w:ascii="宋体" w:hAnsi="宋体" w:cs="宋体"/>
                <w:szCs w:val="21"/>
              </w:rPr>
            </w:pPr>
            <w:r>
              <w:rPr>
                <w:rFonts w:ascii="宋体" w:hAnsi="宋体" w:cs="宋体" w:hint="eastAsia"/>
                <w:color w:val="000000"/>
                <w:kern w:val="0"/>
                <w:szCs w:val="21"/>
              </w:rPr>
              <w:t>≥1个</w:t>
            </w:r>
          </w:p>
        </w:tc>
        <w:tc>
          <w:tcPr>
            <w:tcW w:w="1365" w:type="dxa"/>
            <w:vAlign w:val="center"/>
          </w:tcPr>
          <w:p w14:paraId="50E65C38" w14:textId="77777777" w:rsidR="00EC2C51" w:rsidRDefault="00A971AA">
            <w:pPr>
              <w:widowControl/>
              <w:jc w:val="center"/>
              <w:rPr>
                <w:rFonts w:ascii="宋体" w:hAnsi="宋体" w:cs="宋体"/>
                <w:color w:val="000000"/>
                <w:kern w:val="0"/>
                <w:szCs w:val="21"/>
              </w:rPr>
            </w:pPr>
            <w:r>
              <w:rPr>
                <w:rFonts w:ascii="宋体" w:hAnsi="宋体" w:cs="宋体" w:hint="eastAsia"/>
                <w:color w:val="000000"/>
                <w:kern w:val="0"/>
                <w:szCs w:val="21"/>
              </w:rPr>
              <w:t>预期性</w:t>
            </w:r>
          </w:p>
        </w:tc>
      </w:tr>
      <w:tr w:rsidR="00EC2C51" w14:paraId="285E2E29" w14:textId="77777777">
        <w:tc>
          <w:tcPr>
            <w:tcW w:w="790" w:type="dxa"/>
            <w:vMerge/>
            <w:vAlign w:val="center"/>
          </w:tcPr>
          <w:p w14:paraId="557BAB38" w14:textId="77777777" w:rsidR="00EC2C51" w:rsidRDefault="00EC2C51">
            <w:pPr>
              <w:pStyle w:val="HTML1"/>
              <w:widowControl/>
              <w:jc w:val="center"/>
              <w:rPr>
                <w:rFonts w:hint="default"/>
                <w:sz w:val="21"/>
                <w:szCs w:val="21"/>
              </w:rPr>
            </w:pPr>
          </w:p>
        </w:tc>
        <w:tc>
          <w:tcPr>
            <w:tcW w:w="690" w:type="dxa"/>
            <w:vMerge/>
            <w:vAlign w:val="center"/>
          </w:tcPr>
          <w:p w14:paraId="04645445" w14:textId="77777777" w:rsidR="00EC2C51" w:rsidRDefault="00EC2C51">
            <w:pPr>
              <w:pStyle w:val="HTML1"/>
              <w:widowControl/>
              <w:jc w:val="center"/>
              <w:rPr>
                <w:rFonts w:hint="default"/>
                <w:sz w:val="21"/>
                <w:szCs w:val="21"/>
              </w:rPr>
            </w:pPr>
          </w:p>
        </w:tc>
        <w:tc>
          <w:tcPr>
            <w:tcW w:w="3480" w:type="dxa"/>
            <w:vAlign w:val="center"/>
          </w:tcPr>
          <w:p w14:paraId="18019523" w14:textId="77777777" w:rsidR="00EC2C51" w:rsidRDefault="00A971AA">
            <w:pPr>
              <w:pStyle w:val="HTML1"/>
              <w:widowControl/>
              <w:jc w:val="center"/>
              <w:rPr>
                <w:rFonts w:hint="default"/>
                <w:color w:val="000000"/>
                <w:sz w:val="21"/>
                <w:szCs w:val="21"/>
              </w:rPr>
            </w:pPr>
            <w:r>
              <w:rPr>
                <w:color w:val="000000"/>
                <w:sz w:val="21"/>
                <w:szCs w:val="21"/>
              </w:rPr>
              <w:t>农业保险覆盖率</w:t>
            </w:r>
          </w:p>
        </w:tc>
        <w:tc>
          <w:tcPr>
            <w:tcW w:w="1335" w:type="dxa"/>
            <w:vAlign w:val="center"/>
          </w:tcPr>
          <w:p w14:paraId="0FC330CA" w14:textId="77777777" w:rsidR="00EC2C51" w:rsidRDefault="00A971AA">
            <w:pPr>
              <w:pStyle w:val="HTML1"/>
              <w:widowControl/>
              <w:jc w:val="center"/>
              <w:rPr>
                <w:rFonts w:hint="default"/>
                <w:sz w:val="21"/>
                <w:szCs w:val="21"/>
              </w:rPr>
            </w:pPr>
            <w:r>
              <w:rPr>
                <w:color w:val="000000"/>
                <w:sz w:val="21"/>
                <w:szCs w:val="21"/>
              </w:rPr>
              <w:t>≥95%</w:t>
            </w:r>
          </w:p>
        </w:tc>
        <w:tc>
          <w:tcPr>
            <w:tcW w:w="1365" w:type="dxa"/>
            <w:vAlign w:val="center"/>
          </w:tcPr>
          <w:p w14:paraId="4E337D63" w14:textId="77777777" w:rsidR="00EC2C51" w:rsidRDefault="00A971AA">
            <w:pPr>
              <w:widowControl/>
              <w:jc w:val="center"/>
              <w:rPr>
                <w:rFonts w:ascii="宋体" w:hAnsi="宋体" w:cs="宋体"/>
                <w:color w:val="000000"/>
                <w:szCs w:val="21"/>
              </w:rPr>
            </w:pPr>
            <w:r>
              <w:rPr>
                <w:rFonts w:ascii="宋体" w:hAnsi="宋体" w:cs="宋体" w:hint="eastAsia"/>
                <w:color w:val="000000"/>
                <w:kern w:val="0"/>
                <w:szCs w:val="21"/>
              </w:rPr>
              <w:t>预期性</w:t>
            </w:r>
          </w:p>
        </w:tc>
      </w:tr>
      <w:tr w:rsidR="00EC2C51" w14:paraId="224AC063" w14:textId="77777777">
        <w:tc>
          <w:tcPr>
            <w:tcW w:w="790" w:type="dxa"/>
            <w:vMerge/>
            <w:vAlign w:val="center"/>
          </w:tcPr>
          <w:p w14:paraId="401DA3A6" w14:textId="77777777" w:rsidR="00EC2C51" w:rsidRDefault="00EC2C51">
            <w:pPr>
              <w:pStyle w:val="HTML1"/>
              <w:widowControl/>
              <w:jc w:val="center"/>
              <w:rPr>
                <w:rFonts w:hint="default"/>
                <w:sz w:val="21"/>
                <w:szCs w:val="21"/>
              </w:rPr>
            </w:pPr>
          </w:p>
        </w:tc>
        <w:tc>
          <w:tcPr>
            <w:tcW w:w="690" w:type="dxa"/>
            <w:vMerge/>
            <w:vAlign w:val="center"/>
          </w:tcPr>
          <w:p w14:paraId="4C1BFF74" w14:textId="77777777" w:rsidR="00EC2C51" w:rsidRDefault="00EC2C51">
            <w:pPr>
              <w:pStyle w:val="HTML1"/>
              <w:widowControl/>
              <w:jc w:val="center"/>
              <w:rPr>
                <w:rFonts w:hint="default"/>
                <w:sz w:val="21"/>
                <w:szCs w:val="21"/>
              </w:rPr>
            </w:pPr>
          </w:p>
        </w:tc>
        <w:tc>
          <w:tcPr>
            <w:tcW w:w="3480" w:type="dxa"/>
            <w:vAlign w:val="center"/>
          </w:tcPr>
          <w:p w14:paraId="6923F169" w14:textId="77777777" w:rsidR="00EC2C51" w:rsidRDefault="00A971AA">
            <w:pPr>
              <w:pStyle w:val="HTML1"/>
              <w:widowControl/>
              <w:jc w:val="center"/>
              <w:rPr>
                <w:rFonts w:hint="default"/>
                <w:color w:val="000000"/>
                <w:sz w:val="21"/>
                <w:szCs w:val="21"/>
              </w:rPr>
            </w:pPr>
            <w:r>
              <w:rPr>
                <w:color w:val="000000"/>
                <w:sz w:val="21"/>
                <w:szCs w:val="21"/>
              </w:rPr>
              <w:t>全区防灾减灾知识科普率</w:t>
            </w:r>
          </w:p>
        </w:tc>
        <w:tc>
          <w:tcPr>
            <w:tcW w:w="1335" w:type="dxa"/>
            <w:vAlign w:val="center"/>
          </w:tcPr>
          <w:p w14:paraId="22F1350B" w14:textId="77777777" w:rsidR="00EC2C51" w:rsidRDefault="00A971AA">
            <w:pPr>
              <w:pStyle w:val="HTML1"/>
              <w:widowControl/>
              <w:jc w:val="center"/>
              <w:rPr>
                <w:rFonts w:hint="default"/>
                <w:sz w:val="21"/>
                <w:szCs w:val="21"/>
              </w:rPr>
            </w:pPr>
            <w:r>
              <w:rPr>
                <w:color w:val="000000"/>
                <w:sz w:val="21"/>
                <w:szCs w:val="21"/>
              </w:rPr>
              <w:t>≥90%</w:t>
            </w:r>
          </w:p>
        </w:tc>
        <w:tc>
          <w:tcPr>
            <w:tcW w:w="1365" w:type="dxa"/>
            <w:vAlign w:val="center"/>
          </w:tcPr>
          <w:p w14:paraId="1A8CB00E" w14:textId="77777777" w:rsidR="00EC2C51" w:rsidRDefault="00A971AA">
            <w:pPr>
              <w:widowControl/>
              <w:jc w:val="center"/>
              <w:rPr>
                <w:rFonts w:ascii="宋体" w:hAnsi="宋体" w:cs="宋体"/>
                <w:color w:val="000000"/>
                <w:szCs w:val="21"/>
              </w:rPr>
            </w:pPr>
            <w:r>
              <w:rPr>
                <w:rFonts w:ascii="宋体" w:hAnsi="宋体" w:cs="宋体" w:hint="eastAsia"/>
                <w:color w:val="000000"/>
                <w:kern w:val="0"/>
                <w:szCs w:val="21"/>
              </w:rPr>
              <w:t>预期性</w:t>
            </w:r>
          </w:p>
        </w:tc>
      </w:tr>
      <w:tr w:rsidR="00EC2C51" w14:paraId="7A46BA2F" w14:textId="77777777">
        <w:tc>
          <w:tcPr>
            <w:tcW w:w="790" w:type="dxa"/>
            <w:vMerge/>
            <w:vAlign w:val="center"/>
          </w:tcPr>
          <w:p w14:paraId="28C34B64" w14:textId="77777777" w:rsidR="00EC2C51" w:rsidRDefault="00EC2C51">
            <w:pPr>
              <w:pStyle w:val="HTML1"/>
              <w:widowControl/>
              <w:jc w:val="center"/>
              <w:rPr>
                <w:rFonts w:hint="default"/>
                <w:sz w:val="21"/>
                <w:szCs w:val="21"/>
              </w:rPr>
            </w:pPr>
          </w:p>
        </w:tc>
        <w:tc>
          <w:tcPr>
            <w:tcW w:w="690" w:type="dxa"/>
            <w:vMerge w:val="restart"/>
            <w:vAlign w:val="center"/>
          </w:tcPr>
          <w:p w14:paraId="6730025C" w14:textId="77777777" w:rsidR="00EC2C51" w:rsidRDefault="00A971AA">
            <w:pPr>
              <w:pStyle w:val="HTML1"/>
              <w:widowControl/>
              <w:jc w:val="center"/>
              <w:rPr>
                <w:rFonts w:hint="default"/>
                <w:sz w:val="21"/>
                <w:szCs w:val="21"/>
              </w:rPr>
            </w:pPr>
            <w:r>
              <w:rPr>
                <w:sz w:val="21"/>
                <w:szCs w:val="21"/>
              </w:rPr>
              <w:t>防灾能力</w:t>
            </w:r>
          </w:p>
        </w:tc>
        <w:tc>
          <w:tcPr>
            <w:tcW w:w="3480" w:type="dxa"/>
            <w:vAlign w:val="center"/>
          </w:tcPr>
          <w:p w14:paraId="37D764C1" w14:textId="77777777" w:rsidR="00EC2C51" w:rsidRDefault="00A971AA">
            <w:pPr>
              <w:pStyle w:val="HTML1"/>
              <w:widowControl/>
              <w:jc w:val="center"/>
              <w:rPr>
                <w:rFonts w:hint="default"/>
                <w:sz w:val="21"/>
                <w:szCs w:val="21"/>
              </w:rPr>
            </w:pPr>
            <w:r>
              <w:rPr>
                <w:color w:val="000000"/>
                <w:sz w:val="21"/>
                <w:szCs w:val="21"/>
              </w:rPr>
              <w:t>自然灾害隐患排查整改率</w:t>
            </w:r>
          </w:p>
        </w:tc>
        <w:tc>
          <w:tcPr>
            <w:tcW w:w="1335" w:type="dxa"/>
            <w:vAlign w:val="center"/>
          </w:tcPr>
          <w:p w14:paraId="5D411814" w14:textId="77777777" w:rsidR="00EC2C51" w:rsidRDefault="00A971AA">
            <w:pPr>
              <w:pStyle w:val="HTML1"/>
              <w:widowControl/>
              <w:jc w:val="center"/>
              <w:rPr>
                <w:rFonts w:hint="default"/>
                <w:sz w:val="21"/>
                <w:szCs w:val="21"/>
              </w:rPr>
            </w:pPr>
            <w:r>
              <w:rPr>
                <w:color w:val="000000"/>
                <w:sz w:val="21"/>
                <w:szCs w:val="21"/>
              </w:rPr>
              <w:t>100%</w:t>
            </w:r>
          </w:p>
        </w:tc>
        <w:tc>
          <w:tcPr>
            <w:tcW w:w="1365" w:type="dxa"/>
            <w:vAlign w:val="center"/>
          </w:tcPr>
          <w:p w14:paraId="25459A8C" w14:textId="77777777" w:rsidR="00EC2C51" w:rsidRDefault="00A971AA">
            <w:pPr>
              <w:widowControl/>
              <w:jc w:val="center"/>
              <w:rPr>
                <w:rFonts w:ascii="宋体" w:hAnsi="宋体" w:cs="宋体"/>
                <w:color w:val="000000"/>
                <w:szCs w:val="21"/>
              </w:rPr>
            </w:pPr>
            <w:r>
              <w:rPr>
                <w:rFonts w:ascii="宋体" w:hAnsi="宋体" w:cs="宋体" w:hint="eastAsia"/>
                <w:color w:val="000000"/>
                <w:kern w:val="0"/>
                <w:szCs w:val="21"/>
              </w:rPr>
              <w:t>预期性</w:t>
            </w:r>
          </w:p>
        </w:tc>
      </w:tr>
      <w:tr w:rsidR="00EC2C51" w14:paraId="39445D4D" w14:textId="77777777">
        <w:tc>
          <w:tcPr>
            <w:tcW w:w="790" w:type="dxa"/>
            <w:vMerge/>
            <w:vAlign w:val="center"/>
          </w:tcPr>
          <w:p w14:paraId="0661884D" w14:textId="77777777" w:rsidR="00EC2C51" w:rsidRDefault="00EC2C51">
            <w:pPr>
              <w:pStyle w:val="HTML1"/>
              <w:widowControl/>
              <w:jc w:val="center"/>
              <w:rPr>
                <w:rFonts w:hint="default"/>
                <w:sz w:val="21"/>
                <w:szCs w:val="21"/>
              </w:rPr>
            </w:pPr>
          </w:p>
        </w:tc>
        <w:tc>
          <w:tcPr>
            <w:tcW w:w="690" w:type="dxa"/>
            <w:vMerge/>
            <w:vAlign w:val="center"/>
          </w:tcPr>
          <w:p w14:paraId="66B6A2C0" w14:textId="77777777" w:rsidR="00EC2C51" w:rsidRDefault="00EC2C51">
            <w:pPr>
              <w:pStyle w:val="HTML1"/>
              <w:widowControl/>
              <w:jc w:val="center"/>
              <w:rPr>
                <w:rFonts w:hint="default"/>
                <w:sz w:val="21"/>
                <w:szCs w:val="21"/>
              </w:rPr>
            </w:pPr>
          </w:p>
        </w:tc>
        <w:tc>
          <w:tcPr>
            <w:tcW w:w="3480" w:type="dxa"/>
            <w:vAlign w:val="center"/>
          </w:tcPr>
          <w:p w14:paraId="078E831C" w14:textId="77777777" w:rsidR="00EC2C51" w:rsidRDefault="00A971AA">
            <w:pPr>
              <w:pStyle w:val="HTML1"/>
              <w:widowControl/>
              <w:jc w:val="center"/>
              <w:rPr>
                <w:rFonts w:hint="default"/>
                <w:color w:val="000000"/>
                <w:sz w:val="21"/>
                <w:szCs w:val="21"/>
              </w:rPr>
            </w:pPr>
            <w:r>
              <w:rPr>
                <w:color w:val="000000"/>
                <w:sz w:val="21"/>
                <w:szCs w:val="21"/>
              </w:rPr>
              <w:t>预警信息覆盖率</w:t>
            </w:r>
          </w:p>
        </w:tc>
        <w:tc>
          <w:tcPr>
            <w:tcW w:w="1335" w:type="dxa"/>
            <w:vAlign w:val="center"/>
          </w:tcPr>
          <w:p w14:paraId="0148771B" w14:textId="77777777" w:rsidR="00EC2C51" w:rsidRDefault="00A971AA">
            <w:pPr>
              <w:pStyle w:val="HTML1"/>
              <w:widowControl/>
              <w:jc w:val="center"/>
              <w:rPr>
                <w:rFonts w:hint="default"/>
                <w:color w:val="000000"/>
                <w:sz w:val="21"/>
                <w:szCs w:val="21"/>
              </w:rPr>
            </w:pPr>
            <w:r>
              <w:rPr>
                <w:color w:val="000000"/>
                <w:sz w:val="21"/>
                <w:szCs w:val="21"/>
              </w:rPr>
              <w:t>100%</w:t>
            </w:r>
          </w:p>
        </w:tc>
        <w:tc>
          <w:tcPr>
            <w:tcW w:w="1365" w:type="dxa"/>
            <w:vAlign w:val="center"/>
          </w:tcPr>
          <w:p w14:paraId="540E078C" w14:textId="77777777" w:rsidR="00EC2C51" w:rsidRDefault="00A971AA">
            <w:pPr>
              <w:widowControl/>
              <w:jc w:val="center"/>
              <w:rPr>
                <w:rFonts w:ascii="宋体" w:hAnsi="宋体" w:cs="宋体"/>
                <w:color w:val="000000"/>
                <w:szCs w:val="21"/>
              </w:rPr>
            </w:pPr>
            <w:r>
              <w:rPr>
                <w:rFonts w:ascii="宋体" w:hAnsi="宋体" w:cs="宋体" w:hint="eastAsia"/>
                <w:color w:val="000000"/>
                <w:kern w:val="0"/>
                <w:szCs w:val="21"/>
              </w:rPr>
              <w:t>预期性</w:t>
            </w:r>
          </w:p>
        </w:tc>
      </w:tr>
      <w:tr w:rsidR="00EC2C51" w14:paraId="0FC6C879" w14:textId="77777777">
        <w:tc>
          <w:tcPr>
            <w:tcW w:w="790" w:type="dxa"/>
            <w:vMerge/>
            <w:vAlign w:val="center"/>
          </w:tcPr>
          <w:p w14:paraId="0EBC374E" w14:textId="77777777" w:rsidR="00EC2C51" w:rsidRDefault="00EC2C51">
            <w:pPr>
              <w:pStyle w:val="HTML1"/>
              <w:widowControl/>
              <w:jc w:val="center"/>
              <w:rPr>
                <w:rFonts w:hint="default"/>
                <w:sz w:val="21"/>
                <w:szCs w:val="21"/>
              </w:rPr>
            </w:pPr>
          </w:p>
        </w:tc>
        <w:tc>
          <w:tcPr>
            <w:tcW w:w="690" w:type="dxa"/>
            <w:vMerge/>
            <w:vAlign w:val="center"/>
          </w:tcPr>
          <w:p w14:paraId="65A26720" w14:textId="77777777" w:rsidR="00EC2C51" w:rsidRDefault="00EC2C51">
            <w:pPr>
              <w:pStyle w:val="HTML1"/>
              <w:widowControl/>
              <w:jc w:val="center"/>
              <w:rPr>
                <w:rFonts w:hint="default"/>
                <w:sz w:val="21"/>
                <w:szCs w:val="21"/>
              </w:rPr>
            </w:pPr>
          </w:p>
        </w:tc>
        <w:tc>
          <w:tcPr>
            <w:tcW w:w="3480" w:type="dxa"/>
            <w:vAlign w:val="center"/>
          </w:tcPr>
          <w:p w14:paraId="225B34E2" w14:textId="77777777" w:rsidR="00EC2C51" w:rsidRDefault="00A971AA">
            <w:pPr>
              <w:pStyle w:val="HTML1"/>
              <w:widowControl/>
              <w:jc w:val="center"/>
              <w:rPr>
                <w:rFonts w:hint="default"/>
                <w:color w:val="000000"/>
                <w:sz w:val="21"/>
                <w:szCs w:val="21"/>
              </w:rPr>
            </w:pPr>
            <w:r>
              <w:rPr>
                <w:color w:val="000000"/>
                <w:sz w:val="21"/>
                <w:szCs w:val="21"/>
              </w:rPr>
              <w:t>预警信息准确率</w:t>
            </w:r>
          </w:p>
        </w:tc>
        <w:tc>
          <w:tcPr>
            <w:tcW w:w="1335" w:type="dxa"/>
            <w:vAlign w:val="center"/>
          </w:tcPr>
          <w:p w14:paraId="2008780D" w14:textId="77777777" w:rsidR="00EC2C51" w:rsidRDefault="00A971AA">
            <w:pPr>
              <w:pStyle w:val="HTML1"/>
              <w:widowControl/>
              <w:jc w:val="center"/>
              <w:rPr>
                <w:rFonts w:hint="default"/>
                <w:color w:val="000000"/>
                <w:sz w:val="21"/>
                <w:szCs w:val="21"/>
              </w:rPr>
            </w:pPr>
            <w:r>
              <w:rPr>
                <w:color w:val="000000"/>
                <w:sz w:val="21"/>
                <w:szCs w:val="21"/>
              </w:rPr>
              <w:t>≥80%</w:t>
            </w:r>
          </w:p>
        </w:tc>
        <w:tc>
          <w:tcPr>
            <w:tcW w:w="1365" w:type="dxa"/>
            <w:vAlign w:val="center"/>
          </w:tcPr>
          <w:p w14:paraId="7FF25C2B" w14:textId="77777777" w:rsidR="00EC2C51" w:rsidRDefault="00A971AA">
            <w:pPr>
              <w:widowControl/>
              <w:jc w:val="center"/>
              <w:rPr>
                <w:rFonts w:ascii="宋体" w:hAnsi="宋体" w:cs="宋体"/>
                <w:color w:val="000000"/>
                <w:szCs w:val="21"/>
              </w:rPr>
            </w:pPr>
            <w:r>
              <w:rPr>
                <w:rFonts w:ascii="宋体" w:hAnsi="宋体" w:cs="宋体" w:hint="eastAsia"/>
                <w:color w:val="000000"/>
                <w:kern w:val="0"/>
                <w:szCs w:val="21"/>
              </w:rPr>
              <w:t>预期性</w:t>
            </w:r>
          </w:p>
        </w:tc>
      </w:tr>
      <w:tr w:rsidR="00EC2C51" w14:paraId="37CBBBA5" w14:textId="77777777">
        <w:tc>
          <w:tcPr>
            <w:tcW w:w="790" w:type="dxa"/>
            <w:vMerge/>
            <w:vAlign w:val="center"/>
          </w:tcPr>
          <w:p w14:paraId="58057E55" w14:textId="77777777" w:rsidR="00EC2C51" w:rsidRDefault="00EC2C51">
            <w:pPr>
              <w:pStyle w:val="HTML1"/>
              <w:widowControl/>
              <w:jc w:val="center"/>
              <w:rPr>
                <w:rFonts w:hint="default"/>
                <w:sz w:val="21"/>
                <w:szCs w:val="21"/>
              </w:rPr>
            </w:pPr>
          </w:p>
        </w:tc>
        <w:tc>
          <w:tcPr>
            <w:tcW w:w="690" w:type="dxa"/>
            <w:vMerge/>
            <w:vAlign w:val="center"/>
          </w:tcPr>
          <w:p w14:paraId="65CC5B71" w14:textId="77777777" w:rsidR="00EC2C51" w:rsidRDefault="00EC2C51">
            <w:pPr>
              <w:pStyle w:val="HTML1"/>
              <w:widowControl/>
              <w:jc w:val="center"/>
              <w:rPr>
                <w:rFonts w:hint="default"/>
                <w:sz w:val="21"/>
                <w:szCs w:val="21"/>
              </w:rPr>
            </w:pPr>
          </w:p>
        </w:tc>
        <w:tc>
          <w:tcPr>
            <w:tcW w:w="3480" w:type="dxa"/>
            <w:vAlign w:val="center"/>
          </w:tcPr>
          <w:p w14:paraId="6BDCF2B6" w14:textId="77777777" w:rsidR="00EC2C51" w:rsidRDefault="00A971AA">
            <w:pPr>
              <w:pStyle w:val="HTML1"/>
              <w:widowControl/>
              <w:jc w:val="center"/>
              <w:rPr>
                <w:rFonts w:hint="default"/>
                <w:color w:val="000000"/>
                <w:sz w:val="21"/>
                <w:szCs w:val="21"/>
              </w:rPr>
            </w:pPr>
            <w:r>
              <w:rPr>
                <w:color w:val="000000"/>
                <w:sz w:val="21"/>
                <w:szCs w:val="21"/>
              </w:rPr>
              <w:t>洪水预报时间</w:t>
            </w:r>
          </w:p>
        </w:tc>
        <w:tc>
          <w:tcPr>
            <w:tcW w:w="1335" w:type="dxa"/>
            <w:vAlign w:val="center"/>
          </w:tcPr>
          <w:p w14:paraId="16582934" w14:textId="77777777" w:rsidR="00EC2C51" w:rsidRDefault="00A971AA">
            <w:pPr>
              <w:pStyle w:val="HTML1"/>
              <w:widowControl/>
              <w:jc w:val="center"/>
              <w:rPr>
                <w:rFonts w:hint="default"/>
                <w:color w:val="000000"/>
                <w:sz w:val="21"/>
                <w:szCs w:val="21"/>
              </w:rPr>
            </w:pPr>
            <w:r>
              <w:rPr>
                <w:color w:val="000000"/>
                <w:sz w:val="21"/>
                <w:szCs w:val="21"/>
              </w:rPr>
              <w:t>3天</w:t>
            </w:r>
          </w:p>
        </w:tc>
        <w:tc>
          <w:tcPr>
            <w:tcW w:w="1365" w:type="dxa"/>
            <w:vAlign w:val="center"/>
          </w:tcPr>
          <w:p w14:paraId="4F3177BF" w14:textId="77777777" w:rsidR="00EC2C51" w:rsidRDefault="00A971AA">
            <w:pPr>
              <w:widowControl/>
              <w:jc w:val="center"/>
              <w:rPr>
                <w:rFonts w:ascii="宋体" w:hAnsi="宋体" w:cs="宋体"/>
                <w:color w:val="000000"/>
                <w:szCs w:val="21"/>
              </w:rPr>
            </w:pPr>
            <w:r>
              <w:rPr>
                <w:rFonts w:ascii="宋体" w:hAnsi="宋体" w:cs="宋体" w:hint="eastAsia"/>
                <w:color w:val="000000"/>
                <w:kern w:val="0"/>
                <w:szCs w:val="21"/>
              </w:rPr>
              <w:t>预期性</w:t>
            </w:r>
          </w:p>
        </w:tc>
      </w:tr>
      <w:tr w:rsidR="00EC2C51" w14:paraId="3853BB8D" w14:textId="77777777">
        <w:tc>
          <w:tcPr>
            <w:tcW w:w="790" w:type="dxa"/>
            <w:vMerge/>
            <w:vAlign w:val="center"/>
          </w:tcPr>
          <w:p w14:paraId="1DEA79F1" w14:textId="77777777" w:rsidR="00EC2C51" w:rsidRDefault="00EC2C51">
            <w:pPr>
              <w:pStyle w:val="HTML1"/>
              <w:widowControl/>
              <w:jc w:val="center"/>
              <w:rPr>
                <w:rFonts w:hint="default"/>
                <w:sz w:val="21"/>
                <w:szCs w:val="21"/>
              </w:rPr>
            </w:pPr>
          </w:p>
        </w:tc>
        <w:tc>
          <w:tcPr>
            <w:tcW w:w="690" w:type="dxa"/>
            <w:vMerge/>
            <w:vAlign w:val="center"/>
          </w:tcPr>
          <w:p w14:paraId="4754D397" w14:textId="77777777" w:rsidR="00EC2C51" w:rsidRDefault="00EC2C51">
            <w:pPr>
              <w:pStyle w:val="HTML1"/>
              <w:widowControl/>
              <w:jc w:val="center"/>
              <w:rPr>
                <w:rFonts w:hint="default"/>
                <w:sz w:val="21"/>
                <w:szCs w:val="21"/>
              </w:rPr>
            </w:pPr>
          </w:p>
        </w:tc>
        <w:tc>
          <w:tcPr>
            <w:tcW w:w="3480" w:type="dxa"/>
            <w:vAlign w:val="center"/>
          </w:tcPr>
          <w:p w14:paraId="1C4614CF" w14:textId="77777777" w:rsidR="00EC2C51" w:rsidRDefault="00A971AA">
            <w:pPr>
              <w:pStyle w:val="HTML1"/>
              <w:widowControl/>
              <w:jc w:val="center"/>
              <w:rPr>
                <w:rFonts w:hint="default"/>
                <w:color w:val="000000"/>
                <w:sz w:val="21"/>
                <w:szCs w:val="21"/>
              </w:rPr>
            </w:pPr>
            <w:r>
              <w:rPr>
                <w:color w:val="000000"/>
                <w:sz w:val="21"/>
                <w:szCs w:val="21"/>
              </w:rPr>
              <w:t>突发气象预警时效</w:t>
            </w:r>
          </w:p>
        </w:tc>
        <w:tc>
          <w:tcPr>
            <w:tcW w:w="1335" w:type="dxa"/>
            <w:vAlign w:val="center"/>
          </w:tcPr>
          <w:p w14:paraId="47991194" w14:textId="77777777" w:rsidR="00EC2C51" w:rsidRDefault="00A971AA">
            <w:pPr>
              <w:widowControl/>
              <w:jc w:val="center"/>
              <w:rPr>
                <w:rFonts w:ascii="宋体" w:hAnsi="宋体" w:cs="宋体"/>
                <w:szCs w:val="21"/>
              </w:rPr>
            </w:pPr>
            <w:r>
              <w:rPr>
                <w:rFonts w:ascii="宋体" w:hAnsi="宋体" w:cs="宋体" w:hint="eastAsia"/>
                <w:color w:val="000000"/>
                <w:kern w:val="0"/>
                <w:szCs w:val="21"/>
              </w:rPr>
              <w:t>提前15</w:t>
            </w:r>
          </w:p>
          <w:p w14:paraId="56444670" w14:textId="77777777" w:rsidR="00EC2C51" w:rsidRDefault="00A971AA">
            <w:pPr>
              <w:widowControl/>
              <w:jc w:val="center"/>
              <w:rPr>
                <w:rFonts w:ascii="宋体" w:hAnsi="宋体" w:cs="宋体"/>
                <w:color w:val="000000"/>
                <w:szCs w:val="21"/>
              </w:rPr>
            </w:pPr>
            <w:r>
              <w:rPr>
                <w:rFonts w:ascii="宋体" w:hAnsi="宋体" w:cs="宋体" w:hint="eastAsia"/>
                <w:color w:val="000000"/>
                <w:kern w:val="0"/>
                <w:szCs w:val="21"/>
              </w:rPr>
              <w:t>—20分</w:t>
            </w:r>
            <w:r>
              <w:rPr>
                <w:rFonts w:ascii="宋体" w:hAnsi="宋体" w:cs="宋体" w:hint="eastAsia"/>
                <w:color w:val="000000"/>
                <w:szCs w:val="21"/>
              </w:rPr>
              <w:t>钟</w:t>
            </w:r>
          </w:p>
        </w:tc>
        <w:tc>
          <w:tcPr>
            <w:tcW w:w="1365" w:type="dxa"/>
            <w:vAlign w:val="center"/>
          </w:tcPr>
          <w:p w14:paraId="144F1134" w14:textId="77777777" w:rsidR="00EC2C51" w:rsidRDefault="00A971AA">
            <w:pPr>
              <w:widowControl/>
              <w:jc w:val="center"/>
              <w:rPr>
                <w:rFonts w:ascii="宋体" w:hAnsi="宋体" w:cs="宋体"/>
                <w:color w:val="000000"/>
                <w:kern w:val="0"/>
                <w:szCs w:val="21"/>
              </w:rPr>
            </w:pPr>
            <w:r>
              <w:rPr>
                <w:rFonts w:ascii="宋体" w:hAnsi="宋体" w:cs="宋体" w:hint="eastAsia"/>
                <w:color w:val="000000"/>
                <w:kern w:val="0"/>
                <w:szCs w:val="21"/>
              </w:rPr>
              <w:t>预期性</w:t>
            </w:r>
          </w:p>
        </w:tc>
      </w:tr>
      <w:tr w:rsidR="00EC2C51" w14:paraId="6389FCE0" w14:textId="77777777">
        <w:tc>
          <w:tcPr>
            <w:tcW w:w="790" w:type="dxa"/>
            <w:vMerge/>
            <w:vAlign w:val="center"/>
          </w:tcPr>
          <w:p w14:paraId="7F4EEAE2" w14:textId="77777777" w:rsidR="00EC2C51" w:rsidRDefault="00EC2C51">
            <w:pPr>
              <w:pStyle w:val="HTML1"/>
              <w:widowControl/>
              <w:jc w:val="center"/>
              <w:rPr>
                <w:rFonts w:hint="default"/>
                <w:sz w:val="21"/>
                <w:szCs w:val="21"/>
              </w:rPr>
            </w:pPr>
          </w:p>
        </w:tc>
        <w:tc>
          <w:tcPr>
            <w:tcW w:w="690" w:type="dxa"/>
            <w:vMerge w:val="restart"/>
            <w:vAlign w:val="center"/>
          </w:tcPr>
          <w:p w14:paraId="1195D811" w14:textId="77777777" w:rsidR="00EC2C51" w:rsidRDefault="00EC2C51">
            <w:pPr>
              <w:pStyle w:val="HTML1"/>
              <w:widowControl/>
              <w:jc w:val="center"/>
              <w:rPr>
                <w:rFonts w:hint="default"/>
                <w:sz w:val="21"/>
                <w:szCs w:val="21"/>
              </w:rPr>
            </w:pPr>
          </w:p>
          <w:p w14:paraId="3C8EB04F" w14:textId="77777777" w:rsidR="00EC2C51" w:rsidRDefault="00A971AA">
            <w:pPr>
              <w:pStyle w:val="HTML1"/>
              <w:widowControl/>
              <w:jc w:val="center"/>
              <w:rPr>
                <w:rFonts w:hint="default"/>
                <w:sz w:val="21"/>
                <w:szCs w:val="21"/>
              </w:rPr>
            </w:pPr>
            <w:r>
              <w:rPr>
                <w:sz w:val="21"/>
                <w:szCs w:val="21"/>
              </w:rPr>
              <w:t>减灾能力</w:t>
            </w:r>
          </w:p>
        </w:tc>
        <w:tc>
          <w:tcPr>
            <w:tcW w:w="3480" w:type="dxa"/>
            <w:vAlign w:val="center"/>
          </w:tcPr>
          <w:p w14:paraId="490EA003" w14:textId="77777777" w:rsidR="00EC2C51" w:rsidRDefault="00A971AA">
            <w:pPr>
              <w:pStyle w:val="HTML1"/>
              <w:widowControl/>
              <w:jc w:val="center"/>
              <w:rPr>
                <w:rFonts w:hint="default"/>
                <w:color w:val="000000"/>
                <w:sz w:val="21"/>
                <w:szCs w:val="21"/>
              </w:rPr>
            </w:pPr>
            <w:r>
              <w:rPr>
                <w:color w:val="000000"/>
                <w:sz w:val="21"/>
                <w:szCs w:val="21"/>
              </w:rPr>
              <w:t>新建建筑抗震加固设防率</w:t>
            </w:r>
          </w:p>
        </w:tc>
        <w:tc>
          <w:tcPr>
            <w:tcW w:w="1335" w:type="dxa"/>
            <w:vAlign w:val="center"/>
          </w:tcPr>
          <w:p w14:paraId="511D80B6" w14:textId="77777777" w:rsidR="00EC2C51" w:rsidRDefault="00A971AA">
            <w:pPr>
              <w:pStyle w:val="HTML1"/>
              <w:widowControl/>
              <w:jc w:val="center"/>
              <w:rPr>
                <w:rFonts w:hint="default"/>
                <w:color w:val="000000"/>
                <w:sz w:val="21"/>
                <w:szCs w:val="21"/>
              </w:rPr>
            </w:pPr>
            <w:r>
              <w:rPr>
                <w:color w:val="000000"/>
                <w:sz w:val="21"/>
                <w:szCs w:val="21"/>
              </w:rPr>
              <w:t>100%</w:t>
            </w:r>
          </w:p>
        </w:tc>
        <w:tc>
          <w:tcPr>
            <w:tcW w:w="1365" w:type="dxa"/>
            <w:vAlign w:val="center"/>
          </w:tcPr>
          <w:p w14:paraId="73DF95FD" w14:textId="77777777" w:rsidR="00EC2C51" w:rsidRDefault="00A971AA">
            <w:pPr>
              <w:widowControl/>
              <w:jc w:val="center"/>
              <w:rPr>
                <w:rFonts w:ascii="宋体" w:hAnsi="宋体" w:cs="宋体"/>
                <w:color w:val="000000"/>
                <w:szCs w:val="21"/>
              </w:rPr>
            </w:pPr>
            <w:r>
              <w:rPr>
                <w:rFonts w:ascii="宋体" w:hAnsi="宋体" w:cs="宋体" w:hint="eastAsia"/>
                <w:color w:val="000000"/>
                <w:kern w:val="0"/>
                <w:szCs w:val="21"/>
              </w:rPr>
              <w:t>预期性</w:t>
            </w:r>
          </w:p>
        </w:tc>
      </w:tr>
      <w:tr w:rsidR="00EC2C51" w14:paraId="4CACBD87" w14:textId="77777777">
        <w:tc>
          <w:tcPr>
            <w:tcW w:w="790" w:type="dxa"/>
            <w:vMerge/>
            <w:vAlign w:val="center"/>
          </w:tcPr>
          <w:p w14:paraId="3FB701DB" w14:textId="77777777" w:rsidR="00EC2C51" w:rsidRDefault="00EC2C51">
            <w:pPr>
              <w:pStyle w:val="HTML1"/>
              <w:widowControl/>
              <w:jc w:val="center"/>
              <w:rPr>
                <w:rFonts w:hint="default"/>
                <w:sz w:val="21"/>
                <w:szCs w:val="21"/>
              </w:rPr>
            </w:pPr>
          </w:p>
        </w:tc>
        <w:tc>
          <w:tcPr>
            <w:tcW w:w="690" w:type="dxa"/>
            <w:vMerge/>
            <w:vAlign w:val="center"/>
          </w:tcPr>
          <w:p w14:paraId="6ACEF849" w14:textId="77777777" w:rsidR="00EC2C51" w:rsidRDefault="00EC2C51">
            <w:pPr>
              <w:pStyle w:val="HTML1"/>
              <w:widowControl/>
              <w:jc w:val="center"/>
              <w:rPr>
                <w:rFonts w:hint="default"/>
                <w:sz w:val="21"/>
                <w:szCs w:val="21"/>
              </w:rPr>
            </w:pPr>
          </w:p>
        </w:tc>
        <w:tc>
          <w:tcPr>
            <w:tcW w:w="3480" w:type="dxa"/>
            <w:vAlign w:val="center"/>
          </w:tcPr>
          <w:p w14:paraId="2117FE89" w14:textId="77777777" w:rsidR="00EC2C51" w:rsidRDefault="00A971AA">
            <w:pPr>
              <w:pStyle w:val="HTML1"/>
              <w:widowControl/>
              <w:jc w:val="center"/>
              <w:rPr>
                <w:rFonts w:hint="default"/>
                <w:color w:val="000000"/>
                <w:sz w:val="21"/>
                <w:szCs w:val="21"/>
              </w:rPr>
            </w:pPr>
            <w:r>
              <w:rPr>
                <w:color w:val="000000"/>
                <w:sz w:val="21"/>
                <w:szCs w:val="21"/>
              </w:rPr>
              <w:t>综合性应急避难场所数目</w:t>
            </w:r>
          </w:p>
        </w:tc>
        <w:tc>
          <w:tcPr>
            <w:tcW w:w="1335" w:type="dxa"/>
            <w:vAlign w:val="center"/>
          </w:tcPr>
          <w:p w14:paraId="308C848B" w14:textId="77777777" w:rsidR="00EC2C51" w:rsidRDefault="00A971AA">
            <w:pPr>
              <w:widowControl/>
              <w:jc w:val="center"/>
              <w:rPr>
                <w:rFonts w:ascii="宋体" w:hAnsi="宋体" w:cs="宋体"/>
                <w:color w:val="000000"/>
                <w:szCs w:val="21"/>
              </w:rPr>
            </w:pPr>
            <w:r>
              <w:rPr>
                <w:rFonts w:ascii="宋体" w:hAnsi="宋体" w:cs="宋体" w:hint="eastAsia"/>
                <w:color w:val="000000"/>
                <w:kern w:val="0"/>
                <w:szCs w:val="21"/>
              </w:rPr>
              <w:t>≥5个</w:t>
            </w:r>
          </w:p>
        </w:tc>
        <w:tc>
          <w:tcPr>
            <w:tcW w:w="1365" w:type="dxa"/>
            <w:vAlign w:val="center"/>
          </w:tcPr>
          <w:p w14:paraId="19C599DF" w14:textId="77777777" w:rsidR="00EC2C51" w:rsidRDefault="00A971AA">
            <w:pPr>
              <w:widowControl/>
              <w:jc w:val="center"/>
              <w:rPr>
                <w:rFonts w:ascii="宋体" w:hAnsi="宋体" w:cs="宋体"/>
                <w:color w:val="000000"/>
                <w:kern w:val="0"/>
                <w:szCs w:val="21"/>
              </w:rPr>
            </w:pPr>
            <w:r>
              <w:rPr>
                <w:rFonts w:ascii="宋体" w:hAnsi="宋体" w:cs="宋体" w:hint="eastAsia"/>
                <w:color w:val="000000"/>
                <w:kern w:val="0"/>
                <w:szCs w:val="21"/>
              </w:rPr>
              <w:t>预期性</w:t>
            </w:r>
          </w:p>
        </w:tc>
      </w:tr>
      <w:tr w:rsidR="00EC2C51" w14:paraId="4353B426" w14:textId="77777777">
        <w:tc>
          <w:tcPr>
            <w:tcW w:w="790" w:type="dxa"/>
            <w:vMerge/>
            <w:vAlign w:val="center"/>
          </w:tcPr>
          <w:p w14:paraId="19EFC2C1" w14:textId="77777777" w:rsidR="00EC2C51" w:rsidRDefault="00EC2C51">
            <w:pPr>
              <w:pStyle w:val="HTML1"/>
              <w:widowControl/>
              <w:jc w:val="center"/>
              <w:rPr>
                <w:rFonts w:hint="default"/>
                <w:sz w:val="21"/>
                <w:szCs w:val="21"/>
              </w:rPr>
            </w:pPr>
          </w:p>
        </w:tc>
        <w:tc>
          <w:tcPr>
            <w:tcW w:w="690" w:type="dxa"/>
            <w:vMerge/>
            <w:vAlign w:val="center"/>
          </w:tcPr>
          <w:p w14:paraId="1E0F305F" w14:textId="77777777" w:rsidR="00EC2C51" w:rsidRDefault="00EC2C51">
            <w:pPr>
              <w:pStyle w:val="HTML1"/>
              <w:widowControl/>
              <w:jc w:val="center"/>
              <w:rPr>
                <w:rFonts w:hint="default"/>
                <w:sz w:val="21"/>
                <w:szCs w:val="21"/>
              </w:rPr>
            </w:pPr>
          </w:p>
        </w:tc>
        <w:tc>
          <w:tcPr>
            <w:tcW w:w="3480" w:type="dxa"/>
            <w:vAlign w:val="center"/>
          </w:tcPr>
          <w:p w14:paraId="47BF6036" w14:textId="77777777" w:rsidR="00EC2C51" w:rsidRDefault="00A971AA">
            <w:pPr>
              <w:pStyle w:val="HTML1"/>
              <w:widowControl/>
              <w:jc w:val="center"/>
              <w:rPr>
                <w:rFonts w:hint="default"/>
                <w:color w:val="000000"/>
                <w:sz w:val="21"/>
                <w:szCs w:val="21"/>
              </w:rPr>
            </w:pPr>
            <w:r>
              <w:rPr>
                <w:color w:val="000000"/>
                <w:sz w:val="21"/>
                <w:szCs w:val="21"/>
              </w:rPr>
              <w:t>全区综合抗御地震的能力</w:t>
            </w:r>
          </w:p>
        </w:tc>
        <w:tc>
          <w:tcPr>
            <w:tcW w:w="1335" w:type="dxa"/>
            <w:vAlign w:val="center"/>
          </w:tcPr>
          <w:p w14:paraId="13DADE32" w14:textId="77777777" w:rsidR="00EC2C51" w:rsidRDefault="00A971AA">
            <w:pPr>
              <w:pStyle w:val="HTML1"/>
              <w:widowControl/>
              <w:jc w:val="center"/>
              <w:rPr>
                <w:rFonts w:hint="default"/>
                <w:color w:val="000000"/>
                <w:sz w:val="21"/>
                <w:szCs w:val="21"/>
              </w:rPr>
            </w:pPr>
            <w:r>
              <w:rPr>
                <w:color w:val="000000"/>
                <w:sz w:val="21"/>
                <w:szCs w:val="21"/>
              </w:rPr>
              <w:t>6级</w:t>
            </w:r>
          </w:p>
        </w:tc>
        <w:tc>
          <w:tcPr>
            <w:tcW w:w="1365" w:type="dxa"/>
            <w:vAlign w:val="center"/>
          </w:tcPr>
          <w:p w14:paraId="4E8AF131" w14:textId="77777777" w:rsidR="00EC2C51" w:rsidRDefault="00A971AA">
            <w:pPr>
              <w:widowControl/>
              <w:jc w:val="center"/>
              <w:rPr>
                <w:rFonts w:ascii="宋体" w:hAnsi="宋体" w:cs="宋体"/>
                <w:color w:val="000000"/>
                <w:szCs w:val="21"/>
              </w:rPr>
            </w:pPr>
            <w:r>
              <w:rPr>
                <w:rFonts w:ascii="宋体" w:hAnsi="宋体" w:cs="宋体" w:hint="eastAsia"/>
                <w:color w:val="000000"/>
                <w:kern w:val="0"/>
                <w:szCs w:val="21"/>
              </w:rPr>
              <w:t>预期性</w:t>
            </w:r>
          </w:p>
        </w:tc>
      </w:tr>
      <w:tr w:rsidR="00EC2C51" w14:paraId="47B1B2FE" w14:textId="77777777">
        <w:tc>
          <w:tcPr>
            <w:tcW w:w="790" w:type="dxa"/>
            <w:vMerge/>
            <w:vAlign w:val="center"/>
          </w:tcPr>
          <w:p w14:paraId="7D32FD5A" w14:textId="77777777" w:rsidR="00EC2C51" w:rsidRDefault="00EC2C51">
            <w:pPr>
              <w:pStyle w:val="HTML1"/>
              <w:widowControl/>
              <w:jc w:val="center"/>
              <w:rPr>
                <w:rFonts w:hint="default"/>
                <w:sz w:val="21"/>
                <w:szCs w:val="21"/>
              </w:rPr>
            </w:pPr>
          </w:p>
        </w:tc>
        <w:tc>
          <w:tcPr>
            <w:tcW w:w="690" w:type="dxa"/>
            <w:vMerge w:val="restart"/>
            <w:vAlign w:val="center"/>
          </w:tcPr>
          <w:p w14:paraId="282E66F3" w14:textId="77777777" w:rsidR="00EC2C51" w:rsidRDefault="00EC2C51">
            <w:pPr>
              <w:pStyle w:val="HTML1"/>
              <w:widowControl/>
              <w:jc w:val="both"/>
              <w:rPr>
                <w:rFonts w:hint="default"/>
                <w:sz w:val="21"/>
                <w:szCs w:val="21"/>
              </w:rPr>
            </w:pPr>
          </w:p>
          <w:p w14:paraId="1730387E" w14:textId="77777777" w:rsidR="00EC2C51" w:rsidRDefault="00A971AA">
            <w:pPr>
              <w:pStyle w:val="HTML1"/>
              <w:widowControl/>
              <w:jc w:val="center"/>
              <w:rPr>
                <w:rFonts w:hint="default"/>
                <w:sz w:val="21"/>
                <w:szCs w:val="21"/>
              </w:rPr>
            </w:pPr>
            <w:r>
              <w:rPr>
                <w:sz w:val="21"/>
                <w:szCs w:val="21"/>
              </w:rPr>
              <w:t>救灾能力</w:t>
            </w:r>
          </w:p>
        </w:tc>
        <w:tc>
          <w:tcPr>
            <w:tcW w:w="3480" w:type="dxa"/>
            <w:vAlign w:val="center"/>
          </w:tcPr>
          <w:p w14:paraId="2FF406CD" w14:textId="77777777" w:rsidR="00EC2C51" w:rsidRDefault="00A971AA">
            <w:pPr>
              <w:pStyle w:val="HTML1"/>
              <w:widowControl/>
              <w:jc w:val="center"/>
              <w:rPr>
                <w:rFonts w:hint="default"/>
                <w:color w:val="000000"/>
                <w:sz w:val="21"/>
                <w:szCs w:val="21"/>
              </w:rPr>
            </w:pPr>
            <w:r>
              <w:rPr>
                <w:color w:val="000000"/>
                <w:sz w:val="21"/>
                <w:szCs w:val="21"/>
              </w:rPr>
              <w:t>自然灾害应急物资协议储备基地数目</w:t>
            </w:r>
          </w:p>
        </w:tc>
        <w:tc>
          <w:tcPr>
            <w:tcW w:w="1335" w:type="dxa"/>
            <w:vAlign w:val="center"/>
          </w:tcPr>
          <w:p w14:paraId="3FB5B5D2" w14:textId="77777777" w:rsidR="00EC2C51" w:rsidRDefault="00A971AA">
            <w:pPr>
              <w:pStyle w:val="HTML1"/>
              <w:widowControl/>
              <w:jc w:val="center"/>
              <w:rPr>
                <w:rFonts w:hint="default"/>
                <w:color w:val="000000"/>
                <w:sz w:val="21"/>
                <w:szCs w:val="21"/>
              </w:rPr>
            </w:pPr>
            <w:r>
              <w:rPr>
                <w:color w:val="000000"/>
                <w:sz w:val="21"/>
                <w:szCs w:val="21"/>
              </w:rPr>
              <w:t>≥2个</w:t>
            </w:r>
          </w:p>
        </w:tc>
        <w:tc>
          <w:tcPr>
            <w:tcW w:w="1365" w:type="dxa"/>
            <w:vAlign w:val="center"/>
          </w:tcPr>
          <w:p w14:paraId="390D20D7" w14:textId="77777777" w:rsidR="00EC2C51" w:rsidRDefault="00A971AA">
            <w:pPr>
              <w:widowControl/>
              <w:jc w:val="center"/>
              <w:rPr>
                <w:rFonts w:ascii="宋体" w:hAnsi="宋体" w:cs="宋体"/>
                <w:color w:val="000000"/>
                <w:szCs w:val="21"/>
              </w:rPr>
            </w:pPr>
            <w:r>
              <w:rPr>
                <w:rFonts w:ascii="宋体" w:hAnsi="宋体" w:cs="宋体" w:hint="eastAsia"/>
                <w:color w:val="000000"/>
                <w:kern w:val="0"/>
                <w:szCs w:val="21"/>
              </w:rPr>
              <w:t>预期性</w:t>
            </w:r>
          </w:p>
        </w:tc>
      </w:tr>
      <w:tr w:rsidR="00EC2C51" w14:paraId="129E8B0B" w14:textId="77777777">
        <w:tc>
          <w:tcPr>
            <w:tcW w:w="790" w:type="dxa"/>
            <w:vMerge/>
            <w:vAlign w:val="center"/>
          </w:tcPr>
          <w:p w14:paraId="072CA0C7" w14:textId="77777777" w:rsidR="00EC2C51" w:rsidRDefault="00EC2C51">
            <w:pPr>
              <w:pStyle w:val="HTML1"/>
              <w:widowControl/>
              <w:jc w:val="center"/>
              <w:rPr>
                <w:rFonts w:hint="default"/>
                <w:sz w:val="21"/>
                <w:szCs w:val="21"/>
              </w:rPr>
            </w:pPr>
          </w:p>
        </w:tc>
        <w:tc>
          <w:tcPr>
            <w:tcW w:w="690" w:type="dxa"/>
            <w:vMerge/>
            <w:vAlign w:val="center"/>
          </w:tcPr>
          <w:p w14:paraId="5620B85A" w14:textId="77777777" w:rsidR="00EC2C51" w:rsidRDefault="00EC2C51">
            <w:pPr>
              <w:pStyle w:val="HTML1"/>
              <w:widowControl/>
              <w:jc w:val="center"/>
              <w:rPr>
                <w:rFonts w:hint="default"/>
                <w:sz w:val="21"/>
                <w:szCs w:val="21"/>
              </w:rPr>
            </w:pPr>
          </w:p>
        </w:tc>
        <w:tc>
          <w:tcPr>
            <w:tcW w:w="3480" w:type="dxa"/>
            <w:vAlign w:val="center"/>
          </w:tcPr>
          <w:p w14:paraId="404D282A" w14:textId="77777777" w:rsidR="00EC2C51" w:rsidRDefault="00A971AA">
            <w:pPr>
              <w:pStyle w:val="HTML1"/>
              <w:widowControl/>
              <w:jc w:val="center"/>
              <w:rPr>
                <w:rFonts w:hint="default"/>
                <w:color w:val="000000"/>
                <w:sz w:val="21"/>
                <w:szCs w:val="21"/>
              </w:rPr>
            </w:pPr>
            <w:r>
              <w:rPr>
                <w:color w:val="000000"/>
                <w:sz w:val="21"/>
                <w:szCs w:val="21"/>
              </w:rPr>
              <w:t>受灾群众基本生活得到初步救助时效</w:t>
            </w:r>
          </w:p>
        </w:tc>
        <w:tc>
          <w:tcPr>
            <w:tcW w:w="1335" w:type="dxa"/>
            <w:vAlign w:val="center"/>
          </w:tcPr>
          <w:p w14:paraId="6B0ABA6F" w14:textId="77777777" w:rsidR="00EC2C51" w:rsidRDefault="00A971AA">
            <w:pPr>
              <w:pStyle w:val="HTML1"/>
              <w:widowControl/>
              <w:jc w:val="center"/>
              <w:rPr>
                <w:rFonts w:hint="default"/>
                <w:color w:val="000000"/>
                <w:sz w:val="21"/>
                <w:szCs w:val="21"/>
              </w:rPr>
            </w:pPr>
            <w:r>
              <w:rPr>
                <w:color w:val="000000"/>
                <w:sz w:val="21"/>
                <w:szCs w:val="21"/>
              </w:rPr>
              <w:t>≤8小时</w:t>
            </w:r>
          </w:p>
        </w:tc>
        <w:tc>
          <w:tcPr>
            <w:tcW w:w="1365" w:type="dxa"/>
            <w:vAlign w:val="center"/>
          </w:tcPr>
          <w:p w14:paraId="159F12BD" w14:textId="77777777" w:rsidR="00EC2C51" w:rsidRDefault="00A971AA">
            <w:pPr>
              <w:widowControl/>
              <w:jc w:val="center"/>
              <w:rPr>
                <w:rFonts w:ascii="宋体" w:hAnsi="宋体" w:cs="宋体"/>
                <w:color w:val="000000"/>
                <w:szCs w:val="21"/>
              </w:rPr>
            </w:pPr>
            <w:r>
              <w:rPr>
                <w:rFonts w:ascii="宋体" w:hAnsi="宋体" w:cs="宋体" w:hint="eastAsia"/>
                <w:color w:val="000000"/>
                <w:kern w:val="0"/>
                <w:szCs w:val="21"/>
              </w:rPr>
              <w:t>预期性</w:t>
            </w:r>
          </w:p>
        </w:tc>
      </w:tr>
      <w:tr w:rsidR="00EC2C51" w14:paraId="0BC2DE82" w14:textId="77777777">
        <w:tc>
          <w:tcPr>
            <w:tcW w:w="790" w:type="dxa"/>
            <w:vMerge w:val="restart"/>
            <w:vAlign w:val="center"/>
          </w:tcPr>
          <w:p w14:paraId="6748E92E" w14:textId="77777777" w:rsidR="00EC2C51" w:rsidRDefault="00A971AA">
            <w:pPr>
              <w:pStyle w:val="HTML1"/>
              <w:widowControl/>
              <w:jc w:val="center"/>
              <w:rPr>
                <w:rFonts w:hint="default"/>
                <w:color w:val="000000"/>
                <w:sz w:val="21"/>
                <w:szCs w:val="21"/>
              </w:rPr>
            </w:pPr>
            <w:r>
              <w:rPr>
                <w:color w:val="000000"/>
                <w:sz w:val="21"/>
                <w:szCs w:val="21"/>
              </w:rPr>
              <w:t>约束性指标</w:t>
            </w:r>
          </w:p>
        </w:tc>
        <w:tc>
          <w:tcPr>
            <w:tcW w:w="690" w:type="dxa"/>
            <w:vMerge w:val="restart"/>
            <w:vAlign w:val="center"/>
          </w:tcPr>
          <w:p w14:paraId="73266EC9" w14:textId="77777777" w:rsidR="00EC2C51" w:rsidRDefault="00EC2C51">
            <w:pPr>
              <w:pStyle w:val="HTML1"/>
              <w:widowControl/>
              <w:jc w:val="both"/>
              <w:rPr>
                <w:rFonts w:hint="default"/>
                <w:color w:val="000000"/>
                <w:sz w:val="21"/>
                <w:szCs w:val="21"/>
              </w:rPr>
            </w:pPr>
          </w:p>
          <w:p w14:paraId="2475167F" w14:textId="77777777" w:rsidR="00EC2C51" w:rsidRDefault="00A971AA">
            <w:pPr>
              <w:pStyle w:val="HTML1"/>
              <w:widowControl/>
              <w:jc w:val="center"/>
              <w:rPr>
                <w:rFonts w:hint="default"/>
                <w:color w:val="000000"/>
                <w:sz w:val="21"/>
                <w:szCs w:val="21"/>
              </w:rPr>
            </w:pPr>
            <w:r>
              <w:rPr>
                <w:color w:val="000000"/>
                <w:sz w:val="21"/>
                <w:szCs w:val="21"/>
              </w:rPr>
              <w:t>绝对指标</w:t>
            </w:r>
          </w:p>
        </w:tc>
        <w:tc>
          <w:tcPr>
            <w:tcW w:w="3480" w:type="dxa"/>
            <w:vAlign w:val="center"/>
          </w:tcPr>
          <w:p w14:paraId="3AECDB2E" w14:textId="77777777" w:rsidR="00EC2C51" w:rsidRDefault="00A971AA">
            <w:pPr>
              <w:pStyle w:val="HTML1"/>
              <w:widowControl/>
              <w:jc w:val="center"/>
              <w:rPr>
                <w:rFonts w:hint="default"/>
                <w:color w:val="000000"/>
                <w:sz w:val="21"/>
                <w:szCs w:val="21"/>
              </w:rPr>
            </w:pPr>
            <w:r>
              <w:rPr>
                <w:color w:val="000000"/>
                <w:sz w:val="21"/>
                <w:szCs w:val="21"/>
              </w:rPr>
              <w:t>受灾人数</w:t>
            </w:r>
          </w:p>
        </w:tc>
        <w:tc>
          <w:tcPr>
            <w:tcW w:w="1335" w:type="dxa"/>
            <w:vAlign w:val="center"/>
          </w:tcPr>
          <w:p w14:paraId="2BA153C5" w14:textId="77777777" w:rsidR="00EC2C51" w:rsidRDefault="00A971AA">
            <w:pPr>
              <w:pStyle w:val="HTML1"/>
              <w:widowControl/>
              <w:jc w:val="center"/>
              <w:rPr>
                <w:rFonts w:hint="default"/>
                <w:color w:val="000000"/>
                <w:sz w:val="21"/>
                <w:szCs w:val="21"/>
              </w:rPr>
            </w:pPr>
            <w:r>
              <w:rPr>
                <w:color w:val="000000"/>
                <w:sz w:val="21"/>
                <w:szCs w:val="21"/>
              </w:rPr>
              <w:t>≤1000人</w:t>
            </w:r>
          </w:p>
        </w:tc>
        <w:tc>
          <w:tcPr>
            <w:tcW w:w="1365" w:type="dxa"/>
            <w:vAlign w:val="center"/>
          </w:tcPr>
          <w:p w14:paraId="67178129" w14:textId="77777777" w:rsidR="00EC2C51" w:rsidRDefault="00A971AA">
            <w:pPr>
              <w:widowControl/>
              <w:jc w:val="center"/>
              <w:rPr>
                <w:rFonts w:ascii="宋体" w:hAnsi="宋体" w:cs="宋体"/>
                <w:color w:val="000000"/>
                <w:szCs w:val="21"/>
              </w:rPr>
            </w:pPr>
            <w:r>
              <w:rPr>
                <w:rFonts w:ascii="宋体" w:hAnsi="宋体" w:cs="宋体" w:hint="eastAsia"/>
                <w:color w:val="000000"/>
                <w:szCs w:val="21"/>
              </w:rPr>
              <w:t>约束性</w:t>
            </w:r>
          </w:p>
        </w:tc>
      </w:tr>
      <w:tr w:rsidR="00EC2C51" w14:paraId="55556D36" w14:textId="77777777">
        <w:tc>
          <w:tcPr>
            <w:tcW w:w="790" w:type="dxa"/>
            <w:vMerge/>
            <w:vAlign w:val="center"/>
          </w:tcPr>
          <w:p w14:paraId="4DDEE82F" w14:textId="77777777" w:rsidR="00EC2C51" w:rsidRDefault="00EC2C51">
            <w:pPr>
              <w:pStyle w:val="HTML1"/>
              <w:widowControl/>
              <w:jc w:val="center"/>
              <w:rPr>
                <w:rFonts w:hint="default"/>
                <w:color w:val="000000"/>
                <w:sz w:val="21"/>
                <w:szCs w:val="21"/>
              </w:rPr>
            </w:pPr>
          </w:p>
        </w:tc>
        <w:tc>
          <w:tcPr>
            <w:tcW w:w="690" w:type="dxa"/>
            <w:vMerge/>
            <w:vAlign w:val="center"/>
          </w:tcPr>
          <w:p w14:paraId="7B7E2D6F" w14:textId="77777777" w:rsidR="00EC2C51" w:rsidRDefault="00EC2C51">
            <w:pPr>
              <w:pStyle w:val="HTML1"/>
              <w:widowControl/>
              <w:jc w:val="center"/>
              <w:rPr>
                <w:rFonts w:hint="default"/>
                <w:color w:val="000000"/>
                <w:sz w:val="21"/>
                <w:szCs w:val="21"/>
              </w:rPr>
            </w:pPr>
          </w:p>
        </w:tc>
        <w:tc>
          <w:tcPr>
            <w:tcW w:w="3480" w:type="dxa"/>
            <w:vAlign w:val="center"/>
          </w:tcPr>
          <w:p w14:paraId="32A1FDC7" w14:textId="77777777" w:rsidR="00EC2C51" w:rsidRDefault="00A971AA">
            <w:pPr>
              <w:pStyle w:val="HTML1"/>
              <w:widowControl/>
              <w:jc w:val="center"/>
              <w:rPr>
                <w:rFonts w:hint="default"/>
                <w:color w:val="000000"/>
                <w:sz w:val="21"/>
                <w:szCs w:val="21"/>
              </w:rPr>
            </w:pPr>
            <w:r>
              <w:rPr>
                <w:color w:val="000000"/>
                <w:sz w:val="21"/>
                <w:szCs w:val="21"/>
              </w:rPr>
              <w:t>因灾死亡人数</w:t>
            </w:r>
          </w:p>
        </w:tc>
        <w:tc>
          <w:tcPr>
            <w:tcW w:w="1335" w:type="dxa"/>
            <w:vAlign w:val="center"/>
          </w:tcPr>
          <w:p w14:paraId="0B9177EA" w14:textId="77777777" w:rsidR="00EC2C51" w:rsidRDefault="00A971AA">
            <w:pPr>
              <w:pStyle w:val="HTML1"/>
              <w:widowControl/>
              <w:jc w:val="center"/>
              <w:rPr>
                <w:rFonts w:hint="default"/>
                <w:color w:val="000000"/>
                <w:sz w:val="21"/>
                <w:szCs w:val="21"/>
              </w:rPr>
            </w:pPr>
            <w:r>
              <w:rPr>
                <w:color w:val="000000"/>
                <w:sz w:val="21"/>
                <w:szCs w:val="21"/>
              </w:rPr>
              <w:t>0</w:t>
            </w:r>
          </w:p>
        </w:tc>
        <w:tc>
          <w:tcPr>
            <w:tcW w:w="1365" w:type="dxa"/>
            <w:vAlign w:val="center"/>
          </w:tcPr>
          <w:p w14:paraId="66B1FD75" w14:textId="77777777" w:rsidR="00EC2C51" w:rsidRDefault="00A971AA">
            <w:pPr>
              <w:widowControl/>
              <w:jc w:val="center"/>
              <w:rPr>
                <w:rFonts w:ascii="宋体" w:hAnsi="宋体" w:cs="宋体"/>
                <w:color w:val="000000"/>
                <w:szCs w:val="21"/>
              </w:rPr>
            </w:pPr>
            <w:r>
              <w:rPr>
                <w:rFonts w:ascii="宋体" w:hAnsi="宋体" w:cs="宋体" w:hint="eastAsia"/>
                <w:color w:val="000000"/>
                <w:szCs w:val="21"/>
              </w:rPr>
              <w:t>约束性</w:t>
            </w:r>
          </w:p>
        </w:tc>
      </w:tr>
      <w:tr w:rsidR="00EC2C51" w14:paraId="77DCD4DD" w14:textId="77777777">
        <w:tc>
          <w:tcPr>
            <w:tcW w:w="790" w:type="dxa"/>
            <w:vMerge/>
            <w:vAlign w:val="center"/>
          </w:tcPr>
          <w:p w14:paraId="494B862F" w14:textId="77777777" w:rsidR="00EC2C51" w:rsidRDefault="00EC2C51">
            <w:pPr>
              <w:pStyle w:val="HTML1"/>
              <w:widowControl/>
              <w:jc w:val="center"/>
              <w:rPr>
                <w:rFonts w:hint="default"/>
                <w:color w:val="000000"/>
                <w:sz w:val="21"/>
                <w:szCs w:val="21"/>
              </w:rPr>
            </w:pPr>
          </w:p>
        </w:tc>
        <w:tc>
          <w:tcPr>
            <w:tcW w:w="690" w:type="dxa"/>
            <w:vMerge/>
            <w:vAlign w:val="center"/>
          </w:tcPr>
          <w:p w14:paraId="7167A38B" w14:textId="77777777" w:rsidR="00EC2C51" w:rsidRDefault="00EC2C51">
            <w:pPr>
              <w:pStyle w:val="HTML1"/>
              <w:widowControl/>
              <w:jc w:val="center"/>
              <w:rPr>
                <w:rFonts w:hint="default"/>
                <w:color w:val="000000"/>
                <w:sz w:val="21"/>
                <w:szCs w:val="21"/>
              </w:rPr>
            </w:pPr>
          </w:p>
        </w:tc>
        <w:tc>
          <w:tcPr>
            <w:tcW w:w="3480" w:type="dxa"/>
            <w:vAlign w:val="center"/>
          </w:tcPr>
          <w:p w14:paraId="2FFA0FF8" w14:textId="77777777" w:rsidR="00EC2C51" w:rsidRDefault="00A971AA">
            <w:pPr>
              <w:pStyle w:val="HTML1"/>
              <w:widowControl/>
              <w:jc w:val="center"/>
              <w:rPr>
                <w:rFonts w:hint="default"/>
                <w:color w:val="000000"/>
                <w:sz w:val="21"/>
                <w:szCs w:val="21"/>
              </w:rPr>
            </w:pPr>
            <w:r>
              <w:rPr>
                <w:color w:val="000000"/>
                <w:sz w:val="21"/>
                <w:szCs w:val="21"/>
              </w:rPr>
              <w:t>农作物受灾面积</w:t>
            </w:r>
          </w:p>
        </w:tc>
        <w:tc>
          <w:tcPr>
            <w:tcW w:w="1335" w:type="dxa"/>
            <w:vAlign w:val="center"/>
          </w:tcPr>
          <w:p w14:paraId="27437C54" w14:textId="77777777" w:rsidR="00EC2C51" w:rsidRDefault="00A971AA">
            <w:pPr>
              <w:pStyle w:val="HTML1"/>
              <w:widowControl/>
              <w:jc w:val="center"/>
              <w:rPr>
                <w:rFonts w:hint="default"/>
                <w:sz w:val="21"/>
                <w:szCs w:val="21"/>
              </w:rPr>
            </w:pPr>
            <w:r>
              <w:rPr>
                <w:color w:val="000000"/>
                <w:sz w:val="21"/>
                <w:szCs w:val="21"/>
              </w:rPr>
              <w:t>≤2</w:t>
            </w:r>
          </w:p>
          <w:p w14:paraId="6305772F" w14:textId="77777777" w:rsidR="00EC2C51" w:rsidRDefault="00A971AA">
            <w:pPr>
              <w:pStyle w:val="HTML1"/>
              <w:widowControl/>
              <w:jc w:val="center"/>
              <w:rPr>
                <w:rFonts w:hint="default"/>
                <w:color w:val="000000"/>
                <w:sz w:val="21"/>
                <w:szCs w:val="21"/>
              </w:rPr>
            </w:pPr>
            <w:r>
              <w:rPr>
                <w:color w:val="000000"/>
                <w:sz w:val="21"/>
                <w:szCs w:val="21"/>
              </w:rPr>
              <w:t>公顷</w:t>
            </w:r>
          </w:p>
        </w:tc>
        <w:tc>
          <w:tcPr>
            <w:tcW w:w="1365" w:type="dxa"/>
            <w:vAlign w:val="center"/>
          </w:tcPr>
          <w:p w14:paraId="63BA29A7" w14:textId="77777777" w:rsidR="00EC2C51" w:rsidRDefault="00A971AA">
            <w:pPr>
              <w:widowControl/>
              <w:jc w:val="center"/>
              <w:rPr>
                <w:rFonts w:ascii="宋体" w:hAnsi="宋体" w:cs="宋体"/>
                <w:color w:val="000000"/>
                <w:szCs w:val="21"/>
              </w:rPr>
            </w:pPr>
            <w:r>
              <w:rPr>
                <w:rFonts w:ascii="宋体" w:hAnsi="宋体" w:cs="宋体" w:hint="eastAsia"/>
                <w:color w:val="000000"/>
                <w:szCs w:val="21"/>
              </w:rPr>
              <w:t>约束性</w:t>
            </w:r>
          </w:p>
        </w:tc>
      </w:tr>
      <w:tr w:rsidR="00EC2C51" w14:paraId="4D941295" w14:textId="77777777">
        <w:tc>
          <w:tcPr>
            <w:tcW w:w="790" w:type="dxa"/>
            <w:vMerge/>
            <w:vAlign w:val="center"/>
          </w:tcPr>
          <w:p w14:paraId="6DDF2362" w14:textId="77777777" w:rsidR="00EC2C51" w:rsidRDefault="00EC2C51">
            <w:pPr>
              <w:pStyle w:val="HTML1"/>
              <w:widowControl/>
              <w:jc w:val="center"/>
              <w:rPr>
                <w:rFonts w:hint="default"/>
                <w:color w:val="000000"/>
                <w:sz w:val="21"/>
                <w:szCs w:val="21"/>
              </w:rPr>
            </w:pPr>
          </w:p>
        </w:tc>
        <w:tc>
          <w:tcPr>
            <w:tcW w:w="690" w:type="dxa"/>
            <w:vMerge w:val="restart"/>
            <w:vAlign w:val="center"/>
          </w:tcPr>
          <w:p w14:paraId="245D659B" w14:textId="77777777" w:rsidR="00EC2C51" w:rsidRDefault="00EC2C51">
            <w:pPr>
              <w:pStyle w:val="HTML1"/>
              <w:widowControl/>
              <w:jc w:val="both"/>
              <w:rPr>
                <w:rFonts w:hint="default"/>
                <w:color w:val="000000"/>
                <w:sz w:val="21"/>
                <w:szCs w:val="21"/>
              </w:rPr>
            </w:pPr>
          </w:p>
          <w:p w14:paraId="2E0FC0A7" w14:textId="77777777" w:rsidR="00EC2C51" w:rsidRDefault="00A971AA">
            <w:pPr>
              <w:pStyle w:val="HTML1"/>
              <w:widowControl/>
              <w:jc w:val="center"/>
              <w:rPr>
                <w:rFonts w:hint="default"/>
                <w:color w:val="000000"/>
                <w:sz w:val="21"/>
                <w:szCs w:val="21"/>
              </w:rPr>
            </w:pPr>
            <w:r>
              <w:rPr>
                <w:color w:val="000000"/>
                <w:sz w:val="21"/>
                <w:szCs w:val="21"/>
              </w:rPr>
              <w:t>相对指标</w:t>
            </w:r>
          </w:p>
        </w:tc>
        <w:tc>
          <w:tcPr>
            <w:tcW w:w="3480" w:type="dxa"/>
            <w:vAlign w:val="center"/>
          </w:tcPr>
          <w:p w14:paraId="2D5E9C3D" w14:textId="77777777" w:rsidR="00EC2C51" w:rsidRDefault="00A971AA">
            <w:pPr>
              <w:pStyle w:val="HTML1"/>
              <w:widowControl/>
              <w:jc w:val="center"/>
              <w:rPr>
                <w:rFonts w:hint="default"/>
                <w:color w:val="000000"/>
                <w:sz w:val="21"/>
                <w:szCs w:val="21"/>
              </w:rPr>
            </w:pPr>
            <w:r>
              <w:rPr>
                <w:color w:val="000000"/>
                <w:sz w:val="21"/>
                <w:szCs w:val="21"/>
              </w:rPr>
              <w:t>年均因</w:t>
            </w:r>
            <w:proofErr w:type="gramStart"/>
            <w:r>
              <w:rPr>
                <w:color w:val="000000"/>
                <w:sz w:val="21"/>
                <w:szCs w:val="21"/>
              </w:rPr>
              <w:t>灾直接</w:t>
            </w:r>
            <w:proofErr w:type="gramEnd"/>
            <w:r>
              <w:rPr>
                <w:color w:val="000000"/>
                <w:sz w:val="21"/>
                <w:szCs w:val="21"/>
              </w:rPr>
              <w:t>经济损失占全区国内生产总值</w:t>
            </w:r>
          </w:p>
        </w:tc>
        <w:tc>
          <w:tcPr>
            <w:tcW w:w="1335" w:type="dxa"/>
            <w:vAlign w:val="center"/>
          </w:tcPr>
          <w:p w14:paraId="219C9446" w14:textId="77777777" w:rsidR="00EC2C51" w:rsidRDefault="00A971AA">
            <w:pPr>
              <w:pStyle w:val="HTML1"/>
              <w:widowControl/>
              <w:jc w:val="center"/>
              <w:rPr>
                <w:rFonts w:hint="default"/>
                <w:color w:val="000000"/>
                <w:sz w:val="21"/>
                <w:szCs w:val="21"/>
              </w:rPr>
            </w:pPr>
            <w:r>
              <w:rPr>
                <w:color w:val="000000"/>
                <w:sz w:val="21"/>
                <w:szCs w:val="21"/>
              </w:rPr>
              <w:t>＜0.016%</w:t>
            </w:r>
          </w:p>
        </w:tc>
        <w:tc>
          <w:tcPr>
            <w:tcW w:w="1365" w:type="dxa"/>
            <w:vAlign w:val="center"/>
          </w:tcPr>
          <w:p w14:paraId="0EF0F92E" w14:textId="77777777" w:rsidR="00EC2C51" w:rsidRDefault="00A971AA">
            <w:pPr>
              <w:widowControl/>
              <w:jc w:val="center"/>
              <w:rPr>
                <w:rFonts w:ascii="宋体" w:hAnsi="宋体" w:cs="宋体"/>
                <w:color w:val="000000"/>
                <w:szCs w:val="21"/>
              </w:rPr>
            </w:pPr>
            <w:r>
              <w:rPr>
                <w:rFonts w:ascii="宋体" w:hAnsi="宋体" w:cs="宋体" w:hint="eastAsia"/>
                <w:color w:val="000000"/>
                <w:szCs w:val="21"/>
              </w:rPr>
              <w:t>约束性</w:t>
            </w:r>
          </w:p>
        </w:tc>
      </w:tr>
      <w:tr w:rsidR="00EC2C51" w14:paraId="41C55D0E" w14:textId="77777777">
        <w:tc>
          <w:tcPr>
            <w:tcW w:w="790" w:type="dxa"/>
            <w:vMerge/>
            <w:vAlign w:val="center"/>
          </w:tcPr>
          <w:p w14:paraId="4499B2CC" w14:textId="77777777" w:rsidR="00EC2C51" w:rsidRDefault="00EC2C51">
            <w:pPr>
              <w:pStyle w:val="HTML1"/>
              <w:widowControl/>
              <w:jc w:val="center"/>
              <w:rPr>
                <w:rFonts w:hint="default"/>
                <w:color w:val="000000"/>
                <w:sz w:val="21"/>
                <w:szCs w:val="21"/>
              </w:rPr>
            </w:pPr>
          </w:p>
        </w:tc>
        <w:tc>
          <w:tcPr>
            <w:tcW w:w="690" w:type="dxa"/>
            <w:vMerge/>
            <w:vAlign w:val="center"/>
          </w:tcPr>
          <w:p w14:paraId="576D1FB0" w14:textId="77777777" w:rsidR="00EC2C51" w:rsidRDefault="00EC2C51">
            <w:pPr>
              <w:pStyle w:val="HTML1"/>
              <w:widowControl/>
              <w:jc w:val="center"/>
              <w:rPr>
                <w:rFonts w:hint="default"/>
                <w:color w:val="000000"/>
                <w:sz w:val="21"/>
                <w:szCs w:val="21"/>
              </w:rPr>
            </w:pPr>
          </w:p>
        </w:tc>
        <w:tc>
          <w:tcPr>
            <w:tcW w:w="3480" w:type="dxa"/>
            <w:vAlign w:val="center"/>
          </w:tcPr>
          <w:p w14:paraId="10658C24" w14:textId="77777777" w:rsidR="00EC2C51" w:rsidRDefault="00A971AA">
            <w:pPr>
              <w:pStyle w:val="HTML1"/>
              <w:widowControl/>
              <w:jc w:val="center"/>
              <w:rPr>
                <w:rFonts w:hint="default"/>
                <w:color w:val="000000"/>
                <w:sz w:val="21"/>
                <w:szCs w:val="21"/>
              </w:rPr>
            </w:pPr>
            <w:r>
              <w:rPr>
                <w:color w:val="000000"/>
                <w:sz w:val="21"/>
                <w:szCs w:val="21"/>
              </w:rPr>
              <w:t>森林草原火灾受害率</w:t>
            </w:r>
          </w:p>
        </w:tc>
        <w:tc>
          <w:tcPr>
            <w:tcW w:w="1335" w:type="dxa"/>
            <w:vAlign w:val="center"/>
          </w:tcPr>
          <w:p w14:paraId="22BDF575" w14:textId="77777777" w:rsidR="00EC2C51" w:rsidRDefault="00A971AA">
            <w:pPr>
              <w:pStyle w:val="HTML1"/>
              <w:widowControl/>
              <w:jc w:val="center"/>
              <w:rPr>
                <w:rFonts w:hint="default"/>
                <w:color w:val="000000"/>
                <w:sz w:val="21"/>
                <w:szCs w:val="21"/>
              </w:rPr>
            </w:pPr>
            <w:r>
              <w:rPr>
                <w:color w:val="000000"/>
                <w:sz w:val="21"/>
                <w:szCs w:val="21"/>
              </w:rPr>
              <w:t>＜0.5‰</w:t>
            </w:r>
          </w:p>
        </w:tc>
        <w:tc>
          <w:tcPr>
            <w:tcW w:w="1365" w:type="dxa"/>
            <w:vAlign w:val="center"/>
          </w:tcPr>
          <w:p w14:paraId="6C7E3BB4" w14:textId="77777777" w:rsidR="00EC2C51" w:rsidRDefault="00A971AA">
            <w:pPr>
              <w:widowControl/>
              <w:jc w:val="center"/>
              <w:rPr>
                <w:rFonts w:ascii="宋体" w:hAnsi="宋体" w:cs="宋体"/>
                <w:color w:val="000000"/>
                <w:szCs w:val="21"/>
              </w:rPr>
            </w:pPr>
            <w:r>
              <w:rPr>
                <w:rFonts w:ascii="宋体" w:hAnsi="宋体" w:cs="宋体" w:hint="eastAsia"/>
                <w:color w:val="000000"/>
                <w:szCs w:val="21"/>
              </w:rPr>
              <w:t>约束性</w:t>
            </w:r>
          </w:p>
        </w:tc>
      </w:tr>
      <w:tr w:rsidR="00EC2C51" w14:paraId="31F86A36" w14:textId="77777777">
        <w:tc>
          <w:tcPr>
            <w:tcW w:w="790" w:type="dxa"/>
            <w:vMerge/>
            <w:vAlign w:val="center"/>
          </w:tcPr>
          <w:p w14:paraId="4B8FB4E2" w14:textId="77777777" w:rsidR="00EC2C51" w:rsidRDefault="00EC2C51">
            <w:pPr>
              <w:pStyle w:val="HTML1"/>
              <w:widowControl/>
              <w:jc w:val="center"/>
              <w:rPr>
                <w:rFonts w:hint="default"/>
                <w:color w:val="000000"/>
                <w:sz w:val="21"/>
                <w:szCs w:val="21"/>
              </w:rPr>
            </w:pPr>
          </w:p>
        </w:tc>
        <w:tc>
          <w:tcPr>
            <w:tcW w:w="690" w:type="dxa"/>
            <w:vMerge/>
            <w:vAlign w:val="center"/>
          </w:tcPr>
          <w:p w14:paraId="631B10ED" w14:textId="77777777" w:rsidR="00EC2C51" w:rsidRDefault="00EC2C51">
            <w:pPr>
              <w:pStyle w:val="HTML1"/>
              <w:widowControl/>
              <w:jc w:val="center"/>
              <w:rPr>
                <w:rFonts w:hint="default"/>
                <w:color w:val="000000"/>
                <w:sz w:val="21"/>
                <w:szCs w:val="21"/>
              </w:rPr>
            </w:pPr>
          </w:p>
        </w:tc>
        <w:tc>
          <w:tcPr>
            <w:tcW w:w="3480" w:type="dxa"/>
            <w:vAlign w:val="center"/>
          </w:tcPr>
          <w:p w14:paraId="2065313C" w14:textId="77777777" w:rsidR="00EC2C51" w:rsidRDefault="00A971AA">
            <w:pPr>
              <w:pStyle w:val="HTML1"/>
              <w:widowControl/>
              <w:jc w:val="center"/>
              <w:rPr>
                <w:rFonts w:hint="default"/>
                <w:color w:val="000000"/>
                <w:sz w:val="21"/>
                <w:szCs w:val="21"/>
              </w:rPr>
            </w:pPr>
            <w:r>
              <w:rPr>
                <w:color w:val="000000"/>
                <w:sz w:val="21"/>
                <w:szCs w:val="21"/>
              </w:rPr>
              <w:t>地质灾害威胁人口率</w:t>
            </w:r>
          </w:p>
        </w:tc>
        <w:tc>
          <w:tcPr>
            <w:tcW w:w="1335" w:type="dxa"/>
            <w:vAlign w:val="center"/>
          </w:tcPr>
          <w:p w14:paraId="651E9C2B" w14:textId="77777777" w:rsidR="00EC2C51" w:rsidRDefault="00A971AA">
            <w:pPr>
              <w:pStyle w:val="HTML1"/>
              <w:widowControl/>
              <w:jc w:val="center"/>
              <w:rPr>
                <w:rFonts w:hint="default"/>
                <w:color w:val="000000"/>
                <w:sz w:val="21"/>
                <w:szCs w:val="21"/>
              </w:rPr>
            </w:pPr>
            <w:r>
              <w:rPr>
                <w:color w:val="000000"/>
                <w:sz w:val="21"/>
                <w:szCs w:val="21"/>
              </w:rPr>
              <w:t>≤1%</w:t>
            </w:r>
          </w:p>
        </w:tc>
        <w:tc>
          <w:tcPr>
            <w:tcW w:w="1365" w:type="dxa"/>
            <w:vAlign w:val="center"/>
          </w:tcPr>
          <w:p w14:paraId="625A0180" w14:textId="77777777" w:rsidR="00EC2C51" w:rsidRDefault="00A971AA">
            <w:pPr>
              <w:widowControl/>
              <w:jc w:val="center"/>
              <w:rPr>
                <w:rFonts w:ascii="宋体" w:hAnsi="宋体" w:cs="宋体"/>
                <w:color w:val="000000"/>
                <w:szCs w:val="21"/>
              </w:rPr>
            </w:pPr>
            <w:r>
              <w:rPr>
                <w:rFonts w:ascii="宋体" w:hAnsi="宋体" w:cs="宋体" w:hint="eastAsia"/>
                <w:color w:val="000000"/>
                <w:szCs w:val="21"/>
              </w:rPr>
              <w:t>约束性</w:t>
            </w:r>
          </w:p>
        </w:tc>
      </w:tr>
      <w:tr w:rsidR="00EC2C51" w14:paraId="19E367C9" w14:textId="77777777">
        <w:tc>
          <w:tcPr>
            <w:tcW w:w="790" w:type="dxa"/>
            <w:vMerge/>
            <w:vAlign w:val="center"/>
          </w:tcPr>
          <w:p w14:paraId="220F63E0" w14:textId="77777777" w:rsidR="00EC2C51" w:rsidRDefault="00EC2C51">
            <w:pPr>
              <w:pStyle w:val="HTML1"/>
              <w:widowControl/>
              <w:jc w:val="center"/>
              <w:rPr>
                <w:rFonts w:hint="default"/>
                <w:color w:val="000000"/>
                <w:sz w:val="21"/>
                <w:szCs w:val="21"/>
              </w:rPr>
            </w:pPr>
          </w:p>
        </w:tc>
        <w:tc>
          <w:tcPr>
            <w:tcW w:w="690" w:type="dxa"/>
            <w:vMerge/>
            <w:vAlign w:val="center"/>
          </w:tcPr>
          <w:p w14:paraId="43773C13" w14:textId="77777777" w:rsidR="00EC2C51" w:rsidRDefault="00EC2C51">
            <w:pPr>
              <w:pStyle w:val="HTML1"/>
              <w:widowControl/>
              <w:jc w:val="center"/>
              <w:rPr>
                <w:rFonts w:hint="default"/>
                <w:color w:val="000000"/>
                <w:sz w:val="21"/>
                <w:szCs w:val="21"/>
              </w:rPr>
            </w:pPr>
          </w:p>
        </w:tc>
        <w:tc>
          <w:tcPr>
            <w:tcW w:w="3480" w:type="dxa"/>
            <w:vAlign w:val="center"/>
          </w:tcPr>
          <w:p w14:paraId="50488B7A" w14:textId="77777777" w:rsidR="00EC2C51" w:rsidRDefault="00A971AA">
            <w:pPr>
              <w:pStyle w:val="HTML1"/>
              <w:widowControl/>
              <w:jc w:val="center"/>
              <w:rPr>
                <w:rFonts w:hint="default"/>
                <w:color w:val="000000"/>
                <w:sz w:val="21"/>
                <w:szCs w:val="21"/>
              </w:rPr>
            </w:pPr>
            <w:r>
              <w:rPr>
                <w:color w:val="000000"/>
                <w:sz w:val="21"/>
                <w:szCs w:val="21"/>
              </w:rPr>
              <w:t>林业有害生物成灾率</w:t>
            </w:r>
          </w:p>
        </w:tc>
        <w:tc>
          <w:tcPr>
            <w:tcW w:w="1335" w:type="dxa"/>
            <w:vAlign w:val="center"/>
          </w:tcPr>
          <w:p w14:paraId="0A1BBAB7" w14:textId="77777777" w:rsidR="00EC2C51" w:rsidRDefault="00A971AA">
            <w:pPr>
              <w:pStyle w:val="HTML1"/>
              <w:widowControl/>
              <w:jc w:val="center"/>
              <w:rPr>
                <w:rFonts w:hint="default"/>
                <w:color w:val="000000"/>
                <w:sz w:val="21"/>
                <w:szCs w:val="21"/>
              </w:rPr>
            </w:pPr>
            <w:r>
              <w:rPr>
                <w:color w:val="000000"/>
                <w:sz w:val="21"/>
                <w:szCs w:val="21"/>
              </w:rPr>
              <w:t>≤4‰</w:t>
            </w:r>
          </w:p>
        </w:tc>
        <w:tc>
          <w:tcPr>
            <w:tcW w:w="1365" w:type="dxa"/>
            <w:vAlign w:val="center"/>
          </w:tcPr>
          <w:p w14:paraId="64D6A777" w14:textId="77777777" w:rsidR="00EC2C51" w:rsidRDefault="00A971AA">
            <w:pPr>
              <w:widowControl/>
              <w:jc w:val="center"/>
              <w:rPr>
                <w:rFonts w:ascii="宋体" w:hAnsi="宋体" w:cs="宋体"/>
                <w:color w:val="000000"/>
                <w:szCs w:val="21"/>
              </w:rPr>
            </w:pPr>
            <w:r>
              <w:rPr>
                <w:rFonts w:ascii="宋体" w:hAnsi="宋体" w:cs="宋体" w:hint="eastAsia"/>
                <w:color w:val="000000"/>
                <w:szCs w:val="21"/>
              </w:rPr>
              <w:t>约束性</w:t>
            </w:r>
          </w:p>
        </w:tc>
      </w:tr>
      <w:tr w:rsidR="00EC2C51" w14:paraId="0B64D059" w14:textId="77777777">
        <w:tc>
          <w:tcPr>
            <w:tcW w:w="790" w:type="dxa"/>
            <w:vMerge/>
            <w:vAlign w:val="center"/>
          </w:tcPr>
          <w:p w14:paraId="44113E8B" w14:textId="77777777" w:rsidR="00EC2C51" w:rsidRDefault="00EC2C51">
            <w:pPr>
              <w:pStyle w:val="HTML1"/>
              <w:widowControl/>
              <w:jc w:val="center"/>
              <w:rPr>
                <w:rFonts w:hint="default"/>
                <w:color w:val="000000"/>
                <w:sz w:val="21"/>
                <w:szCs w:val="21"/>
              </w:rPr>
            </w:pPr>
          </w:p>
        </w:tc>
        <w:tc>
          <w:tcPr>
            <w:tcW w:w="690" w:type="dxa"/>
            <w:vMerge/>
            <w:vAlign w:val="center"/>
          </w:tcPr>
          <w:p w14:paraId="649940FF" w14:textId="77777777" w:rsidR="00EC2C51" w:rsidRDefault="00EC2C51">
            <w:pPr>
              <w:pStyle w:val="HTML1"/>
              <w:widowControl/>
              <w:jc w:val="center"/>
              <w:rPr>
                <w:rFonts w:hint="default"/>
                <w:color w:val="000000"/>
                <w:sz w:val="21"/>
                <w:szCs w:val="21"/>
              </w:rPr>
            </w:pPr>
          </w:p>
        </w:tc>
        <w:tc>
          <w:tcPr>
            <w:tcW w:w="3480" w:type="dxa"/>
            <w:vAlign w:val="center"/>
          </w:tcPr>
          <w:p w14:paraId="665F630E" w14:textId="77777777" w:rsidR="00EC2C51" w:rsidRDefault="00A971AA">
            <w:pPr>
              <w:pStyle w:val="HTML1"/>
              <w:widowControl/>
              <w:jc w:val="center"/>
              <w:rPr>
                <w:rFonts w:hint="default"/>
                <w:color w:val="000000"/>
                <w:sz w:val="21"/>
                <w:szCs w:val="21"/>
              </w:rPr>
            </w:pPr>
            <w:r>
              <w:rPr>
                <w:color w:val="000000"/>
                <w:sz w:val="21"/>
                <w:szCs w:val="21"/>
              </w:rPr>
              <w:t>无公害防治率达</w:t>
            </w:r>
          </w:p>
        </w:tc>
        <w:tc>
          <w:tcPr>
            <w:tcW w:w="1335" w:type="dxa"/>
            <w:vAlign w:val="center"/>
          </w:tcPr>
          <w:p w14:paraId="746809EB" w14:textId="77777777" w:rsidR="00EC2C51" w:rsidRDefault="00A971AA">
            <w:pPr>
              <w:pStyle w:val="HTML1"/>
              <w:widowControl/>
              <w:jc w:val="center"/>
              <w:rPr>
                <w:rFonts w:hint="default"/>
                <w:color w:val="000000"/>
                <w:sz w:val="21"/>
                <w:szCs w:val="21"/>
              </w:rPr>
            </w:pPr>
            <w:r>
              <w:rPr>
                <w:color w:val="000000"/>
                <w:sz w:val="21"/>
                <w:szCs w:val="21"/>
              </w:rPr>
              <w:t>80%</w:t>
            </w:r>
          </w:p>
        </w:tc>
        <w:tc>
          <w:tcPr>
            <w:tcW w:w="1365" w:type="dxa"/>
            <w:vAlign w:val="center"/>
          </w:tcPr>
          <w:p w14:paraId="5651638C" w14:textId="77777777" w:rsidR="00EC2C51" w:rsidRDefault="00A971AA">
            <w:pPr>
              <w:widowControl/>
              <w:jc w:val="center"/>
              <w:rPr>
                <w:rFonts w:ascii="宋体" w:hAnsi="宋体" w:cs="宋体"/>
                <w:color w:val="000000"/>
                <w:szCs w:val="21"/>
              </w:rPr>
            </w:pPr>
            <w:r>
              <w:rPr>
                <w:rFonts w:ascii="宋体" w:hAnsi="宋体" w:cs="宋体" w:hint="eastAsia"/>
                <w:color w:val="000000"/>
                <w:szCs w:val="21"/>
              </w:rPr>
              <w:t>约束性</w:t>
            </w:r>
          </w:p>
        </w:tc>
      </w:tr>
    </w:tbl>
    <w:p w14:paraId="35999BAF" w14:textId="77777777" w:rsidR="00EC2C51" w:rsidRDefault="00EC2C51">
      <w:pPr>
        <w:pStyle w:val="HTML1"/>
        <w:widowControl/>
        <w:jc w:val="both"/>
        <w:rPr>
          <w:rFonts w:ascii="仿宋_GB2312 Bold" w:eastAsia="仿宋_GB2312 Bold" w:hAnsi="仿宋_GB2312 Bold" w:cs="仿宋_GB2312 Bold" w:hint="default"/>
          <w:b/>
          <w:bCs/>
          <w:color w:val="000000"/>
          <w:sz w:val="31"/>
          <w:szCs w:val="31"/>
        </w:rPr>
      </w:pPr>
    </w:p>
    <w:p w14:paraId="60F648A3" w14:textId="77777777" w:rsidR="00EC2C51" w:rsidRDefault="00A971AA">
      <w:pPr>
        <w:pStyle w:val="HTML1"/>
        <w:widowControl/>
        <w:ind w:firstLineChars="200" w:firstLine="620"/>
        <w:outlineLvl w:val="0"/>
        <w:rPr>
          <w:rFonts w:hint="default"/>
        </w:rPr>
      </w:pPr>
      <w:bookmarkStart w:id="86" w:name="_Toc26047"/>
      <w:r>
        <w:rPr>
          <w:rFonts w:ascii="黑体" w:eastAsia="黑体" w:cs="黑体"/>
          <w:color w:val="000000"/>
          <w:sz w:val="31"/>
          <w:szCs w:val="31"/>
        </w:rPr>
        <w:t>三、主要任务</w:t>
      </w:r>
      <w:bookmarkEnd w:id="86"/>
    </w:p>
    <w:p w14:paraId="634D7AAA" w14:textId="77777777" w:rsidR="00EC2C51" w:rsidRDefault="00A971AA">
      <w:pPr>
        <w:pStyle w:val="HTML1"/>
        <w:widowControl/>
        <w:ind w:firstLineChars="200" w:firstLine="620"/>
        <w:outlineLvl w:val="1"/>
        <w:rPr>
          <w:rFonts w:ascii="楷体_GB2312" w:eastAsia="楷体_GB2312" w:cs="楷体_GB2312" w:hint="default"/>
          <w:color w:val="000000"/>
          <w:sz w:val="31"/>
          <w:szCs w:val="31"/>
        </w:rPr>
      </w:pPr>
      <w:bookmarkStart w:id="87" w:name="_Toc1630"/>
      <w:r>
        <w:rPr>
          <w:rFonts w:ascii="楷体_GB2312" w:eastAsia="楷体_GB2312" w:cs="楷体_GB2312"/>
          <w:color w:val="000000"/>
          <w:sz w:val="31"/>
          <w:szCs w:val="31"/>
        </w:rPr>
        <w:t>（一）加强防灾减灾救灾体制机制建设</w:t>
      </w:r>
      <w:bookmarkEnd w:id="87"/>
    </w:p>
    <w:p w14:paraId="2E67C9B7" w14:textId="77777777" w:rsidR="00EC2C51" w:rsidRDefault="00A971AA">
      <w:pPr>
        <w:pStyle w:val="HTML1"/>
        <w:widowControl/>
        <w:ind w:firstLineChars="200" w:firstLine="620"/>
        <w:rPr>
          <w:rFonts w:hint="default"/>
        </w:rPr>
      </w:pPr>
      <w:r>
        <w:rPr>
          <w:rFonts w:ascii="仿宋_GB2312" w:eastAsia="仿宋_GB2312" w:cs="仿宋_GB2312"/>
          <w:color w:val="000000"/>
          <w:sz w:val="31"/>
          <w:szCs w:val="31"/>
        </w:rPr>
        <w:t>1.完善防灾减灾救灾管理体制。进一步完善由康巴什区减灾委、</w:t>
      </w:r>
      <w:r>
        <w:rPr>
          <w:rFonts w:ascii="仿宋_GB2312" w:eastAsia="仿宋_GB2312" w:hAnsi="Times New Roman"/>
          <w:color w:val="000000"/>
          <w:sz w:val="32"/>
        </w:rPr>
        <w:t>防汛抗旱指挥部、森林草原防灭火指挥部、抗震救灾指挥部</w:t>
      </w:r>
      <w:r>
        <w:rPr>
          <w:rFonts w:ascii="仿宋_GB2312" w:eastAsia="仿宋_GB2312" w:cs="仿宋_GB2312"/>
          <w:color w:val="000000"/>
          <w:sz w:val="31"/>
          <w:szCs w:val="31"/>
        </w:rPr>
        <w:t>统一协调、分级负责、各</w:t>
      </w:r>
      <w:proofErr w:type="gramStart"/>
      <w:r>
        <w:rPr>
          <w:rFonts w:ascii="仿宋_GB2312" w:eastAsia="仿宋_GB2312" w:cs="仿宋_GB2312"/>
          <w:color w:val="000000"/>
          <w:sz w:val="31"/>
          <w:szCs w:val="31"/>
        </w:rPr>
        <w:t>涉灾部门</w:t>
      </w:r>
      <w:proofErr w:type="gramEnd"/>
      <w:r>
        <w:rPr>
          <w:rFonts w:ascii="仿宋_GB2312" w:eastAsia="仿宋_GB2312" w:cs="仿宋_GB2312"/>
          <w:color w:val="000000"/>
          <w:sz w:val="31"/>
          <w:szCs w:val="31"/>
        </w:rPr>
        <w:t>协同应对的综合防灾减灾救灾管理体制。坚持各级政府在防灾减灾救灾工作中的主导作用，完善综合减灾委员会及其办事机构，充分发挥主要灾种防灾救灾指挥机构防范部署与应急指挥作用。优化调整减灾委和专项应急指挥部组织架构及职能，强化灾害事故统一指挥</w:t>
      </w:r>
      <w:r>
        <w:rPr>
          <w:rFonts w:ascii="仿宋_GB2312" w:eastAsia="仿宋_GB2312" w:cs="仿宋_GB2312"/>
          <w:color w:val="000000"/>
          <w:sz w:val="31"/>
          <w:szCs w:val="31"/>
        </w:rPr>
        <w:lastRenderedPageBreak/>
        <w:t>和综合协调应对机制。充分发挥减灾委统筹协调作用，健全减灾委成员单位协调运作机制，完善减灾委议事协调机制及工作规则，建立完善科学高效的信息互通机制。坚持统分结合，强化资源统筹和工作协同，不断提升城区防灾减灾救灾整体水平。</w:t>
      </w:r>
    </w:p>
    <w:p w14:paraId="5EB231EB" w14:textId="77777777" w:rsidR="00EC2C51" w:rsidRDefault="00A971AA">
      <w:pPr>
        <w:pStyle w:val="HTML1"/>
        <w:widowControl/>
        <w:ind w:firstLine="640"/>
        <w:rPr>
          <w:rFonts w:ascii="仿宋_GB2312" w:eastAsia="仿宋_GB2312" w:cs="仿宋_GB2312" w:hint="default"/>
          <w:color w:val="000000"/>
          <w:sz w:val="31"/>
          <w:szCs w:val="31"/>
        </w:rPr>
      </w:pPr>
      <w:r>
        <w:rPr>
          <w:rFonts w:ascii="仿宋_GB2312" w:eastAsia="仿宋_GB2312" w:cs="仿宋_GB2312"/>
          <w:color w:val="000000"/>
          <w:sz w:val="31"/>
          <w:szCs w:val="31"/>
        </w:rPr>
        <w:t>2.健全防灾减灾救灾管理机制。理清各部门、街道办管理职责，明确防灾减灾救灾职责边界与履职内容。建立统一指挥、分级负责的防灾减灾救灾责任体系，出台责任制规定，形成职责明确、权责一致、条块清晰的责任网。紧盯重点时段、重点地区、重点目标，强化监管措施，推动自然灾害责任人严格落实隐患防治主体责任，健全覆盖全员、全过程的隐患防治责任制。完善自然灾害监测预警预报和群防群测机制，健全综合防灾减灾救灾信息资源的获取和共享机制。完善风险防范、灾害救助、损失评估、恢复重建、社会动员等长效机制。完善防灾减灾基础设施建设、生活保障安排、救灾物资储备、救灾装备配备等方面的财政投入以及恢复重建资金筹措机制。</w:t>
      </w:r>
    </w:p>
    <w:p w14:paraId="7531E64D" w14:textId="77777777" w:rsidR="00EC2C51" w:rsidRDefault="00A971AA">
      <w:pPr>
        <w:pStyle w:val="HTML1"/>
        <w:widowControl/>
        <w:ind w:firstLine="640"/>
        <w:rPr>
          <w:rFonts w:hint="default"/>
        </w:rPr>
      </w:pPr>
      <w:r>
        <w:rPr>
          <w:rFonts w:ascii="仿宋_GB2312" w:eastAsia="仿宋_GB2312" w:cs="仿宋_GB2312"/>
          <w:color w:val="000000"/>
          <w:sz w:val="31"/>
          <w:szCs w:val="31"/>
        </w:rPr>
        <w:t>3.完善综合减灾相关专项规划。在防灾减灾救灾规划的基础上，制定防震减灾规划、地质灾害防治规划、防洪规划、气象规划、消防规划、森林草原防火规划、排水防涝规划等专项规划和年度实施计划；对各规划进行专家论证评审和中期评估。客观评价规划实施进展情况，综合</w:t>
      </w:r>
      <w:proofErr w:type="gramStart"/>
      <w:r>
        <w:rPr>
          <w:rFonts w:ascii="仿宋_GB2312" w:eastAsia="仿宋_GB2312" w:cs="仿宋_GB2312"/>
          <w:color w:val="000000"/>
          <w:sz w:val="31"/>
          <w:szCs w:val="31"/>
        </w:rPr>
        <w:t>研</w:t>
      </w:r>
      <w:proofErr w:type="gramEnd"/>
      <w:r>
        <w:rPr>
          <w:rFonts w:ascii="仿宋_GB2312" w:eastAsia="仿宋_GB2312" w:cs="仿宋_GB2312"/>
          <w:color w:val="000000"/>
          <w:sz w:val="31"/>
          <w:szCs w:val="31"/>
        </w:rPr>
        <w:t>判国内外形势变化，</w:t>
      </w:r>
      <w:r>
        <w:rPr>
          <w:rFonts w:ascii="仿宋_GB2312" w:eastAsia="仿宋_GB2312" w:cs="仿宋_GB2312"/>
          <w:color w:val="000000"/>
          <w:sz w:val="31"/>
          <w:szCs w:val="31"/>
        </w:rPr>
        <w:lastRenderedPageBreak/>
        <w:t>及时发现新情况新问题，提出改进规划实施的对策建议，持续推动各规划顺利实施。</w:t>
      </w:r>
    </w:p>
    <w:p w14:paraId="165D0153" w14:textId="77777777" w:rsidR="00EC2C51" w:rsidRDefault="00A971AA">
      <w:pPr>
        <w:pStyle w:val="HTML1"/>
        <w:widowControl/>
        <w:ind w:firstLine="640"/>
        <w:outlineLvl w:val="1"/>
        <w:rPr>
          <w:rFonts w:hint="default"/>
        </w:rPr>
      </w:pPr>
      <w:bookmarkStart w:id="88" w:name="_Toc9656"/>
      <w:r>
        <w:rPr>
          <w:rFonts w:ascii="楷体_GB2312" w:eastAsia="楷体_GB2312" w:cs="楷体_GB2312"/>
          <w:color w:val="000000"/>
          <w:sz w:val="31"/>
          <w:szCs w:val="31"/>
        </w:rPr>
        <w:t>（二）加强自然灾害监测预警与风险信息管理能力</w:t>
      </w:r>
      <w:bookmarkEnd w:id="88"/>
    </w:p>
    <w:p w14:paraId="09088F9E" w14:textId="77777777" w:rsidR="00EC2C51" w:rsidRDefault="00A971AA">
      <w:pPr>
        <w:pStyle w:val="HTML1"/>
        <w:widowControl/>
        <w:ind w:firstLine="640"/>
        <w:rPr>
          <w:rFonts w:ascii="仿宋_GB2312" w:eastAsia="仿宋_GB2312" w:cs="仿宋_GB2312" w:hint="default"/>
          <w:color w:val="000000"/>
          <w:sz w:val="31"/>
          <w:szCs w:val="31"/>
        </w:rPr>
      </w:pPr>
      <w:r>
        <w:rPr>
          <w:rFonts w:ascii="仿宋_GB2312" w:eastAsia="仿宋_GB2312" w:cs="仿宋_GB2312"/>
          <w:color w:val="000000"/>
          <w:sz w:val="31"/>
          <w:szCs w:val="31"/>
        </w:rPr>
        <w:t>1.加强自然灾害监测预警能力。建立各类灾害隐患数据管理系统，对重点隐患点进行远程实时监测。借鉴先进城市自然灾害监测预警建设经验，加快当地气象、水文、地震、地质、林业等灾害监测地面站网建设，增加各类自然灾害监测站网密度，提高监测水平，及时发布预警预报和安全提示。推进康巴什区全要素气象监测站建设，提高气象灾害预警准确度。完善内涝积水点智能监测及标识系统，提高城市内涝风险预报预警能力。加强地质灾害监测网建设，开展塌陷地质灾害、地面崩塌地质灾害的专业监测，超前做出预测预报，减少人员伤亡和财产损失。推进防火检查站、防火</w:t>
      </w:r>
      <w:r>
        <w:rPr>
          <w:color w:val="000000"/>
          <w:sz w:val="31"/>
          <w:szCs w:val="31"/>
        </w:rPr>
        <w:t>瞭</w:t>
      </w:r>
      <w:r>
        <w:rPr>
          <w:rFonts w:ascii="仿宋_GB2312" w:eastAsia="仿宋_GB2312" w:cs="仿宋_GB2312"/>
          <w:color w:val="000000"/>
          <w:sz w:val="31"/>
          <w:szCs w:val="31"/>
        </w:rPr>
        <w:t>望塔、视频监控点、无人机等手段应用，提升森林草原火灾感知及监测预警能力。推进新技术、新装备的应用，充分发挥现代科技在林业防治有害生物中的支撑作用。</w:t>
      </w:r>
    </w:p>
    <w:p w14:paraId="287A584C" w14:textId="77777777" w:rsidR="00EC2C51" w:rsidRDefault="00A971AA">
      <w:pPr>
        <w:pStyle w:val="HTML1"/>
        <w:widowControl/>
        <w:ind w:firstLine="640"/>
        <w:rPr>
          <w:rFonts w:hint="default"/>
        </w:rPr>
      </w:pPr>
      <w:r>
        <w:rPr>
          <w:rFonts w:ascii="仿宋_GB2312" w:eastAsia="仿宋_GB2312" w:cs="仿宋_GB2312"/>
          <w:color w:val="000000"/>
          <w:sz w:val="31"/>
          <w:szCs w:val="31"/>
        </w:rPr>
        <w:t>2.提升风险信息管理能力。定期开展康巴什区自然灾害的形势分析会议，加强对风险季节性、阶段性特点与发展趋势的</w:t>
      </w:r>
      <w:proofErr w:type="gramStart"/>
      <w:r>
        <w:rPr>
          <w:rFonts w:ascii="仿宋_GB2312" w:eastAsia="仿宋_GB2312" w:cs="仿宋_GB2312"/>
          <w:color w:val="000000"/>
          <w:sz w:val="31"/>
          <w:szCs w:val="31"/>
        </w:rPr>
        <w:t>研</w:t>
      </w:r>
      <w:proofErr w:type="gramEnd"/>
      <w:r>
        <w:rPr>
          <w:rFonts w:ascii="仿宋_GB2312" w:eastAsia="仿宋_GB2312" w:cs="仿宋_GB2312"/>
          <w:color w:val="000000"/>
          <w:sz w:val="31"/>
          <w:szCs w:val="31"/>
        </w:rPr>
        <w:t>判分析，做好各类灾害风险等级划分工作，及时发布各类安全预警信息，制定科学的管控方案，实现风险超前防范、隐患及时治理。各部门间实现信息共享，加强多灾种和灾害</w:t>
      </w:r>
      <w:proofErr w:type="gramStart"/>
      <w:r>
        <w:rPr>
          <w:rFonts w:ascii="仿宋_GB2312" w:eastAsia="仿宋_GB2312" w:cs="仿宋_GB2312"/>
          <w:color w:val="000000"/>
          <w:sz w:val="31"/>
          <w:szCs w:val="31"/>
        </w:rPr>
        <w:t>链综合</w:t>
      </w:r>
      <w:proofErr w:type="gramEnd"/>
      <w:r>
        <w:rPr>
          <w:rFonts w:ascii="仿宋_GB2312" w:eastAsia="仿宋_GB2312" w:cs="仿宋_GB2312"/>
          <w:color w:val="000000"/>
          <w:sz w:val="31"/>
          <w:szCs w:val="31"/>
        </w:rPr>
        <w:t>监测能力，提高自然灾害早期识别、风险信息共享与发布能力。</w:t>
      </w:r>
      <w:r>
        <w:rPr>
          <w:rFonts w:ascii="仿宋_GB2312" w:eastAsia="仿宋_GB2312" w:cs="仿宋_GB2312"/>
          <w:color w:val="000000"/>
          <w:sz w:val="31"/>
          <w:szCs w:val="31"/>
        </w:rPr>
        <w:lastRenderedPageBreak/>
        <w:t>规划康巴什智慧森林草原资源云平台，推进气象大数据平台应用，为风险监测、预警、预报、扑救、灾后评估等提供技术支撑和科学依据。</w:t>
      </w:r>
    </w:p>
    <w:p w14:paraId="789A226A" w14:textId="77777777" w:rsidR="00EC2C51" w:rsidRDefault="00A971AA">
      <w:pPr>
        <w:pStyle w:val="HTML1"/>
        <w:widowControl/>
        <w:ind w:firstLine="640"/>
        <w:rPr>
          <w:rFonts w:ascii="仿宋_GB2312" w:eastAsia="仿宋_GB2312" w:cs="仿宋_GB2312" w:hint="default"/>
          <w:color w:val="000000"/>
          <w:sz w:val="31"/>
          <w:szCs w:val="31"/>
        </w:rPr>
      </w:pPr>
      <w:r>
        <w:rPr>
          <w:rFonts w:ascii="仿宋_GB2312" w:eastAsia="仿宋_GB2312" w:cs="仿宋_GB2312"/>
          <w:color w:val="000000"/>
          <w:sz w:val="31"/>
          <w:szCs w:val="31"/>
        </w:rPr>
        <w:t>3.全面开展自然灾害综合风险普查。按照《国务院办公厅关于开展第一次全国自然灾害综合风险普查的通知》要求，《鄂尔多斯市减灾委员会办公室关于转发内蒙古自治区减灾委员会办公室关于开展内蒙古自治区第一次全国自然灾害综合风险普查应急管理部门任务统计工作的通知》（鄂减灾委〔2020〕3号）要求以及区委、区政府领导批示，制定自然灾害普查实施方案，充分整合已有资源，配备人员队伍。在对全区范围内的自然灾害</w:t>
      </w:r>
      <w:proofErr w:type="gramStart"/>
      <w:r>
        <w:rPr>
          <w:rFonts w:ascii="仿宋_GB2312" w:eastAsia="仿宋_GB2312" w:cs="仿宋_GB2312"/>
          <w:color w:val="000000"/>
          <w:sz w:val="31"/>
          <w:szCs w:val="31"/>
        </w:rPr>
        <w:t>承灾体</w:t>
      </w:r>
      <w:proofErr w:type="gramEnd"/>
      <w:r>
        <w:rPr>
          <w:rFonts w:ascii="仿宋_GB2312" w:eastAsia="仿宋_GB2312" w:cs="仿宋_GB2312"/>
          <w:color w:val="000000"/>
          <w:sz w:val="31"/>
          <w:szCs w:val="31"/>
        </w:rPr>
        <w:t>、综合减灾资源、重点隐患摸底汇总的基础上，客观认识当前康巴什区各街道致灾风险水平、综合风险水平、综合防灾减灾救灾能力，科学预判今后一段时期灾害风险变化趋势和特点；建立康巴什区自然灾害综合风险与减灾能力评估指标体系，形成多尺度风险识别、隐患识别、风险评估、风险制图、风险区划的技术方法和模型库；推动普查成果转化应用和数据资源共建共享，实现自然灾害风险识别、</w:t>
      </w:r>
      <w:proofErr w:type="gramStart"/>
      <w:r>
        <w:rPr>
          <w:rFonts w:ascii="仿宋_GB2312" w:eastAsia="仿宋_GB2312" w:cs="仿宋_GB2312"/>
          <w:color w:val="000000"/>
          <w:sz w:val="31"/>
          <w:szCs w:val="31"/>
        </w:rPr>
        <w:t>研</w:t>
      </w:r>
      <w:proofErr w:type="gramEnd"/>
      <w:r>
        <w:rPr>
          <w:rFonts w:ascii="仿宋_GB2312" w:eastAsia="仿宋_GB2312" w:cs="仿宋_GB2312"/>
          <w:color w:val="000000"/>
          <w:sz w:val="31"/>
          <w:szCs w:val="31"/>
        </w:rPr>
        <w:t>判、预警、</w:t>
      </w:r>
      <w:proofErr w:type="gramStart"/>
      <w:r>
        <w:rPr>
          <w:rFonts w:ascii="仿宋_GB2312" w:eastAsia="仿宋_GB2312" w:cs="仿宋_GB2312"/>
          <w:color w:val="000000"/>
          <w:sz w:val="31"/>
          <w:szCs w:val="31"/>
        </w:rPr>
        <w:t>管控全链条</w:t>
      </w:r>
      <w:proofErr w:type="gramEnd"/>
      <w:r>
        <w:rPr>
          <w:rFonts w:ascii="仿宋_GB2312" w:eastAsia="仿宋_GB2312" w:cs="仿宋_GB2312"/>
          <w:color w:val="000000"/>
          <w:sz w:val="31"/>
          <w:szCs w:val="31"/>
        </w:rPr>
        <w:t>全周期精准治理。</w:t>
      </w:r>
    </w:p>
    <w:p w14:paraId="4C272F4C" w14:textId="77777777" w:rsidR="00EC2C51" w:rsidRDefault="00A971AA">
      <w:pPr>
        <w:pStyle w:val="HTML1"/>
        <w:widowControl/>
        <w:ind w:firstLine="640"/>
        <w:rPr>
          <w:rFonts w:hint="default"/>
        </w:rPr>
      </w:pPr>
      <w:r>
        <w:rPr>
          <w:rFonts w:ascii="仿宋_GB2312" w:eastAsia="仿宋_GB2312" w:cs="仿宋_GB2312"/>
          <w:color w:val="000000"/>
          <w:sz w:val="31"/>
          <w:szCs w:val="31"/>
        </w:rPr>
        <w:t>4.加强灾害信息发布能力。建设完成预警信息发布平台，加强与电信公司合作，提高预警信息的时效，扩大预警信息覆盖范围，确保各区域群众有效接收到预警信息。充分利用多形式的预警信息发布手段，拓宽各类传播渠道，将灾害预警信息</w:t>
      </w:r>
      <w:r>
        <w:rPr>
          <w:rFonts w:ascii="仿宋_GB2312" w:eastAsia="仿宋_GB2312" w:cs="仿宋_GB2312"/>
          <w:color w:val="000000"/>
          <w:sz w:val="31"/>
          <w:szCs w:val="31"/>
        </w:rPr>
        <w:lastRenderedPageBreak/>
        <w:t>发送到户到人，进一步打通预警信息服务“最后一公里”，提升预警信息精细</w:t>
      </w:r>
      <w:proofErr w:type="gramStart"/>
      <w:r>
        <w:rPr>
          <w:rFonts w:ascii="仿宋_GB2312" w:eastAsia="仿宋_GB2312" w:cs="仿宋_GB2312"/>
          <w:color w:val="000000"/>
          <w:sz w:val="31"/>
          <w:szCs w:val="31"/>
        </w:rPr>
        <w:t>化发布</w:t>
      </w:r>
      <w:proofErr w:type="gramEnd"/>
      <w:r>
        <w:rPr>
          <w:rFonts w:ascii="仿宋_GB2312" w:eastAsia="仿宋_GB2312" w:cs="仿宋_GB2312"/>
          <w:color w:val="000000"/>
          <w:sz w:val="31"/>
          <w:szCs w:val="31"/>
        </w:rPr>
        <w:t>能力，实现指定区域指定人群全网靶向发布。</w:t>
      </w:r>
    </w:p>
    <w:p w14:paraId="164E5AF1" w14:textId="77777777" w:rsidR="00EC2C51" w:rsidRDefault="00A971AA">
      <w:pPr>
        <w:pStyle w:val="HTML1"/>
        <w:widowControl/>
        <w:ind w:firstLine="640"/>
        <w:outlineLvl w:val="1"/>
        <w:rPr>
          <w:rFonts w:hint="default"/>
        </w:rPr>
      </w:pPr>
      <w:bookmarkStart w:id="89" w:name="_Toc11191"/>
      <w:r>
        <w:rPr>
          <w:rFonts w:ascii="楷体_GB2312" w:eastAsia="楷体_GB2312" w:cs="楷体_GB2312"/>
          <w:color w:val="000000"/>
          <w:sz w:val="31"/>
          <w:szCs w:val="31"/>
        </w:rPr>
        <w:t>（三）提升自然灾害应急处置和恢复重建能力</w:t>
      </w:r>
      <w:bookmarkEnd w:id="89"/>
    </w:p>
    <w:p w14:paraId="57038B58" w14:textId="77777777" w:rsidR="00EC2C51" w:rsidRDefault="00A971AA">
      <w:pPr>
        <w:pStyle w:val="HTML1"/>
        <w:widowControl/>
        <w:ind w:firstLine="640"/>
        <w:rPr>
          <w:rFonts w:hint="default"/>
        </w:rPr>
      </w:pPr>
      <w:r>
        <w:rPr>
          <w:rFonts w:ascii="仿宋_GB2312" w:eastAsia="仿宋_GB2312" w:cs="仿宋_GB2312"/>
          <w:color w:val="000000"/>
          <w:sz w:val="31"/>
          <w:szCs w:val="31"/>
        </w:rPr>
        <w:t>1.加强自然灾害应急处置能力。深化自然灾害抢险救援指挥体系建设，建立健全统一指挥、协调有序、运转高效的应急救援运行机制。完善物资储备调运平台系统，加快对区直各部门、街道储备物资的信息录入，提升物资储备调运信息化管理水平。推动街道、社区以及学校等基层单位的应急救援队伍建设，加强基层应急救援队伍的应急处置能力。加强各灾种救灾装备建设和救灾物资保障能力建设，加强对生命探测、救援搜救、专用车辆、机械设备等装备设施的补充。</w:t>
      </w:r>
    </w:p>
    <w:p w14:paraId="3E0586DC" w14:textId="77777777" w:rsidR="00EC2C51" w:rsidRDefault="00A971AA">
      <w:pPr>
        <w:pStyle w:val="HTML1"/>
        <w:widowControl/>
        <w:ind w:firstLine="640"/>
        <w:rPr>
          <w:rFonts w:hint="default"/>
        </w:rPr>
      </w:pPr>
      <w:r>
        <w:rPr>
          <w:rFonts w:ascii="仿宋_GB2312" w:eastAsia="仿宋_GB2312" w:cs="仿宋_GB2312"/>
          <w:color w:val="000000"/>
          <w:sz w:val="31"/>
          <w:szCs w:val="31"/>
        </w:rPr>
        <w:t>2.强化灾后恢复重建能力。充分发挥区政府在资金、政策、规划等方面的统筹指导和支持作用，健全灾后恢复重建资金筹措机制，完善市场化筹集重建资金机制。推进巨灾保险制度建设，形成政府主导、群众广泛参与的灾后重建工作机制。科学统筹、提前谋划恢复重建工作，加强各部门间的协调联动，精准到户，精确到人。加强生命线工程系统破坏情况调查和快速抢险，抓紧恢复基础设施功能。建立灾害事故应对档案管理制度。将居民住房恢复重建摆在优先地位，完善公共服务体系，加大恢复重建质量监督和监管力度，加强城市的快速恢复能力。</w:t>
      </w:r>
    </w:p>
    <w:p w14:paraId="7513823B" w14:textId="77777777" w:rsidR="00EC2C51" w:rsidRDefault="00A971AA">
      <w:pPr>
        <w:pStyle w:val="HTML1"/>
        <w:widowControl/>
        <w:ind w:firstLine="640"/>
        <w:outlineLvl w:val="1"/>
        <w:rPr>
          <w:rFonts w:hint="default"/>
        </w:rPr>
      </w:pPr>
      <w:bookmarkStart w:id="90" w:name="_Toc30339"/>
      <w:r>
        <w:rPr>
          <w:rFonts w:ascii="楷体_GB2312" w:eastAsia="楷体_GB2312" w:cs="楷体_GB2312"/>
          <w:color w:val="000000"/>
          <w:sz w:val="31"/>
          <w:szCs w:val="31"/>
        </w:rPr>
        <w:lastRenderedPageBreak/>
        <w:t>（四）强化基层防灾减灾救灾能力建设</w:t>
      </w:r>
      <w:bookmarkEnd w:id="90"/>
    </w:p>
    <w:p w14:paraId="0878093F" w14:textId="77777777" w:rsidR="00EC2C51" w:rsidRDefault="00A971AA">
      <w:pPr>
        <w:pStyle w:val="HTML1"/>
        <w:widowControl/>
        <w:ind w:firstLine="640"/>
        <w:rPr>
          <w:rFonts w:hint="default"/>
        </w:rPr>
      </w:pPr>
      <w:r>
        <w:rPr>
          <w:rFonts w:ascii="仿宋_GB2312" w:eastAsia="仿宋_GB2312" w:cs="仿宋_GB2312"/>
          <w:color w:val="000000"/>
          <w:sz w:val="31"/>
          <w:szCs w:val="31"/>
        </w:rPr>
        <w:t>1.推进综合减灾示范社区建设。继续深入开展“全国综合减灾示范社区”创建活动，推进社区灾害风险识别与评估科学化，社区灾害风险图规范化，完善各街道突发事件应急预案的编制并适时组织演练，加强居民的突发事件反应能力建设。推进基层居民家庭防灾减灾准备工作，鼓励和支持以家庭为单元储备灾害应急物品，加大提升家庭和邻里自救互救能力。</w:t>
      </w:r>
    </w:p>
    <w:p w14:paraId="00077A73" w14:textId="77777777" w:rsidR="00EC2C51" w:rsidRDefault="00A971AA">
      <w:pPr>
        <w:pStyle w:val="HTML1"/>
        <w:widowControl/>
        <w:ind w:firstLine="640"/>
        <w:rPr>
          <w:rFonts w:ascii="仿宋_GB2312" w:eastAsia="仿宋_GB2312" w:cs="仿宋_GB2312" w:hint="default"/>
          <w:color w:val="000000"/>
          <w:sz w:val="31"/>
          <w:szCs w:val="31"/>
        </w:rPr>
      </w:pPr>
      <w:r>
        <w:rPr>
          <w:rFonts w:ascii="仿宋_GB2312" w:eastAsia="仿宋_GB2312" w:cs="仿宋_GB2312"/>
          <w:color w:val="000000"/>
          <w:sz w:val="31"/>
          <w:szCs w:val="31"/>
        </w:rPr>
        <w:t>2.强化基层防灾减灾基础设施建设。优化城区各类防灾减灾工程设施布局，合理确定防灾分区，提升综合防灾能力。完善消防站点布局规划，按国家标准提高消防站布局和建设规模，加强消防站点通信设施、防护装备、抢险救援器材、灭火器材等装备配置。规范地下排水管道建设，做到汛期排水畅顺，道路积水深度不影响救护车、消防车、人员转移车辆等城市应急车辆安全通行。</w:t>
      </w:r>
    </w:p>
    <w:p w14:paraId="39F148F9" w14:textId="77777777" w:rsidR="00EC2C51" w:rsidRDefault="00A971AA">
      <w:pPr>
        <w:pStyle w:val="HTML1"/>
        <w:widowControl/>
        <w:ind w:firstLine="640"/>
        <w:rPr>
          <w:rFonts w:hint="default"/>
        </w:rPr>
      </w:pPr>
      <w:r>
        <w:rPr>
          <w:rFonts w:ascii="仿宋_GB2312" w:eastAsia="仿宋_GB2312" w:cs="仿宋_GB2312"/>
          <w:color w:val="000000"/>
          <w:sz w:val="31"/>
          <w:szCs w:val="31"/>
        </w:rPr>
        <w:t>3.健全应急避难场所建设机制。推动应急避难场所专项规划编制，纳入城市建设规划体系。进一步完善应急避难场所的建设、认定、管理、监督检查和保障工作机制。有效利用公园、体育场等现有场所，建设或改造为应急避难场所，各行业主管部门进一步拓展广场、绿地、公园、体育场馆、展览馆、会展中心、学校等公共场所的应急避难能力，加强监督管理，定期开展检查整改工作，推进各级各类应急避难场所建设，做好运行维护、管理和保障工作，建立城市综合防灾减灾新模式。并</w:t>
      </w:r>
      <w:r>
        <w:rPr>
          <w:rFonts w:ascii="仿宋_GB2312" w:eastAsia="仿宋_GB2312" w:cs="仿宋_GB2312"/>
          <w:color w:val="000000"/>
          <w:sz w:val="31"/>
          <w:szCs w:val="31"/>
        </w:rPr>
        <w:lastRenderedPageBreak/>
        <w:t>为全区范围内的应急避难场所制定配套的疏散安置预案，积极开展应急演练，重点推进应急避难场所的合理规划和应急避难场所设施的标志设置，建立相关标识标牌，编制公众避险转移路线图，实现紧急状态下人员的快速就近疏散。</w:t>
      </w:r>
    </w:p>
    <w:p w14:paraId="78893EF6" w14:textId="77777777" w:rsidR="00EC2C51" w:rsidRDefault="00A971AA">
      <w:pPr>
        <w:pStyle w:val="HTML1"/>
        <w:widowControl/>
        <w:ind w:firstLine="640"/>
        <w:rPr>
          <w:rFonts w:hint="default"/>
        </w:rPr>
      </w:pPr>
      <w:r>
        <w:rPr>
          <w:rFonts w:ascii="仿宋_GB2312" w:eastAsia="仿宋_GB2312" w:cs="仿宋_GB2312"/>
          <w:color w:val="000000"/>
          <w:sz w:val="31"/>
          <w:szCs w:val="31"/>
        </w:rPr>
        <w:t>4.推进防震减灾科普示范学校建设。学校需制定地震应急预案并适时修订，设置应急疏散路线标识清晰的地震应急避险场地。在防灾减灾日等重要节点，学校可以充分利用广播、橱窗、讲座、影视和新媒体等媒介，组织学生开展防震减灾知识教育活动，确保在校学生防震减灾科普知识科普率达到100%。以“教育一个孩子，影响一个家庭，带动整个社会”为重点，通过防震减灾科普示范学校的建设，推进康巴什区整体进步，使康巴什区中小学校师生掌握基本的防震避险和自救互救技能，带动全社会防震减灾意识的不断提升，最大限度地减轻地震灾害损失。</w:t>
      </w:r>
    </w:p>
    <w:p w14:paraId="44416E49" w14:textId="77777777" w:rsidR="00EC2C51" w:rsidRDefault="00A971AA">
      <w:pPr>
        <w:pStyle w:val="HTML1"/>
        <w:widowControl/>
        <w:ind w:firstLine="640"/>
        <w:outlineLvl w:val="1"/>
        <w:rPr>
          <w:rFonts w:hint="default"/>
        </w:rPr>
      </w:pPr>
      <w:bookmarkStart w:id="91" w:name="_Toc9465"/>
      <w:r>
        <w:rPr>
          <w:rFonts w:ascii="楷体_GB2312" w:eastAsia="楷体_GB2312" w:cs="楷体_GB2312"/>
          <w:color w:val="000000"/>
          <w:sz w:val="31"/>
          <w:szCs w:val="31"/>
        </w:rPr>
        <w:t>（五）加强自然灾害防御能力建设</w:t>
      </w:r>
      <w:bookmarkEnd w:id="91"/>
    </w:p>
    <w:p w14:paraId="1D30B75F" w14:textId="77777777" w:rsidR="00EC2C51" w:rsidRDefault="00A971AA">
      <w:pPr>
        <w:pStyle w:val="HTML1"/>
        <w:widowControl/>
        <w:ind w:firstLine="640"/>
        <w:rPr>
          <w:rFonts w:ascii="仿宋_GB2312" w:eastAsia="仿宋_GB2312" w:cs="仿宋_GB2312" w:hint="default"/>
          <w:color w:val="000000"/>
          <w:sz w:val="31"/>
          <w:szCs w:val="31"/>
        </w:rPr>
      </w:pPr>
      <w:r>
        <w:rPr>
          <w:rFonts w:ascii="仿宋_GB2312" w:eastAsia="仿宋_GB2312" w:cs="仿宋_GB2312"/>
          <w:color w:val="000000"/>
          <w:sz w:val="31"/>
          <w:szCs w:val="31"/>
        </w:rPr>
        <w:t>1.加强人工影响天气能力建设。加大人工影响天气科技投入，科学开发利用空中云水资源。推进作业飞机驻地专业保障基地和设施建设，提升精准催化、实时通信和专业保障水平。加快地面固定作业点标准化建设，推进作业装备自动化、标准化、信息化改造和列装。推广应用高效、安全、绿色作业弹药。建设监测与作业一体化的</w:t>
      </w:r>
      <w:proofErr w:type="gramStart"/>
      <w:r>
        <w:rPr>
          <w:rFonts w:ascii="仿宋_GB2312" w:eastAsia="仿宋_GB2312" w:cs="仿宋_GB2312"/>
          <w:color w:val="000000"/>
          <w:sz w:val="31"/>
          <w:szCs w:val="31"/>
        </w:rPr>
        <w:t>智能物联站点</w:t>
      </w:r>
      <w:proofErr w:type="gramEnd"/>
      <w:r>
        <w:rPr>
          <w:rFonts w:ascii="仿宋_GB2312" w:eastAsia="仿宋_GB2312" w:cs="仿宋_GB2312"/>
          <w:color w:val="000000"/>
          <w:sz w:val="31"/>
          <w:szCs w:val="31"/>
        </w:rPr>
        <w:t>。做好冬春季人工增雨工作，为农业抗旱夺丰收提供支撑。</w:t>
      </w:r>
    </w:p>
    <w:p w14:paraId="70F76A9C" w14:textId="77777777" w:rsidR="00EC2C51" w:rsidRDefault="00A971AA">
      <w:pPr>
        <w:pStyle w:val="HTML1"/>
        <w:widowControl/>
        <w:ind w:firstLine="640"/>
        <w:rPr>
          <w:rFonts w:hint="default"/>
        </w:rPr>
      </w:pPr>
      <w:r>
        <w:rPr>
          <w:rFonts w:ascii="仿宋_GB2312" w:eastAsia="仿宋_GB2312" w:cs="仿宋_GB2312"/>
          <w:color w:val="000000"/>
          <w:sz w:val="31"/>
          <w:szCs w:val="31"/>
        </w:rPr>
        <w:lastRenderedPageBreak/>
        <w:t>2.推进洪涝灾害防御能力建设。将海绵城市建设理念落实到城市规划建设管理全过程，持续开展城市排水防涝补短板建设，构建“雨水收排、排涝除险、超标应急、预测预警”的城市排水防涝工程体系。加大隐患整治力度，有序推进康巴什区病险淤地坝和病险水库的除险加固工作，内涝灾害防治标准达到50年一遇</w:t>
      </w:r>
      <w:proofErr w:type="gramStart"/>
      <w:r>
        <w:rPr>
          <w:rFonts w:ascii="仿宋_GB2312" w:eastAsia="仿宋_GB2312" w:cs="仿宋_GB2312"/>
          <w:color w:val="000000"/>
          <w:sz w:val="31"/>
          <w:szCs w:val="31"/>
        </w:rPr>
        <w:t>，</w:t>
      </w:r>
      <w:proofErr w:type="gramEnd"/>
      <w:r>
        <w:rPr>
          <w:rFonts w:ascii="仿宋_GB2312" w:eastAsia="仿宋_GB2312" w:cs="仿宋_GB2312"/>
          <w:color w:val="000000"/>
          <w:sz w:val="31"/>
          <w:szCs w:val="31"/>
        </w:rPr>
        <w:t>城市防洪标准达到50年一遇</w:t>
      </w:r>
      <w:proofErr w:type="gramStart"/>
      <w:r>
        <w:rPr>
          <w:rFonts w:ascii="仿宋_GB2312" w:eastAsia="仿宋_GB2312" w:cs="仿宋_GB2312"/>
          <w:color w:val="000000"/>
          <w:sz w:val="31"/>
          <w:szCs w:val="31"/>
        </w:rPr>
        <w:t>。</w:t>
      </w:r>
      <w:proofErr w:type="gramEnd"/>
      <w:r>
        <w:rPr>
          <w:rFonts w:ascii="仿宋_GB2312" w:eastAsia="仿宋_GB2312" w:cs="仿宋_GB2312"/>
          <w:color w:val="000000"/>
          <w:sz w:val="31"/>
          <w:szCs w:val="31"/>
        </w:rPr>
        <w:t>加大对山洪地质灾害防治、抗旱应急水源等工程的投入力度。开展灾害重点防治区直接威胁社区、集中居民点或重要设施安全的山洪沟治理。定期排查城市地下管道隐患，推进城市地下积水点和隐患路段的防洪排涝工作，有效遏制城市内涝的发生。</w:t>
      </w:r>
    </w:p>
    <w:p w14:paraId="5EC1DE3A" w14:textId="77777777" w:rsidR="00EC2C51" w:rsidRDefault="00A971AA">
      <w:pPr>
        <w:pStyle w:val="HTML1"/>
        <w:widowControl/>
        <w:ind w:firstLine="640"/>
        <w:rPr>
          <w:rFonts w:ascii="仿宋_GB2312" w:eastAsia="仿宋_GB2312" w:cs="仿宋_GB2312" w:hint="default"/>
          <w:color w:val="000000"/>
          <w:sz w:val="31"/>
          <w:szCs w:val="31"/>
        </w:rPr>
      </w:pPr>
      <w:r>
        <w:rPr>
          <w:rFonts w:ascii="仿宋_GB2312" w:eastAsia="仿宋_GB2312" w:cs="仿宋_GB2312"/>
          <w:color w:val="000000"/>
          <w:sz w:val="31"/>
          <w:szCs w:val="31"/>
        </w:rPr>
        <w:t>3.推动住房抗震能力建设。继续推动开展城市住房抗震加固工程，提升城市住房抗震设防水平和抗灾能力。对存在安全隐患的建筑进行分期分批整治。加大老旧危险校舍改造力度，分批推进老旧学校的改扩建工程。提高城市建筑物的灾害防御能力，尤其是人员密闭场所、重大建设工程和生命线工程的防御能力。</w:t>
      </w:r>
    </w:p>
    <w:p w14:paraId="4E774524" w14:textId="77777777" w:rsidR="00EC2C51" w:rsidRDefault="00A971AA">
      <w:pPr>
        <w:pStyle w:val="HTML1"/>
        <w:widowControl/>
        <w:ind w:firstLine="640"/>
        <w:rPr>
          <w:rFonts w:ascii="仿宋_GB2312" w:eastAsia="仿宋_GB2312" w:cs="仿宋_GB2312" w:hint="default"/>
          <w:color w:val="000000"/>
          <w:sz w:val="31"/>
          <w:szCs w:val="31"/>
        </w:rPr>
      </w:pPr>
      <w:r>
        <w:rPr>
          <w:rFonts w:ascii="仿宋_GB2312" w:eastAsia="仿宋_GB2312" w:cs="仿宋_GB2312"/>
          <w:color w:val="000000"/>
          <w:sz w:val="31"/>
          <w:szCs w:val="31"/>
        </w:rPr>
        <w:t>4.推进地质灾害排查治理能力建设。对全区地质灾害进行摸底排查，道路、桥梁以及山坡沟渠为重点排查区域，对于因地质构造造成大型地面塌陷、坍塌等隐患点有计划的实施勘察和监督。合理编制且有序推进年度地质灾害防治方案；在地质灾害隐患点设置自动监测点和警示标志。随着城市开发的进</w:t>
      </w:r>
      <w:r>
        <w:rPr>
          <w:rFonts w:ascii="仿宋_GB2312" w:eastAsia="仿宋_GB2312" w:cs="仿宋_GB2312"/>
          <w:color w:val="000000"/>
          <w:sz w:val="31"/>
          <w:szCs w:val="31"/>
        </w:rPr>
        <w:lastRenderedPageBreak/>
        <w:t>度，及时开展地质灾害二次排查，实时更新地质风险及隐患清单。</w:t>
      </w:r>
    </w:p>
    <w:p w14:paraId="50A44966" w14:textId="77777777" w:rsidR="00EC2C51" w:rsidRDefault="00A971AA">
      <w:pPr>
        <w:pStyle w:val="HTML1"/>
        <w:widowControl/>
        <w:ind w:firstLine="640"/>
        <w:rPr>
          <w:rFonts w:hint="default"/>
        </w:rPr>
      </w:pPr>
      <w:r>
        <w:rPr>
          <w:rFonts w:ascii="仿宋_GB2312" w:eastAsia="仿宋_GB2312" w:cs="仿宋_GB2312"/>
          <w:color w:val="000000"/>
          <w:sz w:val="31"/>
          <w:szCs w:val="31"/>
        </w:rPr>
        <w:t>5.推进森林草原防火阻隔系统建设。按照《林火阻隔系统建设标准》，根据防灭火区域的地形、气候、可燃物、火源、火行为、交通条件、扑救能力、经济管理水平等因素，对重点林区、偏远</w:t>
      </w:r>
      <w:proofErr w:type="gramStart"/>
      <w:r>
        <w:rPr>
          <w:rFonts w:ascii="仿宋_GB2312" w:eastAsia="仿宋_GB2312" w:cs="仿宋_GB2312"/>
          <w:color w:val="000000"/>
          <w:sz w:val="31"/>
          <w:szCs w:val="31"/>
        </w:rPr>
        <w:t>独居户周围</w:t>
      </w:r>
      <w:proofErr w:type="gramEnd"/>
      <w:r>
        <w:rPr>
          <w:rFonts w:ascii="仿宋_GB2312" w:eastAsia="仿宋_GB2312" w:cs="仿宋_GB2312"/>
          <w:color w:val="000000"/>
          <w:sz w:val="31"/>
          <w:szCs w:val="31"/>
        </w:rPr>
        <w:t>的灌木杂草及公路两侧的灌木杂草进行割除；对涉</w:t>
      </w:r>
      <w:proofErr w:type="gramStart"/>
      <w:r>
        <w:rPr>
          <w:rFonts w:ascii="仿宋_GB2312" w:eastAsia="仿宋_GB2312" w:cs="仿宋_GB2312"/>
          <w:color w:val="000000"/>
          <w:sz w:val="31"/>
          <w:szCs w:val="31"/>
        </w:rPr>
        <w:t>林旅游</w:t>
      </w:r>
      <w:proofErr w:type="gramEnd"/>
      <w:r>
        <w:rPr>
          <w:rFonts w:ascii="仿宋_GB2312" w:eastAsia="仿宋_GB2312" w:cs="仿宋_GB2312"/>
          <w:color w:val="000000"/>
          <w:sz w:val="31"/>
          <w:szCs w:val="31"/>
        </w:rPr>
        <w:t>景区内、林缘墓地及人为活动频繁的区域的枯枝落叶进行清理。推进森林草原防火隔离带与防火道路结合设置，为灭火队员生存提供基础保证。</w:t>
      </w:r>
    </w:p>
    <w:p w14:paraId="49A0A74B" w14:textId="77777777" w:rsidR="00EC2C51" w:rsidRDefault="00A971AA">
      <w:pPr>
        <w:pStyle w:val="HTML1"/>
        <w:widowControl/>
        <w:ind w:firstLine="640"/>
        <w:rPr>
          <w:rFonts w:hint="default"/>
        </w:rPr>
      </w:pPr>
      <w:r>
        <w:rPr>
          <w:rFonts w:ascii="仿宋_GB2312" w:eastAsia="仿宋_GB2312" w:cs="仿宋_GB2312"/>
          <w:color w:val="000000"/>
          <w:sz w:val="31"/>
          <w:szCs w:val="31"/>
        </w:rPr>
        <w:t>6.推进应急物资储备能力建设。按照《救灾物资储备库建设标准》，以一次性救援1.5万人为基数，制定救灾物资采购计划清单，进一步充实康巴什区救灾物资库。加强救灾应急物资储备，依托企业和社会机构，完善以实物储备、协议储备、市场储备和生产能力储备为有机结合的应急物资、救灾物资保障新模式。按需储备应急物资与辖区相关单位建立应急物资共享机制，开展协议储备。加强应急物资储备点建设和管理，评估街道、社区所需应急物资的种类和数量，建立基层应急物资储备清单，并设立基层应急物资储备点，旨在构建区、街道、社区三级救灾物资储备网络。</w:t>
      </w:r>
    </w:p>
    <w:p w14:paraId="333ECEE6" w14:textId="77777777" w:rsidR="00EC2C51" w:rsidRDefault="00A971AA">
      <w:pPr>
        <w:pStyle w:val="HTML1"/>
        <w:widowControl/>
        <w:ind w:firstLine="640"/>
        <w:outlineLvl w:val="1"/>
        <w:rPr>
          <w:rFonts w:hint="default"/>
        </w:rPr>
      </w:pPr>
      <w:bookmarkStart w:id="92" w:name="_Toc15739"/>
      <w:r>
        <w:rPr>
          <w:rFonts w:ascii="楷体_GB2312" w:eastAsia="楷体_GB2312" w:cs="楷体_GB2312"/>
          <w:color w:val="000000"/>
          <w:sz w:val="31"/>
          <w:szCs w:val="31"/>
        </w:rPr>
        <w:t>（六）提升防灾减灾救灾科技支撑水平</w:t>
      </w:r>
      <w:bookmarkEnd w:id="92"/>
    </w:p>
    <w:p w14:paraId="0B94218E" w14:textId="77777777" w:rsidR="00EC2C51" w:rsidRDefault="00A971AA">
      <w:pPr>
        <w:pStyle w:val="HTML1"/>
        <w:widowControl/>
        <w:ind w:firstLine="640"/>
        <w:rPr>
          <w:rFonts w:ascii="仿宋_GB2312" w:eastAsia="仿宋_GB2312" w:cs="仿宋_GB2312" w:hint="default"/>
          <w:color w:val="000000"/>
          <w:sz w:val="31"/>
          <w:szCs w:val="31"/>
        </w:rPr>
      </w:pPr>
      <w:r>
        <w:rPr>
          <w:rFonts w:ascii="仿宋_GB2312" w:eastAsia="仿宋_GB2312" w:cs="仿宋_GB2312"/>
          <w:color w:val="000000"/>
          <w:sz w:val="31"/>
          <w:szCs w:val="31"/>
        </w:rPr>
        <w:t>1.提升信息化平台建设水平。推动全区运行应急管理大数据应用平台建设，加强数据互联共享，实现全区多部门视频监</w:t>
      </w:r>
      <w:r>
        <w:rPr>
          <w:rFonts w:ascii="仿宋_GB2312" w:eastAsia="仿宋_GB2312" w:cs="仿宋_GB2312"/>
          <w:color w:val="000000"/>
          <w:sz w:val="31"/>
          <w:szCs w:val="31"/>
        </w:rPr>
        <w:lastRenderedPageBreak/>
        <w:t>控点位互通，实时接入消防、气象、交通、测绘等相关重要数据，打造信息数据库、信息交换、指挥调度集成一体的指挥系统平台。持续推进“大网格”建设，推动“多网合一”，实现突发事件集中受理、职能分拨、协同处置、全程监管、统一考评的闭环运转，深化大数据运营能力。</w:t>
      </w:r>
    </w:p>
    <w:p w14:paraId="4CD7E973" w14:textId="77777777" w:rsidR="00EC2C51" w:rsidRDefault="00A971AA">
      <w:pPr>
        <w:pStyle w:val="HTML1"/>
        <w:widowControl/>
        <w:ind w:firstLine="640"/>
        <w:rPr>
          <w:rFonts w:hint="default"/>
        </w:rPr>
      </w:pPr>
      <w:r>
        <w:rPr>
          <w:rFonts w:ascii="仿宋_GB2312" w:eastAsia="仿宋_GB2312" w:cs="仿宋_GB2312"/>
          <w:color w:val="000000"/>
          <w:sz w:val="31"/>
          <w:szCs w:val="31"/>
        </w:rPr>
        <w:t>2.推动自然灾害感知网络建设。针对康巴什区自然灾害特点建设感知网络，实现自然灾害隐患区域的全方位、立体化、无盲区动态监测。主要包括森林草原火险火情的感知网络建设和地震、地质、水旱和气象等自然灾害数据的采集汇聚。通过对森林草原火险监测站感知数据、气象部门监测感知和预报数据、防汛抗旱气象数据、水文数据、防汛抗旱工情险情、城市内涝等感知数据的汇聚，提高自然灾害监测预警的时效性和工作质量。</w:t>
      </w:r>
    </w:p>
    <w:p w14:paraId="1223C8B5" w14:textId="77777777" w:rsidR="00EC2C51" w:rsidRDefault="00A971AA">
      <w:pPr>
        <w:pStyle w:val="HTML1"/>
        <w:widowControl/>
        <w:ind w:firstLine="640"/>
        <w:outlineLvl w:val="1"/>
        <w:rPr>
          <w:rFonts w:hint="default"/>
        </w:rPr>
      </w:pPr>
      <w:bookmarkStart w:id="93" w:name="_Toc22265"/>
      <w:r>
        <w:rPr>
          <w:rFonts w:ascii="楷体_GB2312" w:eastAsia="楷体_GB2312" w:cs="楷体_GB2312"/>
          <w:color w:val="000000"/>
          <w:sz w:val="31"/>
          <w:szCs w:val="31"/>
        </w:rPr>
        <w:t>（七）提升防灾减灾救灾人才队伍专业化水平</w:t>
      </w:r>
      <w:bookmarkEnd w:id="93"/>
    </w:p>
    <w:p w14:paraId="01D778C3" w14:textId="77777777" w:rsidR="00EC2C51" w:rsidRDefault="00A971AA">
      <w:pPr>
        <w:pStyle w:val="HTML1"/>
        <w:widowControl/>
        <w:ind w:firstLine="640"/>
        <w:rPr>
          <w:rFonts w:ascii="仿宋_GB2312" w:eastAsia="仿宋_GB2312" w:cs="仿宋_GB2312" w:hint="default"/>
          <w:color w:val="000000"/>
          <w:sz w:val="31"/>
          <w:szCs w:val="31"/>
        </w:rPr>
      </w:pPr>
      <w:r>
        <w:rPr>
          <w:rFonts w:ascii="仿宋_GB2312" w:eastAsia="仿宋_GB2312" w:cs="仿宋_GB2312"/>
          <w:color w:val="000000"/>
          <w:sz w:val="31"/>
          <w:szCs w:val="31"/>
        </w:rPr>
        <w:t>1.提升应急救援队伍专业化水平。建立应急管理专家库，充分发挥应急管理专家决策咨询和技术支撑作用。按照“一专多能、一队多用”的定位，专业森林草原消防队伍变“单一扑火”为“综合救援”，不仅承担森林草原扑火任务，而且承担抗洪抢险、地灾处置、事故救援等其他应急救援任务，真正适应“全灾种”，满足“大应急”的时代需求。建立“平战结合”的执勤训练模式，扩展救援队伍对森林草原火灾、洪涝灾害、</w:t>
      </w:r>
      <w:r>
        <w:rPr>
          <w:rFonts w:ascii="仿宋_GB2312" w:eastAsia="仿宋_GB2312" w:cs="仿宋_GB2312"/>
          <w:color w:val="000000"/>
          <w:sz w:val="31"/>
          <w:szCs w:val="31"/>
        </w:rPr>
        <w:lastRenderedPageBreak/>
        <w:t>超强暴雨、地质灾害的应急处置能力。建立“联勤、联训、联战、联调”机制，提升专业应急救援综合抢险救灾能力。</w:t>
      </w:r>
    </w:p>
    <w:p w14:paraId="42407C60" w14:textId="77777777" w:rsidR="00EC2C51" w:rsidRDefault="00A971AA">
      <w:pPr>
        <w:pStyle w:val="HTML1"/>
        <w:widowControl/>
        <w:ind w:firstLine="640"/>
        <w:rPr>
          <w:rFonts w:hint="default"/>
        </w:rPr>
      </w:pPr>
      <w:r>
        <w:rPr>
          <w:rFonts w:ascii="仿宋_GB2312" w:eastAsia="仿宋_GB2312" w:cs="仿宋_GB2312"/>
          <w:color w:val="000000"/>
          <w:sz w:val="31"/>
          <w:szCs w:val="31"/>
        </w:rPr>
        <w:t>2.提升灾害信息员队伍水平。按照《应急管理部民政部财政部关于加强全国灾情信息员队伍建设的指导意见》要求，为灾情信息员队伍建设提供经费保障，继续向区财政局申请，为各街道办事处信息员更新一批用于灾情报送所需的计算机、移动报灾终端、音视频采集工具等。在原有灾害信息员队伍的基础上，建立健全“区—街道—社区”三级综合性灾害信息员队伍，畅通灾情信息报送渠道。制定灾害信息员培训计划，定期开展灾害信息员骨干培训工作，提升街道、社区灾害信息员对自然灾害的认识和灾情报送方式方法的运用。加大对灾害信息员的业务指导和设备应用培训，开展多种形式的演练活动，推进防灾减灾救灾社会工作人才队伍建设。</w:t>
      </w:r>
    </w:p>
    <w:p w14:paraId="3EF036CF" w14:textId="77777777" w:rsidR="00EC2C51" w:rsidRDefault="00A971AA">
      <w:pPr>
        <w:pStyle w:val="HTML1"/>
        <w:widowControl/>
        <w:ind w:firstLine="640"/>
        <w:rPr>
          <w:rFonts w:hint="default"/>
        </w:rPr>
      </w:pPr>
      <w:r>
        <w:rPr>
          <w:rFonts w:ascii="仿宋_GB2312" w:eastAsia="仿宋_GB2312" w:cs="仿宋_GB2312"/>
          <w:color w:val="000000"/>
          <w:sz w:val="31"/>
          <w:szCs w:val="31"/>
        </w:rPr>
        <w:t>3.加强应急救援队伍培训基地建设。建设应急救援队伍实训演练基地，大力提升各应急救援队伍实战水平。建设大型的演练场地、驻训营房、培训教室以及演练设施设备等，加强各级指挥人员、专业队员专业化、系统化培训。</w:t>
      </w:r>
    </w:p>
    <w:p w14:paraId="20737C11" w14:textId="77777777" w:rsidR="00EC2C51" w:rsidRDefault="00A971AA">
      <w:pPr>
        <w:pStyle w:val="HTML1"/>
        <w:widowControl/>
        <w:ind w:firstLine="640"/>
        <w:outlineLvl w:val="1"/>
        <w:rPr>
          <w:rFonts w:hint="default"/>
        </w:rPr>
      </w:pPr>
      <w:bookmarkStart w:id="94" w:name="_Toc13666"/>
      <w:r>
        <w:rPr>
          <w:rFonts w:ascii="楷体_GB2312" w:eastAsia="楷体_GB2312" w:cs="楷体_GB2312"/>
          <w:color w:val="000000"/>
          <w:sz w:val="31"/>
          <w:szCs w:val="31"/>
        </w:rPr>
        <w:t>（八）深化防灾减灾救灾科普宣传教育</w:t>
      </w:r>
      <w:bookmarkEnd w:id="94"/>
    </w:p>
    <w:p w14:paraId="096B5BFD" w14:textId="77777777" w:rsidR="00EC2C51" w:rsidRDefault="00A971AA">
      <w:pPr>
        <w:pStyle w:val="HTML1"/>
        <w:widowControl/>
        <w:ind w:firstLine="640"/>
        <w:rPr>
          <w:rFonts w:ascii="仿宋_GB2312" w:eastAsia="仿宋_GB2312" w:cs="仿宋_GB2312" w:hint="default"/>
          <w:color w:val="000000"/>
          <w:sz w:val="31"/>
          <w:szCs w:val="31"/>
        </w:rPr>
      </w:pPr>
      <w:r>
        <w:rPr>
          <w:rFonts w:ascii="仿宋_GB2312" w:eastAsia="仿宋_GB2312" w:cs="仿宋_GB2312"/>
          <w:color w:val="000000"/>
          <w:sz w:val="31"/>
          <w:szCs w:val="31"/>
        </w:rPr>
        <w:t>1.加强公众防灾避险能力。持续推进各类安全教育宣传“五进”活动，通过进企业、进社区、进学校、进家庭、进农村加强安全知识宣讲，弘扬“生命至上、安全第一”的思想。依托全区应急救援力量全面提升公民安全意识，普及与人民群</w:t>
      </w:r>
      <w:r>
        <w:rPr>
          <w:rFonts w:ascii="仿宋_GB2312" w:eastAsia="仿宋_GB2312" w:cs="仿宋_GB2312"/>
          <w:color w:val="000000"/>
          <w:sz w:val="31"/>
          <w:szCs w:val="31"/>
        </w:rPr>
        <w:lastRenderedPageBreak/>
        <w:t>众生产生活息息相关的风险防范、隐患排查、应急处置和自救互救等安全常识，营造良好安全舆论氛围，夯实社会安全基础。制作全区应急避难场所分布图，面向全社会公开；应急避难场所设置显著标志，可以有效指引群众逃生。加强传统媒体与新兴媒体、“线上线下”的互动融合，不断拓展安全文化推广传播渠道。将防灾减灾救灾纳入学校安全教育内容，定时组织应急演练，提高</w:t>
      </w:r>
      <w:proofErr w:type="gramStart"/>
      <w:r>
        <w:rPr>
          <w:rFonts w:ascii="仿宋_GB2312" w:eastAsia="仿宋_GB2312" w:cs="仿宋_GB2312"/>
          <w:color w:val="000000"/>
          <w:sz w:val="31"/>
          <w:szCs w:val="31"/>
        </w:rPr>
        <w:t>学生识灾避险</w:t>
      </w:r>
      <w:proofErr w:type="gramEnd"/>
      <w:r>
        <w:rPr>
          <w:rFonts w:ascii="仿宋_GB2312" w:eastAsia="仿宋_GB2312" w:cs="仿宋_GB2312"/>
          <w:color w:val="000000"/>
          <w:sz w:val="31"/>
          <w:szCs w:val="31"/>
        </w:rPr>
        <w:t>能力，筑牢防灾减灾救灾人民防线。</w:t>
      </w:r>
    </w:p>
    <w:p w14:paraId="76B4BB25" w14:textId="77777777" w:rsidR="00EC2C51" w:rsidRDefault="00A971AA">
      <w:pPr>
        <w:pStyle w:val="HTML1"/>
        <w:widowControl/>
        <w:ind w:firstLine="640"/>
        <w:rPr>
          <w:rFonts w:hint="default"/>
        </w:rPr>
      </w:pPr>
      <w:r>
        <w:rPr>
          <w:rFonts w:ascii="仿宋_GB2312" w:eastAsia="仿宋_GB2312" w:cs="仿宋_GB2312"/>
          <w:color w:val="000000"/>
          <w:sz w:val="31"/>
          <w:szCs w:val="31"/>
        </w:rPr>
        <w:t>2.全面提升干部队伍业务素质。全面加强区、街道干部培训工作，将防灾减灾救灾纳入全区领导干部任职、党校培训及机关业务能力培训课程，提升全区干部队伍能力素质和业务水平。将习近平总书记关于防灾减灾救灾重要指示和批示作为党委理论学习的重要内容，组织安排专题学习。分级分批组织有关人员定期开展轮训，深入开展典型自然灾害案例剖析，通过领导干部带头讲、专家学者深入讲、一线工作者互动讲，分级分批组织开展学习。依托高等院校等各类教育培训机构，举办多层次领导干部自然灾害防治、应急救援等专题培训班，全面提升全区干部的决策指挥和应急处置能力，重点强化新政策、新知识、新技能培训。</w:t>
      </w:r>
    </w:p>
    <w:p w14:paraId="0E7C6A2A" w14:textId="77777777" w:rsidR="00EC2C51" w:rsidRDefault="00A971AA">
      <w:pPr>
        <w:pStyle w:val="HTML1"/>
        <w:widowControl/>
        <w:ind w:firstLine="640"/>
        <w:rPr>
          <w:rFonts w:hint="default"/>
        </w:rPr>
      </w:pPr>
      <w:r>
        <w:rPr>
          <w:rFonts w:ascii="仿宋_GB2312" w:eastAsia="仿宋_GB2312" w:cs="仿宋_GB2312"/>
          <w:color w:val="000000"/>
          <w:sz w:val="31"/>
          <w:szCs w:val="31"/>
        </w:rPr>
        <w:t>3.加快安全文化教育体验基地建设。建设不少于1处具有康巴</w:t>
      </w:r>
      <w:proofErr w:type="gramStart"/>
      <w:r>
        <w:rPr>
          <w:rFonts w:ascii="仿宋_GB2312" w:eastAsia="仿宋_GB2312" w:cs="仿宋_GB2312"/>
          <w:color w:val="000000"/>
          <w:sz w:val="31"/>
          <w:szCs w:val="31"/>
        </w:rPr>
        <w:t>什特色</w:t>
      </w:r>
      <w:proofErr w:type="gramEnd"/>
      <w:r>
        <w:rPr>
          <w:rFonts w:ascii="仿宋_GB2312" w:eastAsia="仿宋_GB2312" w:cs="仿宋_GB2312"/>
          <w:color w:val="000000"/>
          <w:sz w:val="31"/>
          <w:szCs w:val="31"/>
        </w:rPr>
        <w:t>的安全文化教育体验基地或场馆。将安全教育与体验相结合，以互动体验为主要方式，通过各种科技手段模拟场景，增加参与者的积极性和参与度，做到安全理念深入人心。</w:t>
      </w:r>
    </w:p>
    <w:p w14:paraId="56017A24" w14:textId="77777777" w:rsidR="00EC2C51" w:rsidRDefault="00A971AA">
      <w:pPr>
        <w:pStyle w:val="HTML1"/>
        <w:widowControl/>
        <w:ind w:firstLine="640"/>
        <w:rPr>
          <w:rFonts w:hint="default"/>
        </w:rPr>
      </w:pPr>
      <w:r>
        <w:rPr>
          <w:rFonts w:ascii="仿宋_GB2312" w:eastAsia="仿宋_GB2312" w:cs="仿宋_GB2312"/>
          <w:color w:val="000000"/>
          <w:sz w:val="31"/>
          <w:szCs w:val="31"/>
        </w:rPr>
        <w:lastRenderedPageBreak/>
        <w:t>4.推进区域间合作交流。坚持“走出去，引进来”，建立与政府、非政府组织和有关科研团队在防灾减灾救灾领域的合作与交流机制。强化与国家及自治区、市级层面的通信保障协调组织工作，提高防灾减灾与可持续发展能力。加强开展与周边相邻旗区之间的应急演练工作，通过在救灾物资调运、灾情信息管理、应急救援、协调联动、人才队伍、教育培训等领域的协作，提高康巴什区应急救援效率。深入开展科技合作、携手应对共同挑战、促进民心相通和经济社会可持续发展。</w:t>
      </w:r>
    </w:p>
    <w:p w14:paraId="11B7895A" w14:textId="77777777" w:rsidR="00EC2C51" w:rsidRDefault="00A971AA">
      <w:pPr>
        <w:widowControl/>
        <w:jc w:val="center"/>
        <w:outlineLvl w:val="1"/>
      </w:pPr>
      <w:bookmarkStart w:id="95" w:name="_Toc23980"/>
      <w:r>
        <w:rPr>
          <w:rFonts w:ascii="楷体_GB2312" w:eastAsia="楷体_GB2312" w:hAnsi="宋体" w:cs="楷体_GB2312"/>
          <w:color w:val="000000"/>
          <w:kern w:val="0"/>
          <w:sz w:val="31"/>
          <w:szCs w:val="31"/>
        </w:rPr>
        <w:t>（九）发挥市场和社会力量在防灾减灾救灾中的作用</w:t>
      </w:r>
      <w:bookmarkEnd w:id="95"/>
    </w:p>
    <w:p w14:paraId="491D061B" w14:textId="77777777" w:rsidR="00EC2C51" w:rsidRDefault="00A971AA">
      <w:pPr>
        <w:pStyle w:val="HTML1"/>
        <w:widowControl/>
        <w:ind w:firstLine="640"/>
        <w:rPr>
          <w:rFonts w:hint="default"/>
        </w:rPr>
      </w:pPr>
      <w:r>
        <w:rPr>
          <w:rFonts w:ascii="仿宋_GB2312" w:eastAsia="仿宋_GB2312" w:cs="仿宋_GB2312"/>
          <w:color w:val="000000"/>
          <w:sz w:val="31"/>
          <w:szCs w:val="31"/>
        </w:rPr>
        <w:t>1.发挥市场在防灾减灾救灾中的作用。鼓励群众参加防旱防涝商业保险，进一步提升全区的风险应对能力。发挥保险等市场机制作用，完善应对自然灾害的金融支持体系；拓宽农房保险、农业保险覆盖范围，探索建立巨灾保险制度，逐步建立规范合理的灾害风险分担机制，推进保险机构对风险防控体系的共建共治作用。</w:t>
      </w:r>
    </w:p>
    <w:p w14:paraId="79800D6D" w14:textId="77777777" w:rsidR="00EC2C51" w:rsidRDefault="00A971AA">
      <w:pPr>
        <w:pStyle w:val="HTML1"/>
        <w:widowControl/>
        <w:ind w:firstLine="640"/>
        <w:rPr>
          <w:rFonts w:hint="default"/>
        </w:rPr>
      </w:pPr>
      <w:r>
        <w:rPr>
          <w:rFonts w:ascii="仿宋_GB2312" w:eastAsia="仿宋_GB2312" w:cs="仿宋_GB2312"/>
          <w:color w:val="000000"/>
          <w:sz w:val="31"/>
          <w:szCs w:val="31"/>
        </w:rPr>
        <w:t>2.发挥社会力量在防灾减灾救灾中的作用。加强对社会力量参与防灾减灾救灾工作的引导和支持，建立健全统筹动员和协调社会力量依法有序参与防灾减灾救灾机制，进一步完善鼓励社会力量参与防灾减灾救灾的政策措施，研究制定社会力量参与防灾救灾的指导意见和社区防灾减灾救灾志愿者队伍建设相关政策，搭建社会力量参与防灾减灾救灾工作平台。</w:t>
      </w:r>
    </w:p>
    <w:p w14:paraId="409003B6" w14:textId="77777777" w:rsidR="00EC2C51" w:rsidRDefault="00A971AA">
      <w:pPr>
        <w:pStyle w:val="HTML1"/>
        <w:widowControl/>
        <w:ind w:firstLine="640"/>
        <w:outlineLvl w:val="0"/>
        <w:rPr>
          <w:rFonts w:hint="default"/>
        </w:rPr>
      </w:pPr>
      <w:bookmarkStart w:id="96" w:name="_Toc3501"/>
      <w:r>
        <w:rPr>
          <w:rFonts w:ascii="黑体" w:eastAsia="黑体" w:cs="黑体"/>
          <w:color w:val="000000"/>
          <w:sz w:val="31"/>
          <w:szCs w:val="31"/>
        </w:rPr>
        <w:t>四、重点工程</w:t>
      </w:r>
      <w:bookmarkEnd w:id="96"/>
    </w:p>
    <w:p w14:paraId="6FEB335B" w14:textId="77777777" w:rsidR="00EC2C51" w:rsidRDefault="00A971AA">
      <w:pPr>
        <w:pStyle w:val="HTML1"/>
        <w:widowControl/>
        <w:ind w:firstLine="640"/>
        <w:outlineLvl w:val="1"/>
        <w:rPr>
          <w:rFonts w:ascii="楷体_GB2312" w:eastAsia="楷体_GB2312" w:cs="楷体_GB2312" w:hint="default"/>
          <w:color w:val="000000"/>
          <w:sz w:val="31"/>
          <w:szCs w:val="31"/>
        </w:rPr>
      </w:pPr>
      <w:bookmarkStart w:id="97" w:name="_Toc26816"/>
      <w:r>
        <w:rPr>
          <w:rFonts w:ascii="楷体_GB2312" w:eastAsia="楷体_GB2312" w:cs="楷体_GB2312"/>
          <w:color w:val="000000"/>
          <w:sz w:val="31"/>
          <w:szCs w:val="31"/>
        </w:rPr>
        <w:lastRenderedPageBreak/>
        <w:t>（一）自然灾害综合信息化建设工程</w:t>
      </w:r>
      <w:bookmarkEnd w:id="97"/>
    </w:p>
    <w:p w14:paraId="2D1E2CE3" w14:textId="77777777" w:rsidR="00EC2C51" w:rsidRDefault="00A971AA">
      <w:pPr>
        <w:pStyle w:val="HTML1"/>
        <w:widowControl/>
        <w:ind w:firstLine="640"/>
        <w:rPr>
          <w:rFonts w:hint="default"/>
        </w:rPr>
      </w:pPr>
      <w:r>
        <w:rPr>
          <w:rFonts w:ascii="仿宋_GB2312" w:eastAsia="仿宋_GB2312" w:cs="仿宋_GB2312"/>
          <w:color w:val="000000"/>
          <w:sz w:val="31"/>
          <w:szCs w:val="31"/>
        </w:rPr>
        <w:t>推进应急管理大数据应用平台建设，汇聚各类应急管理数据。探索自然资源、农牧水利、消防、建筑、交通等领域信息的应用，实现灾情、决策、指挥、物资调运与各类信息的及时发送与传递。建设完成康巴什区全要素气象监测站、地面监测站，通过自动观测技术，为康巴什区提供高时空分辨率的中小尺度灾害性天气、局部环境和区域气候等数据；进一步加强对气象灾害的监测，提高气象防灾减灾能力。规划建设有害生物监测预警平台，合理布设监测点，完善林业检疫体系，打造绿色防控技术示范区。规划建设康巴什区智慧森林草原云平台，运用卫星定位技术、物联网技术、移动网络技术、无人机技术、卫星遥感技术、远程视频监控技术、地理信息系统技术，为森林草原防灭火工作提供稳定丰富的数据支持。通过科学有效决策程序，实现三维场景下的“灾前、灾中、灾后”全过程、全方位、一体化动态管控和预警决策支撑平台，为森林草原火险监测、预警、预报、扑救、灾后评估等提供技术支撑和科学依据。规划建设水土保持监测站点，完善监测站点卡口站建设、监测径流小区布设、购置完成监测设备。规划建设康巴什区污水智慧水</w:t>
      </w:r>
      <w:proofErr w:type="gramStart"/>
      <w:r>
        <w:rPr>
          <w:rFonts w:ascii="仿宋_GB2312" w:eastAsia="仿宋_GB2312" w:cs="仿宋_GB2312"/>
          <w:color w:val="000000"/>
          <w:sz w:val="31"/>
          <w:szCs w:val="31"/>
        </w:rPr>
        <w:t>务</w:t>
      </w:r>
      <w:proofErr w:type="gramEnd"/>
      <w:r>
        <w:rPr>
          <w:rFonts w:ascii="仿宋_GB2312" w:eastAsia="仿宋_GB2312" w:cs="仿宋_GB2312"/>
          <w:color w:val="000000"/>
          <w:sz w:val="31"/>
          <w:szCs w:val="31"/>
        </w:rPr>
        <w:t>系统工程、实现管网监测、分区监测、数据可视化智能分析。通过排水公司生产调度中心、各厂信息采集及视频监控改造建设，实现生产数据上传、视频数据优化、数据汇总、</w:t>
      </w:r>
      <w:r>
        <w:rPr>
          <w:rFonts w:ascii="仿宋_GB2312" w:eastAsia="仿宋_GB2312" w:cs="仿宋_GB2312"/>
          <w:color w:val="000000"/>
          <w:sz w:val="31"/>
          <w:szCs w:val="31"/>
        </w:rPr>
        <w:lastRenderedPageBreak/>
        <w:t>大屏展示。为政府的防灾减灾救灾工作提供技术支持、信息服务、辅助决策与政策咨询。</w:t>
      </w:r>
    </w:p>
    <w:p w14:paraId="79ACB9A2" w14:textId="77777777" w:rsidR="00EC2C51" w:rsidRDefault="00A971AA">
      <w:pPr>
        <w:pStyle w:val="HTML1"/>
        <w:widowControl/>
        <w:numPr>
          <w:ilvl w:val="0"/>
          <w:numId w:val="6"/>
        </w:numPr>
        <w:ind w:firstLine="640"/>
        <w:outlineLvl w:val="1"/>
        <w:rPr>
          <w:rFonts w:ascii="楷体_GB2312" w:eastAsia="楷体_GB2312" w:cs="楷体_GB2312" w:hint="default"/>
          <w:color w:val="000000"/>
          <w:sz w:val="31"/>
          <w:szCs w:val="31"/>
        </w:rPr>
      </w:pPr>
      <w:bookmarkStart w:id="98" w:name="_Toc9523"/>
      <w:r>
        <w:rPr>
          <w:rFonts w:ascii="楷体_GB2312" w:eastAsia="楷体_GB2312" w:cs="楷体_GB2312"/>
          <w:color w:val="000000"/>
          <w:sz w:val="31"/>
          <w:szCs w:val="31"/>
        </w:rPr>
        <w:t>自然灾害综合风险普查工程</w:t>
      </w:r>
      <w:bookmarkEnd w:id="98"/>
    </w:p>
    <w:p w14:paraId="725A6C64" w14:textId="77777777" w:rsidR="00EC2C51" w:rsidRDefault="00A971AA">
      <w:pPr>
        <w:pStyle w:val="HTML1"/>
        <w:widowControl/>
        <w:ind w:firstLineChars="200" w:firstLine="620"/>
        <w:rPr>
          <w:rFonts w:hint="default"/>
        </w:rPr>
      </w:pPr>
      <w:r>
        <w:rPr>
          <w:rFonts w:ascii="仿宋_GB2312" w:eastAsia="仿宋_GB2312" w:cs="仿宋_GB2312"/>
          <w:color w:val="000000"/>
          <w:sz w:val="31"/>
          <w:szCs w:val="31"/>
        </w:rPr>
        <w:t>加快康巴什区自然灾害综合风险普查工作的推进，制定自然灾害综合风险普查工作方案。开展气象灾害的特征调查和</w:t>
      </w:r>
      <w:proofErr w:type="gramStart"/>
      <w:r>
        <w:rPr>
          <w:rFonts w:ascii="仿宋_GB2312" w:eastAsia="仿宋_GB2312" w:cs="仿宋_GB2312"/>
          <w:color w:val="000000"/>
          <w:sz w:val="31"/>
          <w:szCs w:val="31"/>
        </w:rPr>
        <w:t>致灾孕灾要素</w:t>
      </w:r>
      <w:proofErr w:type="gramEnd"/>
      <w:r>
        <w:rPr>
          <w:rFonts w:ascii="仿宋_GB2312" w:eastAsia="仿宋_GB2312" w:cs="仿宋_GB2312"/>
          <w:color w:val="000000"/>
          <w:sz w:val="31"/>
          <w:szCs w:val="31"/>
        </w:rPr>
        <w:t>分析，针对主要气象灾害引发的林业受灾、基础设施破坏等影响，建立主要气象灾害危险性基础数据库。在康巴什区城区地质灾害排查报告的基础上，扩大灾害排查范围，查明地质灾害点空间分布、稳定性现状、</w:t>
      </w:r>
      <w:proofErr w:type="gramStart"/>
      <w:r>
        <w:rPr>
          <w:rFonts w:ascii="仿宋_GB2312" w:eastAsia="仿宋_GB2312" w:cs="仿宋_GB2312"/>
          <w:color w:val="000000"/>
          <w:sz w:val="31"/>
          <w:szCs w:val="31"/>
        </w:rPr>
        <w:t>孕灾地质</w:t>
      </w:r>
      <w:proofErr w:type="gramEnd"/>
      <w:r>
        <w:rPr>
          <w:rFonts w:ascii="仿宋_GB2312" w:eastAsia="仿宋_GB2312" w:cs="仿宋_GB2312"/>
          <w:color w:val="000000"/>
          <w:sz w:val="31"/>
          <w:szCs w:val="31"/>
        </w:rPr>
        <w:t>背景条件等信息，建设多级动态更新的地质灾害数据库。开展暴雨、洪水频率分析，编制中小河流洪水频率图。摸清城市内涝点底数，完成城市内涝灾害风险图，建立城市内涝隐患排查数据库。收集整理旱情资料，提高蓄、引、提、调等抗旱水源工程能力，建立干旱灾害危险性调查数据库。开展森林草原可燃物、野外火源调查和气象条件调查，结合已有资源数据、调查数据、多源遥感数据，进行森林草原火灾危险性综合</w:t>
      </w:r>
      <w:proofErr w:type="gramStart"/>
      <w:r>
        <w:rPr>
          <w:rFonts w:ascii="仿宋_GB2312" w:eastAsia="仿宋_GB2312" w:cs="仿宋_GB2312"/>
          <w:color w:val="000000"/>
          <w:sz w:val="31"/>
          <w:szCs w:val="31"/>
        </w:rPr>
        <w:t>研</w:t>
      </w:r>
      <w:proofErr w:type="gramEnd"/>
      <w:r>
        <w:rPr>
          <w:rFonts w:ascii="仿宋_GB2312" w:eastAsia="仿宋_GB2312" w:cs="仿宋_GB2312"/>
          <w:color w:val="000000"/>
          <w:sz w:val="31"/>
          <w:szCs w:val="31"/>
        </w:rPr>
        <w:t>判与分析，编制森林草原火灾危险性分级分布图。开展断层活动性鉴定、隐伏区活动断层探测等工作，获得主要活动断层的空间展布和活动性定量参数，评定活动断层的发震能力，编制完成地震危险性图。按照自治区、市政府要求按时完成全区自然灾害全面调查、评估与区划阶段，编制本地区自然灾害综合防治区划图，汇总普查结果并逐级上报。</w:t>
      </w:r>
    </w:p>
    <w:p w14:paraId="11FD31F1" w14:textId="77777777" w:rsidR="00EC2C51" w:rsidRDefault="00A971AA">
      <w:pPr>
        <w:pStyle w:val="HTML1"/>
        <w:widowControl/>
        <w:numPr>
          <w:ilvl w:val="0"/>
          <w:numId w:val="6"/>
        </w:numPr>
        <w:ind w:firstLine="640"/>
        <w:outlineLvl w:val="1"/>
        <w:rPr>
          <w:rFonts w:ascii="楷体_GB2312" w:eastAsia="楷体_GB2312" w:cs="楷体_GB2312" w:hint="default"/>
          <w:color w:val="000000"/>
          <w:sz w:val="31"/>
          <w:szCs w:val="31"/>
        </w:rPr>
      </w:pPr>
      <w:bookmarkStart w:id="99" w:name="_Toc6663"/>
      <w:r>
        <w:rPr>
          <w:rFonts w:ascii="楷体_GB2312" w:eastAsia="楷体_GB2312" w:cs="楷体_GB2312"/>
          <w:color w:val="000000"/>
          <w:sz w:val="31"/>
          <w:szCs w:val="31"/>
        </w:rPr>
        <w:lastRenderedPageBreak/>
        <w:t>重点隐患排查治理工程</w:t>
      </w:r>
      <w:bookmarkEnd w:id="99"/>
    </w:p>
    <w:p w14:paraId="39719689" w14:textId="77777777" w:rsidR="00EC2C51" w:rsidRDefault="00A971AA">
      <w:pPr>
        <w:pStyle w:val="HTML1"/>
        <w:widowControl/>
        <w:ind w:firstLineChars="200" w:firstLine="620"/>
        <w:rPr>
          <w:rFonts w:hint="default"/>
        </w:rPr>
      </w:pPr>
      <w:r>
        <w:rPr>
          <w:rFonts w:ascii="仿宋_GB2312" w:eastAsia="仿宋_GB2312" w:cs="仿宋_GB2312"/>
          <w:color w:val="000000"/>
          <w:sz w:val="31"/>
          <w:szCs w:val="31"/>
        </w:rPr>
        <w:t>开展地质灾害、洪水灾害、森林草原火灾、地震灾害等致灾</w:t>
      </w:r>
      <w:proofErr w:type="gramStart"/>
      <w:r>
        <w:rPr>
          <w:rFonts w:ascii="仿宋_GB2312" w:eastAsia="仿宋_GB2312" w:cs="仿宋_GB2312"/>
          <w:color w:val="000000"/>
          <w:sz w:val="31"/>
          <w:szCs w:val="31"/>
        </w:rPr>
        <w:t>孕灾重点</w:t>
      </w:r>
      <w:proofErr w:type="gramEnd"/>
      <w:r>
        <w:rPr>
          <w:rFonts w:ascii="仿宋_GB2312" w:eastAsia="仿宋_GB2312" w:cs="仿宋_GB2312"/>
          <w:color w:val="000000"/>
          <w:sz w:val="31"/>
          <w:szCs w:val="31"/>
        </w:rPr>
        <w:t>隐患排查；基于地质灾害的</w:t>
      </w:r>
      <w:proofErr w:type="gramStart"/>
      <w:r>
        <w:rPr>
          <w:rFonts w:ascii="仿宋_GB2312" w:eastAsia="仿宋_GB2312" w:cs="仿宋_GB2312"/>
          <w:color w:val="000000"/>
          <w:sz w:val="31"/>
          <w:szCs w:val="31"/>
        </w:rPr>
        <w:t>致灾孕灾普查</w:t>
      </w:r>
      <w:proofErr w:type="gramEnd"/>
      <w:r>
        <w:rPr>
          <w:rFonts w:ascii="仿宋_GB2312" w:eastAsia="仿宋_GB2312" w:cs="仿宋_GB2312"/>
          <w:color w:val="000000"/>
          <w:sz w:val="31"/>
          <w:szCs w:val="31"/>
        </w:rPr>
        <w:t>成果，分析地质灾害点的类型、规模、稳定性、危害对象及影响范围，确定</w:t>
      </w:r>
      <w:proofErr w:type="gramStart"/>
      <w:r>
        <w:rPr>
          <w:rFonts w:ascii="仿宋_GB2312" w:eastAsia="仿宋_GB2312" w:cs="仿宋_GB2312"/>
          <w:color w:val="000000"/>
          <w:sz w:val="31"/>
          <w:szCs w:val="31"/>
        </w:rPr>
        <w:t>承灾体</w:t>
      </w:r>
      <w:proofErr w:type="gramEnd"/>
      <w:r>
        <w:rPr>
          <w:rFonts w:ascii="仿宋_GB2312" w:eastAsia="仿宋_GB2312" w:cs="仿宋_GB2312"/>
          <w:color w:val="000000"/>
          <w:sz w:val="31"/>
          <w:szCs w:val="31"/>
        </w:rPr>
        <w:t>隐患等级，建立完成地质灾害数据库。计划完成地质隐患治理工程，对道路、桥梁、山坡沟渠等存在崩塌隐患的灾害点及时整改、定期检查。对主要河道、中小型水库、淤地坝的现状、防洪能力、防洪工程达标情况、安全运行状态进行调查，确定隐患等级，进行分级分批整治。到2025年底，完成淤地坝除险加固、病险水库加固、各街道抗旱水源等防汛抗旱工程。到2025年末，完成城市景观水体防洪排涝治理工程、吉</w:t>
      </w:r>
      <w:proofErr w:type="gramStart"/>
      <w:r>
        <w:rPr>
          <w:rFonts w:ascii="仿宋_GB2312" w:eastAsia="仿宋_GB2312" w:cs="仿宋_GB2312"/>
          <w:color w:val="000000"/>
          <w:sz w:val="31"/>
          <w:szCs w:val="31"/>
        </w:rPr>
        <w:t>劳庆川</w:t>
      </w:r>
      <w:proofErr w:type="gramEnd"/>
      <w:r>
        <w:rPr>
          <w:rFonts w:ascii="仿宋_GB2312" w:eastAsia="仿宋_GB2312" w:cs="仿宋_GB2312"/>
          <w:color w:val="000000"/>
          <w:sz w:val="31"/>
          <w:szCs w:val="31"/>
        </w:rPr>
        <w:t>河道整治工程、阿布</w:t>
      </w:r>
      <w:proofErr w:type="gramStart"/>
      <w:r>
        <w:rPr>
          <w:rFonts w:ascii="仿宋_GB2312" w:eastAsia="仿宋_GB2312" w:cs="仿宋_GB2312"/>
          <w:color w:val="000000"/>
          <w:sz w:val="31"/>
          <w:szCs w:val="31"/>
        </w:rPr>
        <w:t>亥</w:t>
      </w:r>
      <w:proofErr w:type="gramEnd"/>
      <w:r>
        <w:rPr>
          <w:rFonts w:ascii="仿宋_GB2312" w:eastAsia="仿宋_GB2312" w:cs="仿宋_GB2312"/>
          <w:color w:val="000000"/>
          <w:sz w:val="31"/>
          <w:szCs w:val="31"/>
        </w:rPr>
        <w:t>沟北段河道整治工程、阿布</w:t>
      </w:r>
      <w:proofErr w:type="gramStart"/>
      <w:r>
        <w:rPr>
          <w:rFonts w:ascii="仿宋_GB2312" w:eastAsia="仿宋_GB2312" w:cs="仿宋_GB2312"/>
          <w:color w:val="000000"/>
          <w:sz w:val="31"/>
          <w:szCs w:val="31"/>
        </w:rPr>
        <w:t>亥</w:t>
      </w:r>
      <w:proofErr w:type="gramEnd"/>
      <w:r>
        <w:rPr>
          <w:rFonts w:ascii="仿宋_GB2312" w:eastAsia="仿宋_GB2312" w:cs="仿宋_GB2312"/>
          <w:color w:val="000000"/>
          <w:sz w:val="31"/>
          <w:szCs w:val="31"/>
        </w:rPr>
        <w:t>沟溢洪口防洪工程、乌兰木伦水库上游水土保持治理工程、乌兰木伦水土保持清洁型小流域治理示范项目等工程，提升康巴什区防灾减灾能力。重点摸排城市的低洼隐患点、排水管网堵塞、损毁情况，依据城市内涝风险隐患排查标准，确定隐患等级，编制完成城市内涝隐患分布图。开展老旧小区供水管网改造工程，城区污水泵站、管网及压力管理的维修改造工程，道路及雨</w:t>
      </w:r>
      <w:proofErr w:type="gramStart"/>
      <w:r>
        <w:rPr>
          <w:rFonts w:ascii="仿宋_GB2312" w:eastAsia="仿宋_GB2312" w:cs="仿宋_GB2312"/>
          <w:color w:val="000000"/>
          <w:sz w:val="31"/>
          <w:szCs w:val="31"/>
        </w:rPr>
        <w:t>污配套</w:t>
      </w:r>
      <w:proofErr w:type="gramEnd"/>
      <w:r>
        <w:rPr>
          <w:rFonts w:ascii="仿宋_GB2312" w:eastAsia="仿宋_GB2312" w:cs="仿宋_GB2312"/>
          <w:color w:val="000000"/>
          <w:sz w:val="31"/>
          <w:szCs w:val="31"/>
        </w:rPr>
        <w:t>管网工程，住宅小区水患治理及防水改造工程。针对森林草原杂乱物、未及时清除的林下可燃物、违规用火、违规建设、重要火源点离林区的距离等情况开展隐患调查评估工作。</w:t>
      </w:r>
    </w:p>
    <w:p w14:paraId="55A8D125" w14:textId="77777777" w:rsidR="00EC2C51" w:rsidRDefault="00A971AA">
      <w:pPr>
        <w:pStyle w:val="HTML1"/>
        <w:widowControl/>
        <w:ind w:firstLine="640"/>
        <w:outlineLvl w:val="1"/>
        <w:rPr>
          <w:rFonts w:hint="default"/>
        </w:rPr>
      </w:pPr>
      <w:bookmarkStart w:id="100" w:name="_Toc17263"/>
      <w:r>
        <w:rPr>
          <w:rFonts w:ascii="楷体_GB2312" w:eastAsia="楷体_GB2312" w:cs="楷体_GB2312"/>
          <w:color w:val="000000"/>
          <w:sz w:val="31"/>
          <w:szCs w:val="31"/>
        </w:rPr>
        <w:lastRenderedPageBreak/>
        <w:t>（四）自然灾害救助物资储备体系建设工程</w:t>
      </w:r>
      <w:bookmarkEnd w:id="100"/>
    </w:p>
    <w:p w14:paraId="486C6E4E" w14:textId="77777777" w:rsidR="00EC2C51" w:rsidRDefault="00A971AA">
      <w:pPr>
        <w:pStyle w:val="HTML1"/>
        <w:widowControl/>
        <w:ind w:firstLine="640"/>
        <w:rPr>
          <w:rFonts w:hint="default"/>
        </w:rPr>
      </w:pPr>
      <w:r>
        <w:rPr>
          <w:rFonts w:ascii="仿宋_GB2312" w:eastAsia="仿宋_GB2312" w:cs="仿宋_GB2312"/>
          <w:color w:val="000000"/>
          <w:sz w:val="31"/>
          <w:szCs w:val="31"/>
        </w:rPr>
        <w:t>实施救灾物资储备库的新建、改扩建工程，每年安排一定的资金用于应急物资采购，对救灾物资进行补充更新，采购储备相应的安置类、生活类等应急物资，确保救灾物资能一次性救援1.5万人。在1个大型救灾物资储备库的基础上，形成“区—街道—社区”三级救灾物资储备体系。推进救灾物资信息化平台建设，实现救灾物资入库、储存、出库、分发等全过程的智能化管理。使得救灾物资储备信息化、智能化，救灾物资调运更加高效有序。</w:t>
      </w:r>
    </w:p>
    <w:p w14:paraId="02D07577" w14:textId="77777777" w:rsidR="00EC2C51" w:rsidRDefault="00A971AA">
      <w:pPr>
        <w:pStyle w:val="HTML1"/>
        <w:widowControl/>
        <w:ind w:firstLine="640"/>
        <w:outlineLvl w:val="1"/>
        <w:rPr>
          <w:rFonts w:hint="default"/>
        </w:rPr>
      </w:pPr>
      <w:bookmarkStart w:id="101" w:name="_Toc23614"/>
      <w:r>
        <w:rPr>
          <w:rFonts w:ascii="楷体_GB2312" w:eastAsia="楷体_GB2312" w:cs="楷体_GB2312"/>
          <w:color w:val="000000"/>
          <w:sz w:val="31"/>
          <w:szCs w:val="31"/>
        </w:rPr>
        <w:t>（五）综合减灾示范区建设工程</w:t>
      </w:r>
      <w:bookmarkEnd w:id="101"/>
    </w:p>
    <w:p w14:paraId="12370284" w14:textId="77777777" w:rsidR="00EC2C51" w:rsidRDefault="00A971AA">
      <w:pPr>
        <w:pStyle w:val="HTML1"/>
        <w:widowControl/>
        <w:ind w:firstLine="640"/>
        <w:rPr>
          <w:rFonts w:hint="default"/>
        </w:rPr>
      </w:pPr>
      <w:r>
        <w:rPr>
          <w:rFonts w:ascii="仿宋_GB2312" w:eastAsia="仿宋_GB2312" w:cs="仿宋_GB2312"/>
          <w:color w:val="000000"/>
          <w:sz w:val="31"/>
          <w:szCs w:val="31"/>
        </w:rPr>
        <w:t>加快建设全国综合减灾示范社区。按照全国综合减灾示范社区标准，到2025年，创建1个“全国综合减灾示范社区”，1个“自治区综合减灾示范社区”。不断完善社区减灾工作组织与管理机制，科学制定社区应急预案，有效开展社区灾害风险评估，编制社区灾害风险图，合理配备社区救灾装备设施，定期开展社区应急演练，广泛动员社区群众参与减灾活动，使得社区综合减灾工作更加规范化、标准化和精细化。</w:t>
      </w:r>
    </w:p>
    <w:p w14:paraId="636842D7" w14:textId="77777777" w:rsidR="00EC2C51" w:rsidRDefault="00A971AA">
      <w:pPr>
        <w:pStyle w:val="HTML1"/>
        <w:widowControl/>
        <w:ind w:left="640"/>
        <w:outlineLvl w:val="1"/>
        <w:rPr>
          <w:rFonts w:ascii="楷体_GB2312" w:eastAsia="楷体_GB2312" w:cs="楷体_GB2312" w:hint="default"/>
          <w:color w:val="000000"/>
          <w:sz w:val="31"/>
          <w:szCs w:val="31"/>
        </w:rPr>
      </w:pPr>
      <w:bookmarkStart w:id="102" w:name="_Toc7404"/>
      <w:r>
        <w:rPr>
          <w:rFonts w:ascii="楷体_GB2312" w:eastAsia="楷体_GB2312" w:cs="楷体_GB2312"/>
          <w:color w:val="000000"/>
          <w:sz w:val="31"/>
          <w:szCs w:val="31"/>
        </w:rPr>
        <w:t>（六）自然灾害应急救援能力建设工程</w:t>
      </w:r>
      <w:bookmarkEnd w:id="102"/>
    </w:p>
    <w:p w14:paraId="31D92E7D" w14:textId="77777777" w:rsidR="00EC2C51" w:rsidRDefault="00A971AA">
      <w:pPr>
        <w:pStyle w:val="HTML1"/>
        <w:widowControl/>
        <w:ind w:firstLineChars="200" w:firstLine="620"/>
        <w:rPr>
          <w:rFonts w:hint="default"/>
        </w:rPr>
      </w:pPr>
      <w:r>
        <w:rPr>
          <w:rFonts w:ascii="仿宋_GB2312" w:eastAsia="仿宋_GB2312" w:cs="仿宋_GB2312"/>
          <w:color w:val="000000"/>
          <w:sz w:val="31"/>
          <w:szCs w:val="31"/>
        </w:rPr>
        <w:t>完善消防站点布局规划，按照建设标准配齐消防车辆及相关设备，重点加强消防站点通讯设施、防护装备、抢险救援器材、灭火器材等装备配置。到2025年底，成立1支森林草原消防队伍，建设1处森林草原防灭火实训演练基地，</w:t>
      </w:r>
      <w:proofErr w:type="gramStart"/>
      <w:r>
        <w:rPr>
          <w:rFonts w:ascii="仿宋_GB2312" w:eastAsia="仿宋_GB2312" w:cs="仿宋_GB2312"/>
          <w:color w:val="000000"/>
          <w:sz w:val="31"/>
          <w:szCs w:val="31"/>
        </w:rPr>
        <w:t>完善防</w:t>
      </w:r>
      <w:proofErr w:type="gramEnd"/>
      <w:r>
        <w:rPr>
          <w:rFonts w:ascii="仿宋_GB2312" w:eastAsia="仿宋_GB2312" w:cs="仿宋_GB2312"/>
          <w:color w:val="000000"/>
          <w:sz w:val="31"/>
          <w:szCs w:val="31"/>
        </w:rPr>
        <w:t>灭</w:t>
      </w:r>
      <w:r>
        <w:rPr>
          <w:rFonts w:ascii="仿宋_GB2312" w:eastAsia="仿宋_GB2312" w:cs="仿宋_GB2312"/>
          <w:color w:val="000000"/>
          <w:sz w:val="31"/>
          <w:szCs w:val="31"/>
        </w:rPr>
        <w:lastRenderedPageBreak/>
        <w:t>火、防汛车辆配备、装备配备。完善灾害事故现场应急工作、灾情速报、志愿者、第一响应人等队伍建设，合理安排和预设抢险救援力量，建立各方应急救援力量密切协同的联勤联训工作机制。加强应急抢险队伍专业化建设，配置相应抢险救援设备。加强社会救援力量建设，各相关部门通过资金支持、业务培训、联合演练、物资捐赠等方式，帮助扶持社会救援力量提高救援技能，并与社会救援队伍签订应急救援协议，建立统一的指挥调度制度，加强日常监督管理，制定监督考核制度，定期检查队伍应急值守、装备物资状况等。鼓励社会应急救援力量参与市级综合性应急演练和专项应急演练。</w:t>
      </w:r>
    </w:p>
    <w:p w14:paraId="73D938F7" w14:textId="77777777" w:rsidR="00EC2C51" w:rsidRDefault="00A971AA">
      <w:pPr>
        <w:pStyle w:val="HTML1"/>
        <w:widowControl/>
        <w:ind w:left="640"/>
        <w:outlineLvl w:val="1"/>
        <w:rPr>
          <w:rFonts w:ascii="楷体_GB2312" w:eastAsia="楷体_GB2312" w:cs="楷体_GB2312" w:hint="default"/>
          <w:color w:val="000000"/>
          <w:sz w:val="31"/>
          <w:szCs w:val="31"/>
        </w:rPr>
      </w:pPr>
      <w:bookmarkStart w:id="103" w:name="_Toc23209"/>
      <w:bookmarkStart w:id="104" w:name="_Toc4335"/>
      <w:r>
        <w:rPr>
          <w:rFonts w:ascii="楷体_GB2312" w:eastAsia="楷体_GB2312" w:cs="楷体_GB2312"/>
          <w:color w:val="000000"/>
          <w:sz w:val="31"/>
          <w:szCs w:val="31"/>
        </w:rPr>
        <w:t>（七）应急救援能力提升工程</w:t>
      </w:r>
      <w:bookmarkEnd w:id="103"/>
    </w:p>
    <w:p w14:paraId="6F6B477A" w14:textId="77777777" w:rsidR="00EC2C51" w:rsidRDefault="00A971AA">
      <w:pPr>
        <w:pStyle w:val="HTML1"/>
        <w:widowControl/>
        <w:ind w:firstLineChars="200" w:firstLine="620"/>
        <w:rPr>
          <w:rFonts w:hint="default"/>
        </w:rPr>
      </w:pPr>
      <w:r>
        <w:rPr>
          <w:rFonts w:ascii="仿宋_GB2312" w:eastAsia="仿宋_GB2312" w:cs="仿宋_GB2312"/>
          <w:color w:val="000000"/>
          <w:sz w:val="31"/>
          <w:szCs w:val="31"/>
        </w:rPr>
        <w:t xml:space="preserve">加快应急物资储备库建设工程，按照集中管理、统一调拨、平时服务、灾时应急、采储结合、节约高效的原则，建立应急资源储备调拨制度；加快城市消防站（点）、市政消火栓等消防基础设施建设，规划新建民族团结公园防火瞭望塔及消防水池建设项目，康巴什北区消防站1座、重点区域模块化小型消防站 5 座，街道专职（志愿）消防队 4支，市政消火栓150 </w:t>
      </w:r>
      <w:proofErr w:type="gramStart"/>
      <w:r>
        <w:rPr>
          <w:rFonts w:ascii="仿宋_GB2312" w:eastAsia="仿宋_GB2312" w:cs="仿宋_GB2312"/>
          <w:color w:val="000000"/>
          <w:sz w:val="31"/>
          <w:szCs w:val="31"/>
        </w:rPr>
        <w:t>个</w:t>
      </w:r>
      <w:proofErr w:type="gramEnd"/>
      <w:r>
        <w:rPr>
          <w:rFonts w:ascii="仿宋_GB2312" w:eastAsia="仿宋_GB2312" w:cs="仿宋_GB2312"/>
          <w:color w:val="000000"/>
          <w:sz w:val="31"/>
          <w:szCs w:val="31"/>
        </w:rPr>
        <w:t>，</w:t>
      </w:r>
      <w:proofErr w:type="gramStart"/>
      <w:r>
        <w:rPr>
          <w:rFonts w:ascii="仿宋_GB2312" w:eastAsia="仿宋_GB2312" w:cs="仿宋_GB2312"/>
          <w:color w:val="000000"/>
          <w:sz w:val="31"/>
          <w:szCs w:val="31"/>
        </w:rPr>
        <w:t>规范消防</w:t>
      </w:r>
      <w:proofErr w:type="gramEnd"/>
      <w:r>
        <w:rPr>
          <w:rFonts w:ascii="仿宋_GB2312" w:eastAsia="仿宋_GB2312" w:cs="仿宋_GB2312"/>
          <w:color w:val="000000"/>
          <w:sz w:val="31"/>
          <w:szCs w:val="31"/>
        </w:rPr>
        <w:t>通道建设，全面提升消防救援能力；推进综合救护队救护基地建设，合理规划基地地理位置，建设包含室内外训练场所、消防（危化品）演习设施等在内的标准化综合救护基地，提升综合事故救援能力；加快推进消防救援队伍以及森</w:t>
      </w:r>
      <w:r>
        <w:rPr>
          <w:rFonts w:ascii="仿宋_GB2312" w:eastAsia="仿宋_GB2312" w:cs="仿宋_GB2312"/>
          <w:color w:val="000000"/>
          <w:sz w:val="31"/>
          <w:szCs w:val="31"/>
        </w:rPr>
        <w:lastRenderedPageBreak/>
        <w:t>林草原消防队伍等专业应急救援队向“一专多能”综合性应急救援队伍发展。</w:t>
      </w:r>
    </w:p>
    <w:p w14:paraId="01A1F4F5" w14:textId="77777777" w:rsidR="00EC2C51" w:rsidRDefault="00A971AA">
      <w:pPr>
        <w:pStyle w:val="HTML1"/>
        <w:widowControl/>
        <w:ind w:firstLine="640"/>
        <w:outlineLvl w:val="1"/>
        <w:rPr>
          <w:rFonts w:hint="default"/>
        </w:rPr>
      </w:pPr>
      <w:r>
        <w:rPr>
          <w:rFonts w:ascii="楷体_GB2312" w:eastAsia="楷体_GB2312" w:cs="楷体_GB2312"/>
          <w:color w:val="000000"/>
          <w:sz w:val="31"/>
          <w:szCs w:val="31"/>
        </w:rPr>
        <w:t>（八）防灾减灾救灾科普宣传工程</w:t>
      </w:r>
      <w:bookmarkEnd w:id="104"/>
    </w:p>
    <w:p w14:paraId="3D3F0231" w14:textId="77777777" w:rsidR="00EC2C51" w:rsidRDefault="00A971AA">
      <w:pPr>
        <w:pStyle w:val="HTML1"/>
        <w:widowControl/>
        <w:ind w:firstLine="640"/>
        <w:rPr>
          <w:rFonts w:hint="default"/>
        </w:rPr>
      </w:pPr>
      <w:r>
        <w:rPr>
          <w:rFonts w:ascii="仿宋_GB2312" w:eastAsia="仿宋_GB2312" w:cs="仿宋_GB2312"/>
          <w:color w:val="000000"/>
          <w:sz w:val="31"/>
          <w:szCs w:val="31"/>
        </w:rPr>
        <w:t>开发具有特色的防灾减灾科普读物、挂图、音像制品等防灾减灾文化产品。结合全国“防灾减灾日”和“综合减灾日”等，继续组织开展多种形式的防灾减灾宣传教育活动，把防灾减灾教育纳入教育体系，加强中小学校、幼儿园防灾减灾知识和技能教育，定期组织在公共场所开展疏散逃生和自救互救演练，提高公众应对自然灾害的能力。</w:t>
      </w:r>
    </w:p>
    <w:p w14:paraId="3543EB91" w14:textId="77777777" w:rsidR="00EC2C51" w:rsidRDefault="00A971AA">
      <w:pPr>
        <w:pStyle w:val="HTML1"/>
        <w:widowControl/>
        <w:ind w:firstLine="640"/>
        <w:outlineLvl w:val="0"/>
        <w:rPr>
          <w:rFonts w:hint="default"/>
        </w:rPr>
      </w:pPr>
      <w:bookmarkStart w:id="105" w:name="_Toc27255"/>
      <w:r>
        <w:rPr>
          <w:rFonts w:ascii="黑体" w:eastAsia="黑体" w:cs="黑体"/>
          <w:color w:val="000000"/>
          <w:sz w:val="31"/>
          <w:szCs w:val="31"/>
        </w:rPr>
        <w:t>五、保障措施</w:t>
      </w:r>
      <w:bookmarkEnd w:id="105"/>
    </w:p>
    <w:p w14:paraId="09B0EFD9" w14:textId="77777777" w:rsidR="00EC2C51" w:rsidRDefault="00A971AA">
      <w:pPr>
        <w:pStyle w:val="HTML1"/>
        <w:widowControl/>
        <w:ind w:firstLine="640"/>
        <w:outlineLvl w:val="1"/>
        <w:rPr>
          <w:rFonts w:hint="default"/>
        </w:rPr>
      </w:pPr>
      <w:bookmarkStart w:id="106" w:name="_Toc4637"/>
      <w:r>
        <w:rPr>
          <w:rFonts w:ascii="楷体_GB2312" w:eastAsia="楷体_GB2312" w:cs="楷体_GB2312"/>
          <w:color w:val="000000"/>
          <w:sz w:val="31"/>
          <w:szCs w:val="31"/>
        </w:rPr>
        <w:t>（一）组织领导</w:t>
      </w:r>
      <w:bookmarkEnd w:id="106"/>
    </w:p>
    <w:p w14:paraId="63EE06F6" w14:textId="77777777" w:rsidR="00EC2C51" w:rsidRDefault="00A971AA">
      <w:pPr>
        <w:pStyle w:val="HTML1"/>
        <w:widowControl/>
        <w:ind w:firstLine="640"/>
        <w:rPr>
          <w:rFonts w:hint="default"/>
        </w:rPr>
      </w:pPr>
      <w:r>
        <w:rPr>
          <w:rFonts w:ascii="仿宋_GB2312" w:eastAsia="仿宋_GB2312" w:cs="仿宋_GB2312"/>
          <w:color w:val="000000"/>
          <w:sz w:val="31"/>
          <w:szCs w:val="31"/>
        </w:rPr>
        <w:t>加强组织领导，形成工作合力。康巴什区政府负责规划实施的统筹协调。各部门要高度重视，加强规划的实施工作，切实落实责任，确保规划任务有序进行、目标如期实现。各部门、街道可根据规划要求、结合实际，制定相关的综合防灾减灾规划，相关部门的规划应加强和本规划有关内容的衔接与协调。</w:t>
      </w:r>
    </w:p>
    <w:p w14:paraId="3D8DEEDF" w14:textId="77777777" w:rsidR="00EC2C51" w:rsidRDefault="00A971AA">
      <w:pPr>
        <w:pStyle w:val="HTML1"/>
        <w:widowControl/>
        <w:ind w:firstLine="640"/>
        <w:outlineLvl w:val="1"/>
        <w:rPr>
          <w:rFonts w:hint="default"/>
        </w:rPr>
      </w:pPr>
      <w:bookmarkStart w:id="107" w:name="_Toc16286"/>
      <w:r>
        <w:rPr>
          <w:rFonts w:ascii="楷体_GB2312" w:eastAsia="楷体_GB2312" w:cs="楷体_GB2312"/>
          <w:color w:val="000000"/>
          <w:sz w:val="31"/>
          <w:szCs w:val="31"/>
        </w:rPr>
        <w:t>（二）机制保障</w:t>
      </w:r>
      <w:bookmarkEnd w:id="107"/>
    </w:p>
    <w:p w14:paraId="0911C33F" w14:textId="77777777" w:rsidR="00EC2C51" w:rsidRDefault="00A971AA">
      <w:pPr>
        <w:pStyle w:val="HTML1"/>
        <w:widowControl/>
        <w:ind w:firstLine="640"/>
        <w:rPr>
          <w:rFonts w:hint="default"/>
        </w:rPr>
      </w:pPr>
      <w:r>
        <w:rPr>
          <w:rFonts w:ascii="仿宋_GB2312" w:eastAsia="仿宋_GB2312" w:cs="仿宋_GB2312"/>
          <w:color w:val="000000"/>
          <w:sz w:val="31"/>
          <w:szCs w:val="31"/>
        </w:rPr>
        <w:t>加强机制保障，健全制度体系。强化应急管理部的综合协调职能，健全各部门间的防灾减灾综合协调机制。</w:t>
      </w:r>
      <w:proofErr w:type="gramStart"/>
      <w:r>
        <w:rPr>
          <w:rFonts w:ascii="仿宋_GB2312" w:eastAsia="仿宋_GB2312" w:cs="仿宋_GB2312"/>
          <w:color w:val="000000"/>
          <w:sz w:val="31"/>
          <w:szCs w:val="31"/>
        </w:rPr>
        <w:t>完善部门</w:t>
      </w:r>
      <w:proofErr w:type="gramEnd"/>
      <w:r>
        <w:rPr>
          <w:rFonts w:ascii="仿宋_GB2312" w:eastAsia="仿宋_GB2312" w:cs="仿宋_GB2312"/>
          <w:color w:val="000000"/>
          <w:sz w:val="31"/>
          <w:szCs w:val="31"/>
        </w:rPr>
        <w:t>协同、上下联动、社会参与、分工合作的防灾减灾决策和运行机制。完善绩效评估、责任追究制度、确保行政责任落到实处。建立健全区、街道、社区的三级联动、协同配合、科学高效、</w:t>
      </w:r>
      <w:r>
        <w:rPr>
          <w:rFonts w:ascii="仿宋_GB2312" w:eastAsia="仿宋_GB2312" w:cs="仿宋_GB2312"/>
          <w:color w:val="000000"/>
          <w:sz w:val="31"/>
          <w:szCs w:val="31"/>
        </w:rPr>
        <w:lastRenderedPageBreak/>
        <w:t>覆盖全面的灾害信息共享机制、灾害应急救助协同联动机制、救灾征用补偿机制，形成较为完善的综合防灾减灾体系。</w:t>
      </w:r>
    </w:p>
    <w:p w14:paraId="097C0063" w14:textId="77777777" w:rsidR="00EC2C51" w:rsidRDefault="00A971AA">
      <w:pPr>
        <w:pStyle w:val="HTML1"/>
        <w:widowControl/>
        <w:ind w:left="640"/>
        <w:outlineLvl w:val="1"/>
        <w:rPr>
          <w:rFonts w:ascii="楷体_GB2312" w:eastAsia="楷体_GB2312" w:cs="楷体_GB2312" w:hint="default"/>
          <w:color w:val="000000"/>
          <w:sz w:val="31"/>
          <w:szCs w:val="31"/>
        </w:rPr>
      </w:pPr>
      <w:bookmarkStart w:id="108" w:name="_Toc17966"/>
      <w:r>
        <w:rPr>
          <w:rFonts w:ascii="楷体_GB2312" w:eastAsia="楷体_GB2312" w:cs="楷体_GB2312"/>
          <w:color w:val="000000"/>
          <w:sz w:val="31"/>
          <w:szCs w:val="31"/>
        </w:rPr>
        <w:t>（三）资金保障</w:t>
      </w:r>
      <w:bookmarkEnd w:id="108"/>
    </w:p>
    <w:p w14:paraId="752787CA" w14:textId="77777777" w:rsidR="00EC2C51" w:rsidRDefault="00A971AA">
      <w:pPr>
        <w:pStyle w:val="HTML1"/>
        <w:widowControl/>
        <w:ind w:firstLineChars="200" w:firstLine="620"/>
        <w:rPr>
          <w:rFonts w:hint="default"/>
        </w:rPr>
      </w:pPr>
      <w:r>
        <w:rPr>
          <w:rFonts w:ascii="仿宋_GB2312" w:eastAsia="仿宋_GB2312" w:cs="仿宋_GB2312"/>
          <w:color w:val="000000"/>
          <w:sz w:val="31"/>
          <w:szCs w:val="31"/>
        </w:rPr>
        <w:t>加强资金保障，畅通投入渠道。加大对防灾减灾救灾资金的投入，完善区、街道、社区三级综合防灾减灾项目建设经费分级投入机制，加强防灾减灾资金管理和使用的规范化，建立健全救灾款物的管理、使用和监督机制。对于规划的政府重点项目、应急物资装备储备、日常管理等长期防灾减灾工作，政府设立专项预算，提供资金保障。建立稳定、多元化的资金筹措机制，广泛动员社会力量，健全社会动员机制。完善灾害保险机制，充分发挥保险在防灾减灾工作中的经济补偿和转移分担功能。</w:t>
      </w:r>
    </w:p>
    <w:p w14:paraId="08914892" w14:textId="77777777" w:rsidR="00EC2C51" w:rsidRDefault="00A971AA">
      <w:pPr>
        <w:pStyle w:val="HTML1"/>
        <w:widowControl/>
        <w:ind w:firstLine="640"/>
        <w:outlineLvl w:val="1"/>
        <w:rPr>
          <w:rFonts w:hint="default"/>
        </w:rPr>
      </w:pPr>
      <w:bookmarkStart w:id="109" w:name="_Toc20469"/>
      <w:r>
        <w:rPr>
          <w:rFonts w:ascii="楷体_GB2312" w:eastAsia="楷体_GB2312" w:cs="楷体_GB2312"/>
          <w:color w:val="000000"/>
          <w:sz w:val="31"/>
          <w:szCs w:val="31"/>
        </w:rPr>
        <w:t>（四）人才保障</w:t>
      </w:r>
      <w:bookmarkEnd w:id="109"/>
    </w:p>
    <w:p w14:paraId="4899CA00" w14:textId="77777777" w:rsidR="00EC2C51" w:rsidRDefault="00A971AA">
      <w:pPr>
        <w:pStyle w:val="HTML1"/>
        <w:widowControl/>
        <w:ind w:firstLine="640"/>
        <w:rPr>
          <w:rFonts w:hint="default"/>
        </w:rPr>
      </w:pPr>
      <w:r>
        <w:rPr>
          <w:rFonts w:ascii="仿宋_GB2312" w:eastAsia="仿宋_GB2312" w:cs="仿宋_GB2312"/>
          <w:color w:val="000000"/>
          <w:sz w:val="31"/>
          <w:szCs w:val="31"/>
        </w:rPr>
        <w:t>加强人才培养，提升队伍素质。健全防灾减灾人员教育培训体系，不断优化人才队伍布局与结构。加强防灾减灾专业人员的教育和培训，提高防灾减灾工作者的整体素质和水平，提高灾害信息员等减灾救灾队伍的专业化水平。充分发挥消防救援大队、防火办、人武部、驻区部队、民兵预备役在灾害应急救援中的骨干作用。建立健全志愿者队伍管理机制，全面提高志愿者的减灾技能和水平。加强防灾减灾知识普及和意识提高，建立防灾减灾科普宣传教育机制，构建参与防灾减灾的文化氛围。</w:t>
      </w:r>
    </w:p>
    <w:p w14:paraId="4EE74E59" w14:textId="77777777" w:rsidR="00EC2C51" w:rsidRDefault="00EC2C51">
      <w:pPr>
        <w:pStyle w:val="HTML1"/>
        <w:widowControl/>
        <w:ind w:firstLine="640"/>
        <w:rPr>
          <w:rFonts w:hint="default"/>
        </w:rPr>
      </w:pPr>
    </w:p>
    <w:p w14:paraId="1AB578D6" w14:textId="77777777" w:rsidR="00EC2C51" w:rsidRDefault="00EC2C51">
      <w:pPr>
        <w:pStyle w:val="HTML1"/>
        <w:widowControl/>
        <w:ind w:firstLine="640"/>
        <w:rPr>
          <w:rFonts w:hint="default"/>
        </w:rPr>
      </w:pPr>
    </w:p>
    <w:p w14:paraId="3EE96EAD" w14:textId="77777777" w:rsidR="00EC2C51" w:rsidRDefault="00EC2C51">
      <w:pPr>
        <w:pStyle w:val="HTML1"/>
        <w:widowControl/>
        <w:ind w:firstLine="640"/>
        <w:rPr>
          <w:rFonts w:hint="default"/>
        </w:rPr>
      </w:pPr>
    </w:p>
    <w:p w14:paraId="1C47C0E3" w14:textId="77777777" w:rsidR="00EC2C51" w:rsidRDefault="00EC2C51">
      <w:pPr>
        <w:pStyle w:val="HTML1"/>
        <w:widowControl/>
        <w:rPr>
          <w:rFonts w:hint="default"/>
        </w:rPr>
      </w:pPr>
    </w:p>
    <w:sectPr w:rsidR="00EC2C51">
      <w:footerReference w:type="default" r:id="rId9"/>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FE659" w14:textId="77777777" w:rsidR="00DF06DA" w:rsidRDefault="00DF06DA">
      <w:r>
        <w:separator/>
      </w:r>
    </w:p>
  </w:endnote>
  <w:endnote w:type="continuationSeparator" w:id="0">
    <w:p w14:paraId="14641260" w14:textId="77777777" w:rsidR="00DF06DA" w:rsidRDefault="00DF0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仿宋_GB2312">
    <w:altName w:val="微软雅黑"/>
    <w:charset w:val="86"/>
    <w:family w:val="auto"/>
    <w:pitch w:val="default"/>
    <w:sig w:usb0="00000001" w:usb1="080E0000" w:usb2="00000000" w:usb3="00000000" w:csb0="00040000" w:csb1="00000000"/>
  </w:font>
  <w:font w:name="楷体_GB2312">
    <w:altName w:val="微软雅黑"/>
    <w:charset w:val="86"/>
    <w:family w:val="auto"/>
    <w:pitch w:val="default"/>
    <w:sig w:usb0="00000001" w:usb1="080E0000" w:usb2="00000000" w:usb3="00000000" w:csb0="00040000" w:csb1="00000000"/>
  </w:font>
  <w:font w:name="仿宋_GB2312 Bold">
    <w:altName w:val="仿宋"/>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7BFFA" w14:textId="77777777" w:rsidR="00EC2C51" w:rsidRDefault="00EC2C51">
    <w:pPr>
      <w:spacing w:line="190" w:lineRule="auto"/>
      <w:jc w:val="right"/>
      <w:rPr>
        <w:rFonts w:ascii="宋体" w:hAnsi="宋体" w:cs="宋体"/>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E1C8C" w14:textId="77777777" w:rsidR="00EC2C51" w:rsidRDefault="00DF06DA">
    <w:pPr>
      <w:spacing w:line="190" w:lineRule="auto"/>
      <w:jc w:val="right"/>
      <w:rPr>
        <w:rFonts w:ascii="宋体" w:hAnsi="宋体" w:cs="宋体"/>
        <w:sz w:val="20"/>
        <w:szCs w:val="20"/>
      </w:rPr>
    </w:pPr>
    <w:r>
      <w:rPr>
        <w:sz w:val="20"/>
      </w:rPr>
      <w:pict w14:anchorId="4D3DC2BB">
        <v:rect id="文本框 5" o:spid="_x0000_s2049" style="position:absolute;left:0;text-align:left;margin-left:185.6pt;margin-top:0;width:2in;height:2in;z-index:1;mso-wrap-style:none;mso-position-horizontal:right;mso-position-horizontal-relative:margin" o:preferrelative="t" filled="f" stroked="f">
          <v:textbox style="mso-fit-shape-to-text:t" inset="0,0,0,0">
            <w:txbxContent>
              <w:p w14:paraId="556461A4" w14:textId="77777777" w:rsidR="00EC2C51" w:rsidRDefault="00A971AA">
                <w:pPr>
                  <w:pStyle w:val="a3"/>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4</w:t>
                </w:r>
                <w:r>
                  <w:rPr>
                    <w:sz w:val="21"/>
                    <w:szCs w:val="21"/>
                  </w:rPr>
                  <w:fldChar w:fldCharType="end"/>
                </w:r>
              </w:p>
            </w:txbxContent>
          </v:textbox>
          <w10:wrap anchorx="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EABD8" w14:textId="77777777" w:rsidR="00DF06DA" w:rsidRDefault="00DF06DA">
      <w:r>
        <w:separator/>
      </w:r>
    </w:p>
  </w:footnote>
  <w:footnote w:type="continuationSeparator" w:id="0">
    <w:p w14:paraId="0E8EE215" w14:textId="77777777" w:rsidR="00DF06DA" w:rsidRDefault="00DF0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lvl w:ilvl="0">
      <w:start w:val="2"/>
      <w:numFmt w:val="chineseCounting"/>
      <w:suff w:val="nothing"/>
      <w:lvlText w:val="（%1）"/>
      <w:lvlJc w:val="left"/>
      <w:rPr>
        <w:rFonts w:hint="eastAsia"/>
      </w:rPr>
    </w:lvl>
  </w:abstractNum>
  <w:abstractNum w:abstractNumId="1" w15:restartNumberingAfterBreak="0">
    <w:nsid w:val="0000000B"/>
    <w:multiLevelType w:val="singleLevel"/>
    <w:tmpl w:val="0000000B"/>
    <w:lvl w:ilvl="0">
      <w:start w:val="1"/>
      <w:numFmt w:val="chineseCounting"/>
      <w:suff w:val="space"/>
      <w:lvlText w:val="第%1篇"/>
      <w:lvlJc w:val="left"/>
      <w:rPr>
        <w:rFonts w:hint="eastAsia"/>
      </w:rPr>
    </w:lvl>
  </w:abstractNum>
  <w:abstractNum w:abstractNumId="2" w15:restartNumberingAfterBreak="0">
    <w:nsid w:val="0000000C"/>
    <w:multiLevelType w:val="singleLevel"/>
    <w:tmpl w:val="0000000C"/>
    <w:lvl w:ilvl="0">
      <w:start w:val="8"/>
      <w:numFmt w:val="chineseCounting"/>
      <w:suff w:val="nothing"/>
      <w:lvlText w:val="（%1）"/>
      <w:lvlJc w:val="left"/>
      <w:rPr>
        <w:rFonts w:hint="eastAsia"/>
      </w:rPr>
    </w:lvl>
  </w:abstractNum>
  <w:abstractNum w:abstractNumId="3" w15:restartNumberingAfterBreak="0">
    <w:nsid w:val="0000000D"/>
    <w:multiLevelType w:val="singleLevel"/>
    <w:tmpl w:val="0000000D"/>
    <w:lvl w:ilvl="0">
      <w:start w:val="4"/>
      <w:numFmt w:val="chineseCounting"/>
      <w:suff w:val="nothing"/>
      <w:lvlText w:val="（%1）"/>
      <w:lvlJc w:val="left"/>
      <w:rPr>
        <w:rFonts w:hint="eastAsia"/>
      </w:rPr>
    </w:lvl>
  </w:abstractNum>
  <w:abstractNum w:abstractNumId="4" w15:restartNumberingAfterBreak="0">
    <w:nsid w:val="0000000E"/>
    <w:multiLevelType w:val="singleLevel"/>
    <w:tmpl w:val="0000000E"/>
    <w:lvl w:ilvl="0">
      <w:start w:val="6"/>
      <w:numFmt w:val="chineseCounting"/>
      <w:suff w:val="nothing"/>
      <w:lvlText w:val="（%1）"/>
      <w:lvlJc w:val="left"/>
      <w:rPr>
        <w:rFonts w:hint="eastAsia"/>
      </w:rPr>
    </w:lvl>
  </w:abstractNum>
  <w:abstractNum w:abstractNumId="5" w15:restartNumberingAfterBreak="0">
    <w:nsid w:val="0000000F"/>
    <w:multiLevelType w:val="singleLevel"/>
    <w:tmpl w:val="0000000F"/>
    <w:lvl w:ilvl="0">
      <w:start w:val="3"/>
      <w:numFmt w:val="chineseCounting"/>
      <w:suff w:val="nothing"/>
      <w:lvlText w:val="（%1）"/>
      <w:lvlJc w:val="left"/>
      <w:rPr>
        <w:rFonts w:hint="eastAsia"/>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420"/>
  <w:drawingGridVerticalSpacing w:val="156"/>
  <w:noPunctuationKerning/>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2C51"/>
    <w:rsid w:val="00A971AA"/>
    <w:rsid w:val="00B6554D"/>
    <w:rsid w:val="00DF06DA"/>
    <w:rsid w:val="00EC2C51"/>
    <w:rsid w:val="00ED3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B189918"/>
  <w15:docId w15:val="{587332BC-BCD9-4BCC-840E-26101E4B6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21">
    <w:name w:val="正文文本 21"/>
    <w:basedOn w:val="a"/>
    <w:pPr>
      <w:spacing w:after="120" w:line="480" w:lineRule="auto"/>
    </w:pPr>
  </w:style>
  <w:style w:type="paragraph" w:customStyle="1" w:styleId="HTML1">
    <w:name w:val="HTML 预设格式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hint="eastAsia"/>
      <w:kern w:val="0"/>
      <w:sz w:val="24"/>
    </w:rPr>
  </w:style>
  <w:style w:type="paragraph" w:customStyle="1" w:styleId="WPSOffice1">
    <w:name w:val="WPSOffice手动目录 1"/>
  </w:style>
  <w:style w:type="paragraph" w:customStyle="1" w:styleId="WPSOffice2">
    <w:name w:val="WPSOffice手动目录 2"/>
    <w:pPr>
      <w:ind w:leftChars="200" w:left="200"/>
    </w:pPr>
  </w:style>
  <w:style w:type="paragraph" w:customStyle="1" w:styleId="WPSOffice3">
    <w:name w:val="WPSOffice手动目录 3"/>
    <w:pPr>
      <w:ind w:leftChars="400"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101</Pages>
  <Words>8132</Words>
  <Characters>46357</Characters>
  <Application>Microsoft Office Word</Application>
  <DocSecurity>0</DocSecurity>
  <Lines>386</Lines>
  <Paragraphs>108</Paragraphs>
  <ScaleCrop>false</ScaleCrop>
  <Company/>
  <LinksUpToDate>false</LinksUpToDate>
  <CharactersWithSpaces>54381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麦兜她娘</dc:title>
  <dc:creator>ajj01</dc:creator>
  <cp:lastModifiedBy>HrKj</cp:lastModifiedBy>
  <cp:revision>3</cp:revision>
  <dcterms:created xsi:type="dcterms:W3CDTF">2014-10-29T20:08:00Z</dcterms:created>
  <dcterms:modified xsi:type="dcterms:W3CDTF">2023-11-22T09:17:00Z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6C71F7553AB148038CDE3258D83FAF6C_13</vt:lpwstr>
  </property>
</Properties>
</file>